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47" w:rsidRPr="00001C5B" w:rsidRDefault="009C156D" w:rsidP="00AD4947">
      <w:pPr>
        <w:pStyle w:val="tytuinformacji"/>
        <w:rPr>
          <w:sz w:val="32"/>
        </w:rPr>
      </w:pPr>
      <w:r>
        <w:t>Szybki szacunek wskaźnika cen towarów i u</w:t>
      </w:r>
      <w:r w:rsidR="00F32346">
        <w:t>sług konsumpcyjnych w marcu 2019</w:t>
      </w:r>
      <w:r>
        <w:t xml:space="preserve"> r.</w:t>
      </w:r>
      <w:r>
        <w:br/>
      </w:r>
    </w:p>
    <w:p w:rsidR="003F5245" w:rsidRDefault="00622953" w:rsidP="003F5245">
      <w:pPr>
        <w:pStyle w:val="LID"/>
      </w:pPr>
      <w: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5C872F85" wp14:editId="4936D65C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Pr="00D538E4" w:rsidRDefault="009C156D" w:rsidP="004F529E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5E5CCAC8" wp14:editId="28DC4030">
                                  <wp:extent cx="334645" cy="334645"/>
                                  <wp:effectExtent l="0" t="0" r="8255" b="8255"/>
                                  <wp:docPr id="5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4F529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Pr="00D538E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A371F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="004F529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9C156D" w:rsidRPr="00D538E4" w:rsidRDefault="00A371FF" w:rsidP="00D538E4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wzrost</w:t>
                            </w:r>
                            <w:r w:rsidR="004F529E">
                              <w:t xml:space="preserve"> </w:t>
                            </w:r>
                            <w:r w:rsidR="009C156D" w:rsidRPr="00D538E4">
                              <w:t xml:space="preserve">w porównaniu </w:t>
                            </w:r>
                            <w:r w:rsidR="004F529E">
                              <w:br/>
                            </w:r>
                            <w:r w:rsidR="009C156D" w:rsidRPr="00D538E4">
                              <w:t xml:space="preserve">z poprzednim miesiącem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72F8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82.35pt;z-index:251772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    <v:textbox>
                  <w:txbxContent>
                    <w:p w:rsidR="009C156D" w:rsidRPr="00D538E4" w:rsidRDefault="009C156D" w:rsidP="004F529E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5E5CCAC8" wp14:editId="28DC4030">
                            <wp:extent cx="334645" cy="334645"/>
                            <wp:effectExtent l="0" t="0" r="8255" b="8255"/>
                            <wp:docPr id="5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4F529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Pr="00D538E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A371F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 w:rsidR="004F529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9C156D" w:rsidRPr="00D538E4" w:rsidRDefault="00A371FF" w:rsidP="00D538E4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wzrost</w:t>
                      </w:r>
                      <w:r w:rsidR="004F529E">
                        <w:t xml:space="preserve"> </w:t>
                      </w:r>
                      <w:r w:rsidR="009C156D" w:rsidRPr="00D538E4">
                        <w:t xml:space="preserve">w porównaniu </w:t>
                      </w:r>
                      <w:r w:rsidR="004F529E">
                        <w:br/>
                      </w:r>
                      <w:r w:rsidR="009C156D" w:rsidRPr="00D538E4">
                        <w:t xml:space="preserve">z poprzednim miesiącem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9C156D">
        <w:t xml:space="preserve">Ceny towarów i usług konsumpcyjnych według szybkiego szacunku w </w:t>
      </w:r>
      <w:r w:rsidR="009C156D">
        <w:t>marcu</w:t>
      </w:r>
      <w:r w:rsidR="009C156D" w:rsidRPr="009C156D">
        <w:t xml:space="preserve"> 201</w:t>
      </w:r>
      <w:r w:rsidR="00E8329E">
        <w:t>9</w:t>
      </w:r>
      <w:r w:rsidR="009C156D" w:rsidRPr="009C156D">
        <w:t xml:space="preserve"> r. w stosunku do poprzedniego mie</w:t>
      </w:r>
      <w:r w:rsidR="009C156D">
        <w:t xml:space="preserve">siąca </w:t>
      </w:r>
      <w:r w:rsidR="00E8329E">
        <w:t>wzrosły</w:t>
      </w:r>
      <w:r w:rsidR="009C156D">
        <w:t xml:space="preserve"> </w:t>
      </w:r>
      <w:r w:rsidR="00637C1E">
        <w:t>o </w:t>
      </w:r>
      <w:r w:rsidR="009C156D" w:rsidRPr="009C156D">
        <w:t>0,</w:t>
      </w:r>
      <w:r w:rsidR="00E8329E">
        <w:t>3</w:t>
      </w:r>
      <w:r w:rsidR="009C156D" w:rsidRPr="009C156D">
        <w:t>% (wskaźn</w:t>
      </w:r>
      <w:r w:rsidR="009C156D">
        <w:t xml:space="preserve">ik cen </w:t>
      </w:r>
      <w:r w:rsidR="00E8329E">
        <w:t>100</w:t>
      </w:r>
      <w:r w:rsidR="009C156D">
        <w:t>,</w:t>
      </w:r>
      <w:r w:rsidR="00E8329E">
        <w:t xml:space="preserve">3), </w:t>
      </w:r>
      <w:r w:rsidR="003F5245">
        <w:t>a w </w:t>
      </w:r>
      <w:r w:rsidR="009C156D">
        <w:t>porównaniu z </w:t>
      </w:r>
      <w:r w:rsidR="009C156D" w:rsidRPr="009C156D">
        <w:t xml:space="preserve">analogicznym miesiącem ub. roku wzrosły o </w:t>
      </w:r>
      <w:r w:rsidR="003279D3">
        <w:t>1</w:t>
      </w:r>
      <w:r w:rsidR="009C156D" w:rsidRPr="009C156D">
        <w:t>,</w:t>
      </w:r>
      <w:r w:rsidR="00E8329E">
        <w:t>7</w:t>
      </w:r>
      <w:r w:rsidR="009C156D" w:rsidRPr="009C156D">
        <w:t>% (wskaźnik cen 10</w:t>
      </w:r>
      <w:r w:rsidR="003279D3">
        <w:t>1</w:t>
      </w:r>
      <w:r w:rsidR="009C156D" w:rsidRPr="009C156D">
        <w:t>,</w:t>
      </w:r>
      <w:r w:rsidR="00E8329E">
        <w:t>7</w:t>
      </w:r>
      <w:r w:rsidR="009C156D" w:rsidRPr="009C156D">
        <w:t>).</w:t>
      </w:r>
    </w:p>
    <w:p w:rsidR="009C156D" w:rsidRDefault="009C156D" w:rsidP="003F5245">
      <w:pPr>
        <w:pStyle w:val="LID"/>
      </w:pPr>
    </w:p>
    <w:p w:rsidR="006A07DC" w:rsidRPr="009C156D" w:rsidRDefault="006A07DC" w:rsidP="00FA5BDD">
      <w:pPr>
        <w:pStyle w:val="LID"/>
      </w:pPr>
    </w:p>
    <w:p w:rsidR="00AD4947" w:rsidRPr="00AD4947" w:rsidRDefault="00AD4947" w:rsidP="00D538E4">
      <w:pPr>
        <w:pStyle w:val="tytuwykresu"/>
      </w:pPr>
      <w:r>
        <w:t>Tablica</w:t>
      </w:r>
      <w:r w:rsidRPr="00967A32">
        <w:t xml:space="preserve"> 1</w:t>
      </w:r>
      <w:r>
        <w:t>.</w:t>
      </w:r>
      <w:r w:rsidRPr="00967A32">
        <w:rPr>
          <w:shd w:val="clear" w:color="auto" w:fill="FFFFFF"/>
        </w:rPr>
        <w:t xml:space="preserve"> </w:t>
      </w:r>
      <w:r w:rsidR="003F5245">
        <w:t>Szybki szacunek wskaźnika cen towarów i u</w:t>
      </w:r>
      <w:r w:rsidR="00E8329E">
        <w:t>sług konsumpcyjnych w marcu 2019</w:t>
      </w:r>
      <w:r w:rsidR="003F5245">
        <w:t xml:space="preserve"> r.</w:t>
      </w:r>
    </w:p>
    <w:tbl>
      <w:tblPr>
        <w:tblpPr w:leftFromText="142" w:rightFromText="142" w:vertAnchor="text" w:horzAnchor="margin" w:tblpY="58"/>
        <w:tblOverlap w:val="never"/>
        <w:tblW w:w="8068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503"/>
        <w:gridCol w:w="1782"/>
        <w:gridCol w:w="1783"/>
      </w:tblGrid>
      <w:tr w:rsidR="003279D3" w:rsidRPr="00DF5384" w:rsidTr="003279D3">
        <w:trPr>
          <w:trHeight w:val="57"/>
        </w:trPr>
        <w:tc>
          <w:tcPr>
            <w:tcW w:w="450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279D3" w:rsidRPr="00DF5384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b/>
                <w:bCs w:val="0"/>
                <w:color w:val="000000"/>
                <w:sz w:val="16"/>
                <w:szCs w:val="16"/>
              </w:rPr>
            </w:pPr>
            <w:r w:rsidRPr="00DF5384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5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279D3" w:rsidRPr="00DF5384" w:rsidRDefault="00E8329E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>
              <w:rPr>
                <w:rFonts w:ascii="Fira Sans" w:hAnsi="Fira Sans"/>
                <w:color w:val="000000"/>
                <w:sz w:val="16"/>
                <w:szCs w:val="16"/>
              </w:rPr>
              <w:t>III 2019</w:t>
            </w:r>
          </w:p>
        </w:tc>
      </w:tr>
      <w:tr w:rsidR="003279D3" w:rsidRPr="00DF5384" w:rsidTr="003279D3">
        <w:trPr>
          <w:trHeight w:val="57"/>
        </w:trPr>
        <w:tc>
          <w:tcPr>
            <w:tcW w:w="4503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DF5384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DF5384" w:rsidRDefault="00E8329E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>
              <w:rPr>
                <w:rFonts w:ascii="Fira Sans" w:hAnsi="Fira Sans"/>
                <w:color w:val="000000"/>
                <w:sz w:val="16"/>
                <w:szCs w:val="16"/>
              </w:rPr>
              <w:t>III 2018</w:t>
            </w:r>
            <w:r w:rsidR="003279D3" w:rsidRPr="00DF5384">
              <w:rPr>
                <w:rFonts w:ascii="Fira Sans" w:hAnsi="Fira Sans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783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DF5384" w:rsidRDefault="00E8329E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>
              <w:rPr>
                <w:rFonts w:ascii="Fira Sans" w:hAnsi="Fira Sans"/>
                <w:color w:val="000000"/>
                <w:sz w:val="16"/>
                <w:szCs w:val="16"/>
              </w:rPr>
              <w:t>II 2019</w:t>
            </w:r>
            <w:r w:rsidR="003279D3" w:rsidRPr="00DF5384">
              <w:rPr>
                <w:rFonts w:ascii="Fira Sans" w:hAnsi="Fira Sans"/>
                <w:color w:val="000000"/>
                <w:sz w:val="16"/>
                <w:szCs w:val="16"/>
              </w:rPr>
              <w:t>=100</w:t>
            </w:r>
          </w:p>
        </w:tc>
      </w:tr>
      <w:tr w:rsidR="007356A6" w:rsidRPr="00DF5384" w:rsidTr="00435875">
        <w:trPr>
          <w:trHeight w:val="57"/>
        </w:trPr>
        <w:tc>
          <w:tcPr>
            <w:tcW w:w="4503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DF5384" w:rsidRDefault="007356A6" w:rsidP="007356A6">
            <w:pPr>
              <w:pStyle w:val="Nagwek5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b/>
                <w:color w:val="000000"/>
                <w:sz w:val="16"/>
                <w:szCs w:val="16"/>
              </w:rPr>
            </w:pPr>
            <w:r w:rsidRPr="00DF5384">
              <w:rPr>
                <w:rFonts w:ascii="Fira Sans" w:hAnsi="Fira Sans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782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3279D3" w:rsidRDefault="007356A6" w:rsidP="007356A6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1783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7356A6" w:rsidRPr="003279D3" w:rsidRDefault="007356A6" w:rsidP="007356A6">
            <w:pPr>
              <w:tabs>
                <w:tab w:val="center" w:pos="783"/>
                <w:tab w:val="right" w:pos="1567"/>
              </w:tabs>
              <w:rPr>
                <w:rFonts w:cs="Arial"/>
                <w:b/>
                <w:color w:val="000000"/>
                <w:sz w:val="16"/>
                <w:szCs w:val="16"/>
              </w:rPr>
            </w:pPr>
            <w:r w:rsidRPr="003279D3">
              <w:rPr>
                <w:rFonts w:cs="Arial"/>
                <w:b/>
                <w:color w:val="000000"/>
                <w:sz w:val="16"/>
                <w:szCs w:val="16"/>
              </w:rPr>
              <w:tab/>
            </w:r>
            <w:r w:rsidRPr="003279D3">
              <w:rPr>
                <w:rFonts w:cs="Arial"/>
                <w:b/>
                <w:color w:val="000000"/>
                <w:sz w:val="16"/>
                <w:szCs w:val="16"/>
              </w:rPr>
              <w:tab/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100,3</w:t>
            </w:r>
          </w:p>
        </w:tc>
      </w:tr>
      <w:tr w:rsidR="007356A6" w:rsidRPr="00DF5384" w:rsidTr="00435875">
        <w:trPr>
          <w:trHeight w:val="57"/>
        </w:trPr>
        <w:tc>
          <w:tcPr>
            <w:tcW w:w="450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DF5384" w:rsidRDefault="007356A6" w:rsidP="007356A6">
            <w:pPr>
              <w:pStyle w:val="Nagwek9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i w:val="0"/>
                <w:color w:val="000000"/>
                <w:sz w:val="16"/>
                <w:szCs w:val="16"/>
              </w:rPr>
            </w:pPr>
            <w:r w:rsidRPr="00DF5384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 xml:space="preserve">Żywność i napoje </w:t>
            </w:r>
            <w:r w:rsidRPr="00DF5384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br/>
              <w:t xml:space="preserve">bezalkoholowe  </w:t>
            </w:r>
          </w:p>
        </w:tc>
        <w:tc>
          <w:tcPr>
            <w:tcW w:w="178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3279D3" w:rsidRDefault="007356A6" w:rsidP="007356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178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7356A6" w:rsidRPr="003279D3" w:rsidRDefault="007356A6" w:rsidP="007356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100,4</w:t>
            </w:r>
          </w:p>
        </w:tc>
      </w:tr>
      <w:tr w:rsidR="007356A6" w:rsidRPr="00DF5384" w:rsidTr="00435875">
        <w:trPr>
          <w:trHeight w:val="57"/>
        </w:trPr>
        <w:tc>
          <w:tcPr>
            <w:tcW w:w="450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DF5384" w:rsidRDefault="007356A6" w:rsidP="007356A6">
            <w:pPr>
              <w:tabs>
                <w:tab w:val="right" w:leader="dot" w:pos="4156"/>
              </w:tabs>
              <w:contextualSpacing/>
              <w:rPr>
                <w:color w:val="000000"/>
                <w:sz w:val="16"/>
                <w:szCs w:val="16"/>
                <w:lang w:val="en-US"/>
              </w:rPr>
            </w:pPr>
            <w:r w:rsidRPr="00DF5384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178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3279D3" w:rsidRDefault="007356A6" w:rsidP="007356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78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7356A6" w:rsidRPr="003279D3" w:rsidRDefault="007356A6" w:rsidP="007356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99,9</w:t>
            </w:r>
          </w:p>
        </w:tc>
      </w:tr>
      <w:tr w:rsidR="007356A6" w:rsidRPr="00DF5384" w:rsidTr="00435875">
        <w:trPr>
          <w:trHeight w:val="57"/>
        </w:trPr>
        <w:tc>
          <w:tcPr>
            <w:tcW w:w="4503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356A6" w:rsidRPr="00DF5384" w:rsidRDefault="007356A6" w:rsidP="007356A6">
            <w:pPr>
              <w:pStyle w:val="Nagwek2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DF5384">
              <w:rPr>
                <w:rFonts w:ascii="Fira Sans" w:hAnsi="Fira Sans"/>
                <w:color w:val="000000"/>
                <w:sz w:val="16"/>
                <w:szCs w:val="16"/>
              </w:rPr>
              <w:t xml:space="preserve">Paliwa do prywatnych </w:t>
            </w:r>
            <w:r w:rsidRPr="00DF5384">
              <w:rPr>
                <w:rFonts w:ascii="Fira Sans" w:hAnsi="Fira Sans"/>
                <w:color w:val="000000"/>
                <w:sz w:val="16"/>
                <w:szCs w:val="16"/>
              </w:rPr>
              <w:br/>
              <w:t>środków transportu</w:t>
            </w:r>
          </w:p>
        </w:tc>
        <w:tc>
          <w:tcPr>
            <w:tcW w:w="1782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7356A6" w:rsidRPr="003279D3" w:rsidRDefault="007356A6" w:rsidP="007356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1783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7356A6" w:rsidRPr="003279D3" w:rsidRDefault="007356A6" w:rsidP="007356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100,5</w:t>
            </w:r>
          </w:p>
        </w:tc>
      </w:tr>
    </w:tbl>
    <w:p w:rsidR="003279D3" w:rsidRDefault="003279D3" w:rsidP="006039C0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685123" w:rsidRDefault="00B50227" w:rsidP="006039C0">
      <w:pPr>
        <w:rPr>
          <w:b/>
          <w:noProof/>
          <w:szCs w:val="19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74976" behindDoc="0" locked="0" layoutInCell="1" allowOverlap="1" wp14:anchorId="57CA677B" wp14:editId="0AF0AE48">
            <wp:simplePos x="0" y="0"/>
            <wp:positionH relativeFrom="column">
              <wp:posOffset>-67945</wp:posOffset>
            </wp:positionH>
            <wp:positionV relativeFrom="paragraph">
              <wp:posOffset>388620</wp:posOffset>
            </wp:positionV>
            <wp:extent cx="5107940" cy="2865120"/>
            <wp:effectExtent l="0" t="0" r="0" b="11430"/>
            <wp:wrapSquare wrapText="bothSides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084" w:rsidRPr="00D87084">
        <w:rPr>
          <w:b/>
          <w:noProof/>
          <w:szCs w:val="19"/>
          <w:lang w:eastAsia="pl-PL"/>
        </w:rPr>
        <w:t xml:space="preserve">Wykres </w:t>
      </w:r>
      <w:r w:rsidR="00D87084">
        <w:rPr>
          <w:b/>
          <w:noProof/>
          <w:szCs w:val="19"/>
          <w:lang w:eastAsia="pl-PL"/>
        </w:rPr>
        <w:t>1</w:t>
      </w:r>
      <w:r w:rsidR="00D87084" w:rsidRPr="00D87084">
        <w:rPr>
          <w:b/>
          <w:noProof/>
          <w:szCs w:val="19"/>
          <w:lang w:eastAsia="pl-PL"/>
        </w:rPr>
        <w:t>. Ceny towarów i usług konsumpcyjnych</w:t>
      </w:r>
      <w:r w:rsidR="006039C0">
        <w:rPr>
          <w:b/>
          <w:noProof/>
          <w:szCs w:val="19"/>
          <w:lang w:eastAsia="pl-PL"/>
        </w:rPr>
        <w:t>*</w:t>
      </w:r>
      <w:r w:rsidR="00D87084" w:rsidRPr="00D87084">
        <w:rPr>
          <w:b/>
          <w:noProof/>
          <w:szCs w:val="19"/>
          <w:lang w:eastAsia="pl-PL"/>
        </w:rPr>
        <w:t xml:space="preserve"> </w:t>
      </w:r>
      <w:r w:rsidR="006039C0">
        <w:rPr>
          <w:b/>
          <w:noProof/>
          <w:szCs w:val="19"/>
          <w:lang w:eastAsia="pl-PL"/>
        </w:rPr>
        <w:br/>
      </w:r>
      <w:r w:rsidR="00D87084" w:rsidRPr="00D87084">
        <w:rPr>
          <w:b/>
          <w:noProof/>
          <w:szCs w:val="19"/>
          <w:lang w:eastAsia="pl-PL"/>
        </w:rPr>
        <w:t>(zmia</w:t>
      </w:r>
      <w:r w:rsidR="00D87084">
        <w:rPr>
          <w:b/>
          <w:noProof/>
          <w:szCs w:val="19"/>
          <w:lang w:eastAsia="pl-PL"/>
        </w:rPr>
        <w:t xml:space="preserve">na w % do analogicznego okresu </w:t>
      </w:r>
      <w:r w:rsidR="00D87084" w:rsidRPr="00D87084">
        <w:rPr>
          <w:b/>
          <w:noProof/>
          <w:szCs w:val="19"/>
          <w:lang w:eastAsia="pl-PL"/>
        </w:rPr>
        <w:t>roku poprzedniego)</w:t>
      </w:r>
    </w:p>
    <w:p w:rsidR="00B50227" w:rsidRDefault="00B50227" w:rsidP="006039C0">
      <w:pPr>
        <w:rPr>
          <w:b/>
          <w:noProof/>
          <w:szCs w:val="19"/>
          <w:lang w:eastAsia="pl-PL"/>
        </w:rPr>
      </w:pPr>
    </w:p>
    <w:p w:rsidR="003F5245" w:rsidRPr="006039C0" w:rsidRDefault="00B93CB1" w:rsidP="007356A6">
      <w:pPr>
        <w:spacing w:before="360"/>
        <w:rPr>
          <w:noProof/>
          <w:sz w:val="16"/>
          <w:szCs w:val="19"/>
          <w:lang w:eastAsia="pl-PL"/>
        </w:rPr>
      </w:pPr>
      <w:r>
        <w:rPr>
          <w:noProof/>
          <w:sz w:val="16"/>
          <w:szCs w:val="19"/>
          <w:lang w:eastAsia="pl-PL"/>
        </w:rPr>
        <w:t>* D</w:t>
      </w:r>
      <w:r w:rsidR="004F529E">
        <w:rPr>
          <w:noProof/>
          <w:sz w:val="16"/>
          <w:szCs w:val="19"/>
          <w:lang w:eastAsia="pl-PL"/>
        </w:rPr>
        <w:t>ane ostateczne z</w:t>
      </w:r>
      <w:r w:rsidR="003F5245" w:rsidRPr="006039C0">
        <w:rPr>
          <w:noProof/>
          <w:sz w:val="16"/>
          <w:szCs w:val="19"/>
          <w:lang w:eastAsia="pl-PL"/>
        </w:rPr>
        <w:t xml:space="preserve"> wyjątkiem </w:t>
      </w:r>
      <w:r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6039C0">
        <w:rPr>
          <w:noProof/>
          <w:sz w:val="16"/>
          <w:szCs w:val="19"/>
          <w:lang w:eastAsia="pl-PL"/>
        </w:rPr>
        <w:t>szybki</w:t>
      </w:r>
      <w:r>
        <w:rPr>
          <w:noProof/>
          <w:sz w:val="16"/>
          <w:szCs w:val="19"/>
          <w:lang w:eastAsia="pl-PL"/>
        </w:rPr>
        <w:t>ego</w:t>
      </w:r>
      <w:r w:rsidR="006039C0" w:rsidRPr="006039C0">
        <w:rPr>
          <w:noProof/>
          <w:sz w:val="16"/>
          <w:szCs w:val="19"/>
          <w:lang w:eastAsia="pl-PL"/>
        </w:rPr>
        <w:t xml:space="preserve"> szac</w:t>
      </w:r>
      <w:r w:rsidR="006039C0">
        <w:rPr>
          <w:noProof/>
          <w:sz w:val="16"/>
          <w:szCs w:val="19"/>
          <w:lang w:eastAsia="pl-PL"/>
        </w:rPr>
        <w:t>u</w:t>
      </w:r>
      <w:r w:rsidR="006039C0" w:rsidRPr="006039C0">
        <w:rPr>
          <w:noProof/>
          <w:sz w:val="16"/>
          <w:szCs w:val="19"/>
          <w:lang w:eastAsia="pl-PL"/>
        </w:rPr>
        <w:t>n</w:t>
      </w:r>
      <w:r w:rsidR="007356A6">
        <w:rPr>
          <w:noProof/>
          <w:sz w:val="16"/>
          <w:szCs w:val="19"/>
          <w:lang w:eastAsia="pl-PL"/>
        </w:rPr>
        <w:t>ku w marcu 2019</w:t>
      </w:r>
      <w:r>
        <w:rPr>
          <w:noProof/>
          <w:sz w:val="16"/>
          <w:szCs w:val="19"/>
          <w:lang w:eastAsia="pl-PL"/>
        </w:rPr>
        <w:t xml:space="preserve"> r.</w:t>
      </w:r>
    </w:p>
    <w:p w:rsidR="003F5245" w:rsidRDefault="003F5245" w:rsidP="006039C0">
      <w:pPr>
        <w:rPr>
          <w:b/>
          <w:noProof/>
          <w:szCs w:val="19"/>
          <w:lang w:eastAsia="pl-PL"/>
        </w:rPr>
      </w:pPr>
    </w:p>
    <w:p w:rsidR="005E2988" w:rsidRPr="003F5245" w:rsidRDefault="005E2988" w:rsidP="006039C0">
      <w:pPr>
        <w:rPr>
          <w:b/>
          <w:noProof/>
          <w:szCs w:val="19"/>
          <w:lang w:eastAsia="pl-PL"/>
        </w:rPr>
        <w:sectPr w:rsidR="005E2988" w:rsidRPr="003F5245" w:rsidSect="00EF7B36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5016C4" w:rsidTr="00106181">
        <w:trPr>
          <w:trHeight w:val="1912"/>
        </w:trPr>
        <w:tc>
          <w:tcPr>
            <w:tcW w:w="4248" w:type="dxa"/>
          </w:tcPr>
          <w:p w:rsidR="00883763" w:rsidRPr="008F363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8F363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:rsidR="00883763" w:rsidRPr="003A5CC6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</w:pPr>
            <w:r w:rsidRPr="003A5CC6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  <w:t>Anna Bobel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608 35 12</w:t>
            </w:r>
          </w:p>
          <w:p w:rsidR="00883763" w:rsidRPr="008F3638" w:rsidRDefault="00883763" w:rsidP="00102C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5016C4">
              <w:rPr>
                <w:rFonts w:ascii="Fira Sans" w:hAnsi="Fira Sans" w:cs="Arial"/>
                <w:b/>
                <w:color w:val="auto"/>
                <w:sz w:val="20"/>
                <w:szCs w:val="20"/>
                <w:lang w:val="en-US"/>
              </w:rPr>
              <w:t xml:space="preserve">e-mail: </w:t>
            </w:r>
            <w:hyperlink r:id="rId17" w:history="1">
              <w:r w:rsidR="00102C97" w:rsidRPr="005016C4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a.bobel@stat.gov.pl</w:t>
              </w:r>
            </w:hyperlink>
          </w:p>
        </w:tc>
        <w:tc>
          <w:tcPr>
            <w:tcW w:w="3819" w:type="dxa"/>
          </w:tcPr>
          <w:p w:rsidR="00102C97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8F363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8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685123" w:rsidRDefault="000470AA" w:rsidP="000470AA">
      <w:pPr>
        <w:rPr>
          <w:sz w:val="18"/>
          <w:lang w:val="en-US"/>
        </w:rPr>
      </w:pPr>
      <w:bookmarkStart w:id="0" w:name="_GoBack"/>
      <w:bookmarkEnd w:id="0"/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7356A6">
            <w:pPr>
              <w:spacing w:before="0"/>
              <w:ind w:left="142"/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5016C4" w:rsidP="00A33F84">
            <w:pPr>
              <w:ind w:left="142"/>
              <w:rPr>
                <w:sz w:val="20"/>
              </w:rPr>
            </w:pPr>
            <w:r w:rsidRPr="005016C4">
              <w:rPr>
                <w:sz w:val="20"/>
              </w:rPr>
              <w:t>Tel</w:t>
            </w:r>
            <w:r w:rsidR="000470AA" w:rsidRPr="005016C4">
              <w:rPr>
                <w:sz w:val="20"/>
              </w:rPr>
              <w:t>:</w:t>
            </w:r>
            <w:r w:rsidR="000470AA" w:rsidRPr="00C91687">
              <w:rPr>
                <w:b/>
                <w:sz w:val="20"/>
              </w:rPr>
              <w:t xml:space="preserve"> </w:t>
            </w:r>
            <w:r w:rsidR="00097840">
              <w:rPr>
                <w:sz w:val="20"/>
              </w:rPr>
              <w:t>22 608 34 91, 22</w:t>
            </w:r>
            <w:r w:rsidR="000470AA" w:rsidRPr="00C91687">
              <w:rPr>
                <w:sz w:val="20"/>
              </w:rPr>
              <w:t xml:space="preserve"> 608 38 04 </w:t>
            </w:r>
          </w:p>
          <w:p w:rsidR="000470AA" w:rsidRPr="005016C4" w:rsidRDefault="000470AA" w:rsidP="00A33F84">
            <w:pPr>
              <w:ind w:left="142"/>
              <w:rPr>
                <w:b/>
                <w:sz w:val="18"/>
                <w:lang w:val="en-US"/>
              </w:rPr>
            </w:pPr>
            <w:r w:rsidRPr="005016C4">
              <w:rPr>
                <w:b/>
                <w:sz w:val="20"/>
                <w:lang w:val="en-US"/>
              </w:rPr>
              <w:t xml:space="preserve">e-mail: </w:t>
            </w:r>
            <w:hyperlink r:id="rId19" w:history="1">
              <w:r w:rsidRPr="005016C4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4E5AB667" wp14:editId="09147AB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71B57F05" wp14:editId="5AD6E54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012644B0" wp14:editId="3425C56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622953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281262AD" wp14:editId="6460418D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Default="009C156D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</w:rPr>
                            </w:pPr>
                            <w:r w:rsidRPr="00A21A3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9C156D" w:rsidRPr="00A21A31" w:rsidRDefault="00B40D2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9C156D" w:rsidRPr="00A21A31" w:rsidRDefault="00B40D2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9C156D" w:rsidRPr="00A21A31" w:rsidRDefault="00B40D2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9C156D" w:rsidRPr="00A21A31" w:rsidRDefault="00B40D2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9C156D" w:rsidRPr="00A21A31" w:rsidRDefault="00B40D2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C156D" w:rsidRPr="00A21A31" w:rsidRDefault="00B40D2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9C156D" w:rsidRPr="00A21A31" w:rsidRDefault="00B40D2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9C156D" w:rsidRPr="00A21A31" w:rsidRDefault="00B40D2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9C156D" w:rsidRPr="00A21A31" w:rsidRDefault="00B40D2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62AD" id="_x0000_s1027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Ivc048+AgAAcw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9C156D" w:rsidRDefault="009C156D" w:rsidP="00883763">
                      <w:pPr>
                        <w:rPr>
                          <w:b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</w:rPr>
                      </w:pPr>
                      <w:r w:rsidRPr="00A21A31">
                        <w:rPr>
                          <w:b/>
                        </w:rPr>
                        <w:t>Powiązane opracowania</w:t>
                      </w:r>
                    </w:p>
                    <w:p w:rsidR="009C156D" w:rsidRPr="00A21A31" w:rsidRDefault="00B40D2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9C156D" w:rsidRPr="00A21A31" w:rsidRDefault="00B40D2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9C156D" w:rsidRPr="00A21A31" w:rsidRDefault="00B40D2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9C156D" w:rsidRPr="00A21A31" w:rsidRDefault="00B40D2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9C156D" w:rsidRPr="00A21A31" w:rsidRDefault="00B40D2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C156D" w:rsidRPr="00A21A31" w:rsidRDefault="00B40D2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9C156D" w:rsidRPr="00A21A31" w:rsidRDefault="00B40D2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9C156D" w:rsidRPr="00A21A31" w:rsidRDefault="00B40D2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9C156D" w:rsidRPr="00A21A31" w:rsidRDefault="00B40D2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EF7B36">
      <w:headerReference w:type="default" r:id="rId41"/>
      <w:footerReference w:type="default" r:id="rId42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D21" w:rsidRDefault="00B40D21" w:rsidP="000662E2">
      <w:pPr>
        <w:spacing w:after="0" w:line="240" w:lineRule="auto"/>
      </w:pPr>
      <w:r>
        <w:separator/>
      </w:r>
    </w:p>
  </w:endnote>
  <w:endnote w:type="continuationSeparator" w:id="0">
    <w:p w:rsidR="00B40D21" w:rsidRDefault="00B40D21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6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6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D21" w:rsidRDefault="00B40D21" w:rsidP="000662E2">
      <w:pPr>
        <w:spacing w:after="0" w:line="240" w:lineRule="auto"/>
      </w:pPr>
      <w:r>
        <w:separator/>
      </w:r>
    </w:p>
  </w:footnote>
  <w:footnote w:type="continuationSeparator" w:id="0">
    <w:p w:rsidR="00B40D21" w:rsidRDefault="00B40D21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6229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20DA8EF" wp14:editId="4116D5F4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CA1144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9C156D" w:rsidRDefault="009C1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622953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41AD885" wp14:editId="34F128DB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156D" w:rsidRPr="003C6C8D" w:rsidRDefault="009C156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1AD885" id="Schemat blokowy: opóźnienie 6" o:spid="_x0000_s1028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C156D" w:rsidRPr="003C6C8D" w:rsidRDefault="009C156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B9186D" wp14:editId="31EAD04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417143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A371FF">
      <w:rPr>
        <w:noProof/>
        <w:lang w:eastAsia="pl-PL"/>
      </w:rPr>
      <w:drawing>
        <wp:inline distT="0" distB="0" distL="0" distR="0" wp14:anchorId="18454D53" wp14:editId="35B42399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156D" w:rsidRDefault="00622953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C67222" wp14:editId="0A155C1F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56D" w:rsidRPr="00C97596" w:rsidRDefault="00A371FF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29</w:t>
                          </w:r>
                          <w:r w:rsidR="009C156D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3.2019</w:t>
                          </w:r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6722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9C156D" w:rsidRPr="00C97596" w:rsidRDefault="00A371FF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29</w:t>
                    </w:r>
                    <w:r w:rsidR="009C156D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3.2019</w:t>
                    </w:r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9C156D">
    <w:pPr>
      <w:pStyle w:val="Nagwek"/>
    </w:pPr>
  </w:p>
  <w:p w:rsidR="009C156D" w:rsidRDefault="009C1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2.95pt;height:125pt;visibility:visible" o:bullet="t">
        <v:imagedata r:id="rId1" o:title=""/>
      </v:shape>
    </w:pict>
  </w:numPicBullet>
  <w:numPicBullet w:numPicBulletId="1">
    <w:pict>
      <v:shape id="_x0000_i1031" type="#_x0000_t75" style="width:123.6pt;height:1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34160"/>
    <w:rsid w:val="0004582E"/>
    <w:rsid w:val="0004646A"/>
    <w:rsid w:val="000470AA"/>
    <w:rsid w:val="00057CA1"/>
    <w:rsid w:val="000662E2"/>
    <w:rsid w:val="00066883"/>
    <w:rsid w:val="00074DD8"/>
    <w:rsid w:val="000806F7"/>
    <w:rsid w:val="00097840"/>
    <w:rsid w:val="000A6963"/>
    <w:rsid w:val="000A7F1A"/>
    <w:rsid w:val="000B0727"/>
    <w:rsid w:val="000C135D"/>
    <w:rsid w:val="000D1D43"/>
    <w:rsid w:val="000D225C"/>
    <w:rsid w:val="000D2A5C"/>
    <w:rsid w:val="000E0918"/>
    <w:rsid w:val="000E3DF4"/>
    <w:rsid w:val="001011C3"/>
    <w:rsid w:val="00102C97"/>
    <w:rsid w:val="00106181"/>
    <w:rsid w:val="00110D87"/>
    <w:rsid w:val="001149A1"/>
    <w:rsid w:val="00114DB9"/>
    <w:rsid w:val="00116087"/>
    <w:rsid w:val="00130296"/>
    <w:rsid w:val="00135B65"/>
    <w:rsid w:val="00142037"/>
    <w:rsid w:val="001423B6"/>
    <w:rsid w:val="001448A7"/>
    <w:rsid w:val="00146621"/>
    <w:rsid w:val="00162325"/>
    <w:rsid w:val="001951DA"/>
    <w:rsid w:val="001C3269"/>
    <w:rsid w:val="001D1DB4"/>
    <w:rsid w:val="001E1D94"/>
    <w:rsid w:val="001E7DBB"/>
    <w:rsid w:val="002574F9"/>
    <w:rsid w:val="00262B61"/>
    <w:rsid w:val="00276811"/>
    <w:rsid w:val="00276C9A"/>
    <w:rsid w:val="00282699"/>
    <w:rsid w:val="002926DF"/>
    <w:rsid w:val="00296697"/>
    <w:rsid w:val="002A4D80"/>
    <w:rsid w:val="002B0472"/>
    <w:rsid w:val="002B6B12"/>
    <w:rsid w:val="002D0020"/>
    <w:rsid w:val="002E6140"/>
    <w:rsid w:val="002E6985"/>
    <w:rsid w:val="002E71B6"/>
    <w:rsid w:val="002F77C8"/>
    <w:rsid w:val="00304F22"/>
    <w:rsid w:val="00305162"/>
    <w:rsid w:val="00306C7C"/>
    <w:rsid w:val="00322EDD"/>
    <w:rsid w:val="003279D3"/>
    <w:rsid w:val="00332320"/>
    <w:rsid w:val="00347D72"/>
    <w:rsid w:val="00357611"/>
    <w:rsid w:val="00367237"/>
    <w:rsid w:val="0037077F"/>
    <w:rsid w:val="00372411"/>
    <w:rsid w:val="00373882"/>
    <w:rsid w:val="003843DB"/>
    <w:rsid w:val="003901AC"/>
    <w:rsid w:val="00393761"/>
    <w:rsid w:val="00397D18"/>
    <w:rsid w:val="003A1B36"/>
    <w:rsid w:val="003A440F"/>
    <w:rsid w:val="003B1454"/>
    <w:rsid w:val="003B18B6"/>
    <w:rsid w:val="003C59E0"/>
    <w:rsid w:val="003C6C8D"/>
    <w:rsid w:val="003D4F95"/>
    <w:rsid w:val="003D5F42"/>
    <w:rsid w:val="003D60A9"/>
    <w:rsid w:val="003F4C97"/>
    <w:rsid w:val="003F5245"/>
    <w:rsid w:val="003F7FE6"/>
    <w:rsid w:val="00400193"/>
    <w:rsid w:val="004212E7"/>
    <w:rsid w:val="0042446D"/>
    <w:rsid w:val="00426ECB"/>
    <w:rsid w:val="00427BF8"/>
    <w:rsid w:val="00431C02"/>
    <w:rsid w:val="00435875"/>
    <w:rsid w:val="00437395"/>
    <w:rsid w:val="00445047"/>
    <w:rsid w:val="004566AB"/>
    <w:rsid w:val="004601AC"/>
    <w:rsid w:val="00463E39"/>
    <w:rsid w:val="004657FC"/>
    <w:rsid w:val="004733F6"/>
    <w:rsid w:val="00474E69"/>
    <w:rsid w:val="0049621B"/>
    <w:rsid w:val="004C1895"/>
    <w:rsid w:val="004C6D40"/>
    <w:rsid w:val="004F0C3C"/>
    <w:rsid w:val="004F529E"/>
    <w:rsid w:val="004F63FC"/>
    <w:rsid w:val="005016C4"/>
    <w:rsid w:val="00502E6F"/>
    <w:rsid w:val="00505A92"/>
    <w:rsid w:val="0051646A"/>
    <w:rsid w:val="00516A50"/>
    <w:rsid w:val="005203F1"/>
    <w:rsid w:val="0052058B"/>
    <w:rsid w:val="00521BC3"/>
    <w:rsid w:val="00526A58"/>
    <w:rsid w:val="00533632"/>
    <w:rsid w:val="0053648F"/>
    <w:rsid w:val="00541E6E"/>
    <w:rsid w:val="0054251F"/>
    <w:rsid w:val="005520D8"/>
    <w:rsid w:val="00556CF1"/>
    <w:rsid w:val="005762A7"/>
    <w:rsid w:val="005877DE"/>
    <w:rsid w:val="005916D7"/>
    <w:rsid w:val="005A698C"/>
    <w:rsid w:val="005C1AF8"/>
    <w:rsid w:val="005D470D"/>
    <w:rsid w:val="005E0799"/>
    <w:rsid w:val="005E2988"/>
    <w:rsid w:val="005F5A80"/>
    <w:rsid w:val="006039C0"/>
    <w:rsid w:val="006044FF"/>
    <w:rsid w:val="00607CC5"/>
    <w:rsid w:val="00622953"/>
    <w:rsid w:val="00633014"/>
    <w:rsid w:val="0063437B"/>
    <w:rsid w:val="00637C1E"/>
    <w:rsid w:val="006673CA"/>
    <w:rsid w:val="00673C26"/>
    <w:rsid w:val="00674A8B"/>
    <w:rsid w:val="006812AF"/>
    <w:rsid w:val="0068327D"/>
    <w:rsid w:val="00685123"/>
    <w:rsid w:val="00691225"/>
    <w:rsid w:val="00694AF0"/>
    <w:rsid w:val="006A07DC"/>
    <w:rsid w:val="006A4686"/>
    <w:rsid w:val="006B0E9E"/>
    <w:rsid w:val="006B208D"/>
    <w:rsid w:val="006B5AE4"/>
    <w:rsid w:val="006D1507"/>
    <w:rsid w:val="006D4054"/>
    <w:rsid w:val="006D6B72"/>
    <w:rsid w:val="006E02EC"/>
    <w:rsid w:val="006F4F57"/>
    <w:rsid w:val="007059D5"/>
    <w:rsid w:val="007162EB"/>
    <w:rsid w:val="007211B1"/>
    <w:rsid w:val="00733D55"/>
    <w:rsid w:val="007356A6"/>
    <w:rsid w:val="00746187"/>
    <w:rsid w:val="00752A67"/>
    <w:rsid w:val="00761070"/>
    <w:rsid w:val="0076254F"/>
    <w:rsid w:val="007801F5"/>
    <w:rsid w:val="00783CA4"/>
    <w:rsid w:val="007842FB"/>
    <w:rsid w:val="00786124"/>
    <w:rsid w:val="0078756B"/>
    <w:rsid w:val="0079514B"/>
    <w:rsid w:val="007A2DC1"/>
    <w:rsid w:val="007B74D8"/>
    <w:rsid w:val="007D3319"/>
    <w:rsid w:val="007D335D"/>
    <w:rsid w:val="007E3314"/>
    <w:rsid w:val="007E4B03"/>
    <w:rsid w:val="007F324B"/>
    <w:rsid w:val="00802A9A"/>
    <w:rsid w:val="0080553C"/>
    <w:rsid w:val="00805B46"/>
    <w:rsid w:val="00820B10"/>
    <w:rsid w:val="00821373"/>
    <w:rsid w:val="0082498D"/>
    <w:rsid w:val="00825DC2"/>
    <w:rsid w:val="00831172"/>
    <w:rsid w:val="00831DEF"/>
    <w:rsid w:val="00834AD3"/>
    <w:rsid w:val="00843795"/>
    <w:rsid w:val="00847F0F"/>
    <w:rsid w:val="00852448"/>
    <w:rsid w:val="0088258A"/>
    <w:rsid w:val="008832C4"/>
    <w:rsid w:val="00883763"/>
    <w:rsid w:val="00886332"/>
    <w:rsid w:val="008A26D9"/>
    <w:rsid w:val="008C0C29"/>
    <w:rsid w:val="008C7A01"/>
    <w:rsid w:val="008F3638"/>
    <w:rsid w:val="008F4441"/>
    <w:rsid w:val="008F6F31"/>
    <w:rsid w:val="008F74DF"/>
    <w:rsid w:val="009127BA"/>
    <w:rsid w:val="00916782"/>
    <w:rsid w:val="009227A6"/>
    <w:rsid w:val="00933B26"/>
    <w:rsid w:val="00933EC1"/>
    <w:rsid w:val="009530DB"/>
    <w:rsid w:val="00953676"/>
    <w:rsid w:val="009705EE"/>
    <w:rsid w:val="00977927"/>
    <w:rsid w:val="0098135C"/>
    <w:rsid w:val="0098156A"/>
    <w:rsid w:val="00985747"/>
    <w:rsid w:val="00990133"/>
    <w:rsid w:val="00991BAC"/>
    <w:rsid w:val="009A6EA0"/>
    <w:rsid w:val="009B1399"/>
    <w:rsid w:val="009C1335"/>
    <w:rsid w:val="009C156D"/>
    <w:rsid w:val="009C1AB2"/>
    <w:rsid w:val="009C5407"/>
    <w:rsid w:val="009C7251"/>
    <w:rsid w:val="009E2E91"/>
    <w:rsid w:val="009E3BF4"/>
    <w:rsid w:val="009F5815"/>
    <w:rsid w:val="00A07F00"/>
    <w:rsid w:val="00A12435"/>
    <w:rsid w:val="00A139F5"/>
    <w:rsid w:val="00A2136A"/>
    <w:rsid w:val="00A21A31"/>
    <w:rsid w:val="00A33F84"/>
    <w:rsid w:val="00A34C24"/>
    <w:rsid w:val="00A365F4"/>
    <w:rsid w:val="00A371FF"/>
    <w:rsid w:val="00A37CE0"/>
    <w:rsid w:val="00A460E6"/>
    <w:rsid w:val="00A46BD5"/>
    <w:rsid w:val="00A47D80"/>
    <w:rsid w:val="00A51E49"/>
    <w:rsid w:val="00A53132"/>
    <w:rsid w:val="00A563F2"/>
    <w:rsid w:val="00A566E8"/>
    <w:rsid w:val="00A76691"/>
    <w:rsid w:val="00A810F9"/>
    <w:rsid w:val="00A86ECC"/>
    <w:rsid w:val="00A86FCC"/>
    <w:rsid w:val="00AA710D"/>
    <w:rsid w:val="00AB6D25"/>
    <w:rsid w:val="00AD4947"/>
    <w:rsid w:val="00AE20FD"/>
    <w:rsid w:val="00AE2D4B"/>
    <w:rsid w:val="00AE3075"/>
    <w:rsid w:val="00AE4F99"/>
    <w:rsid w:val="00B11B69"/>
    <w:rsid w:val="00B14952"/>
    <w:rsid w:val="00B31E5A"/>
    <w:rsid w:val="00B322EC"/>
    <w:rsid w:val="00B40D21"/>
    <w:rsid w:val="00B50227"/>
    <w:rsid w:val="00B609CE"/>
    <w:rsid w:val="00B653AB"/>
    <w:rsid w:val="00B65F9E"/>
    <w:rsid w:val="00B66B19"/>
    <w:rsid w:val="00B914E9"/>
    <w:rsid w:val="00B93CB1"/>
    <w:rsid w:val="00B94737"/>
    <w:rsid w:val="00B956EE"/>
    <w:rsid w:val="00B97152"/>
    <w:rsid w:val="00BA2BA1"/>
    <w:rsid w:val="00BA3562"/>
    <w:rsid w:val="00BA5A42"/>
    <w:rsid w:val="00BB4F09"/>
    <w:rsid w:val="00BC2C5D"/>
    <w:rsid w:val="00BD4E33"/>
    <w:rsid w:val="00C00EDA"/>
    <w:rsid w:val="00C030DE"/>
    <w:rsid w:val="00C22105"/>
    <w:rsid w:val="00C244B6"/>
    <w:rsid w:val="00C27D75"/>
    <w:rsid w:val="00C3702F"/>
    <w:rsid w:val="00C4500A"/>
    <w:rsid w:val="00C55C91"/>
    <w:rsid w:val="00C64A37"/>
    <w:rsid w:val="00C7158E"/>
    <w:rsid w:val="00C7250B"/>
    <w:rsid w:val="00C7346B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58B7"/>
    <w:rsid w:val="00CF4099"/>
    <w:rsid w:val="00D00796"/>
    <w:rsid w:val="00D02D2C"/>
    <w:rsid w:val="00D261A2"/>
    <w:rsid w:val="00D478C0"/>
    <w:rsid w:val="00D538E4"/>
    <w:rsid w:val="00D616D2"/>
    <w:rsid w:val="00D63B5F"/>
    <w:rsid w:val="00D7066F"/>
    <w:rsid w:val="00D70EF7"/>
    <w:rsid w:val="00D72BB0"/>
    <w:rsid w:val="00D815F5"/>
    <w:rsid w:val="00D8397C"/>
    <w:rsid w:val="00D87084"/>
    <w:rsid w:val="00D94EED"/>
    <w:rsid w:val="00D96026"/>
    <w:rsid w:val="00DA0243"/>
    <w:rsid w:val="00DA433C"/>
    <w:rsid w:val="00DA7C1C"/>
    <w:rsid w:val="00DB147A"/>
    <w:rsid w:val="00DB1B7A"/>
    <w:rsid w:val="00DC6708"/>
    <w:rsid w:val="00DF712D"/>
    <w:rsid w:val="00E01436"/>
    <w:rsid w:val="00E045BD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664C5"/>
    <w:rsid w:val="00E671A2"/>
    <w:rsid w:val="00E76D26"/>
    <w:rsid w:val="00E8329E"/>
    <w:rsid w:val="00EB02C9"/>
    <w:rsid w:val="00EB1390"/>
    <w:rsid w:val="00EB2C71"/>
    <w:rsid w:val="00EB4340"/>
    <w:rsid w:val="00EB556D"/>
    <w:rsid w:val="00EB5A7D"/>
    <w:rsid w:val="00ED55C0"/>
    <w:rsid w:val="00ED682B"/>
    <w:rsid w:val="00EE41D5"/>
    <w:rsid w:val="00EE696D"/>
    <w:rsid w:val="00EF7B36"/>
    <w:rsid w:val="00F037A4"/>
    <w:rsid w:val="00F12FEC"/>
    <w:rsid w:val="00F17C38"/>
    <w:rsid w:val="00F26013"/>
    <w:rsid w:val="00F27C8F"/>
    <w:rsid w:val="00F30A0C"/>
    <w:rsid w:val="00F32346"/>
    <w:rsid w:val="00F32749"/>
    <w:rsid w:val="00F37172"/>
    <w:rsid w:val="00F4477E"/>
    <w:rsid w:val="00F45717"/>
    <w:rsid w:val="00F65EEC"/>
    <w:rsid w:val="00F6637E"/>
    <w:rsid w:val="00F67D8F"/>
    <w:rsid w:val="00F739B3"/>
    <w:rsid w:val="00F74B10"/>
    <w:rsid w:val="00F80247"/>
    <w:rsid w:val="00F802BE"/>
    <w:rsid w:val="00F80E93"/>
    <w:rsid w:val="00F86024"/>
    <w:rsid w:val="00F8611A"/>
    <w:rsid w:val="00F86C02"/>
    <w:rsid w:val="00F90BB1"/>
    <w:rsid w:val="00FA5128"/>
    <w:rsid w:val="00FA5BDD"/>
    <w:rsid w:val="00FB42D4"/>
    <w:rsid w:val="00FB5906"/>
    <w:rsid w:val="00FB762F"/>
    <w:rsid w:val="00FC2AED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90081F-EECB-47CF-ADAA-8C36AA37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mailto:rzecznik@stat.gov.pl" TargetMode="External"/><Relationship Id="rId26" Type="http://schemas.openxmlformats.org/officeDocument/2006/relationships/hyperlink" Target="http://bdm.stat.gov.pl/" TargetMode="External"/><Relationship Id="rId39" Type="http://schemas.openxmlformats.org/officeDocument/2006/relationships/hyperlink" Target="http://stat.gov.pl/metainformacje/slownik-pojec/pojecia-stosowane-w-statystyce-publicznej/711,pojecie.html" TargetMode="External"/><Relationship Id="rId21" Type="http://schemas.openxmlformats.org/officeDocument/2006/relationships/image" Target="media/image6.png"/><Relationship Id="rId34" Type="http://schemas.openxmlformats.org/officeDocument/2006/relationships/hyperlink" Target="http://swaid.stat.gov.pl/SitePagesDBW/Ceny.aspx" TargetMode="Externa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5.png"/><Relationship Id="rId29" Type="http://schemas.openxmlformats.org/officeDocument/2006/relationships/hyperlink" Target="http://stat.gov.pl/obszary-tematyczne/ceny-handel/ceny/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sygnalne/informacje-sygnalne/" TargetMode="External"/><Relationship Id="rId32" Type="http://schemas.openxmlformats.org/officeDocument/2006/relationships/hyperlink" Target="http://stat.gov.pl/sygnalne/komunikaty-i-obwieszczenia/" TargetMode="External"/><Relationship Id="rId37" Type="http://schemas.openxmlformats.org/officeDocument/2006/relationships/hyperlink" Target="http://stat.gov.pl/obszary-tematyczne/ceny-handel/wskazniki-cen/" TargetMode="External"/><Relationship Id="rId40" Type="http://schemas.openxmlformats.org/officeDocument/2006/relationships/hyperlink" Target="http://stat.gov.pl/metainformacje/slownik-pojec/pojecia-stosowane-w-statystyce-publicznej/32,pojecie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://stat.gov.pl/sygnalne/komunikaty-i-obwieszczenia/" TargetMode="External"/><Relationship Id="rId28" Type="http://schemas.openxmlformats.org/officeDocument/2006/relationships/hyperlink" Target="http://stat.gov.pl/obszary-tematyczne/ceny-handel/wskazniki-cen/" TargetMode="External"/><Relationship Id="rId36" Type="http://schemas.openxmlformats.org/officeDocument/2006/relationships/hyperlink" Target="https://bdl.stat.gov.pl/BDL/start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hyperlink" Target="http://stat.gov.pl/metainformacje/slownik-pojec/pojecia-stosowane-w-statystyce-publicznej/32,pojecie.html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png"/><Relationship Id="rId27" Type="http://schemas.openxmlformats.org/officeDocument/2006/relationships/hyperlink" Target="https://bdl.stat.gov.pl/BDL/start" TargetMode="External"/><Relationship Id="rId30" Type="http://schemas.openxmlformats.org/officeDocument/2006/relationships/hyperlink" Target="http://stat.gov.pl/metainformacje/slownik-pojec/pojecia-stosowane-w-statystyce-publicznej/711,pojecie.html" TargetMode="External"/><Relationship Id="rId35" Type="http://schemas.openxmlformats.org/officeDocument/2006/relationships/hyperlink" Target="http://bdm.stat.gov.pl/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hyperlink" Target="mailto:a.bobel@stat.gov.pl" TargetMode="External"/><Relationship Id="rId25" Type="http://schemas.openxmlformats.org/officeDocument/2006/relationships/hyperlink" Target="http://swaid.stat.gov.pl/SitePagesDBW/Ceny.aspx" TargetMode="External"/><Relationship Id="rId33" Type="http://schemas.openxmlformats.org/officeDocument/2006/relationships/hyperlink" Target="http://stat.gov.pl/sygnalne/informacje-sygnalne/" TargetMode="External"/><Relationship Id="rId38" Type="http://schemas.openxmlformats.org/officeDocument/2006/relationships/hyperlink" Target="http://stat.gov.pl/obszary-tematyczne/ceny-handel/cen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3"/>
            <c:bubble3D val="0"/>
          </c:dPt>
          <c:dPt>
            <c:idx val="26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5.0616008809609356E-2"/>
                  <c:y val="-2.4206780528164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1772440865861941E-2"/>
                  <c:y val="-2.7697350110290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6444682213648646E-2"/>
                  <c:y val="3.76355385213311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0734795836432554E-2"/>
                  <c:y val="-2.27997368465349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4245877261574399E-2"/>
                  <c:y val="-2.17774922428642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6691337886234032E-2"/>
                  <c:y val="-2.3199516897370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125705509261484E-2"/>
                  <c:y val="-4.53403180285372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4510933372825917E-2"/>
                  <c:y val="-4.52829692279359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65283097720949E-2"/>
                  <c:y val="-3.2036409442103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5.636058101918643E-2"/>
                  <c:y val="2.59187226115596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667627025009914E-2"/>
                  <c:y val="4.26451263602891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3.3873725706457719E-2"/>
                  <c:y val="3.82487215808779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3.9102855073820067E-2"/>
                  <c:y val="-3.69656273320502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8219539675939988E-2"/>
                  <c:y val="-4.14193173720563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7490512628394465E-2"/>
                  <c:y val="-3.69656273320502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5019564268685778E-2"/>
                  <c:y val="-3.69656273320502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2548615908977264E-2"/>
                  <c:y val="-3.69656273320502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2.6667758812870711E-2"/>
                  <c:y val="-4.14193173720563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2101615513820092E-2"/>
                  <c:y val="-1.91508671720260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6146764319878251E-2"/>
                  <c:y val="2.06631024632329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5.3022303242646444E-2"/>
                  <c:y val="3.82487215808779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5.9318325662043918E-2"/>
                  <c:y val="1.6266839857930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9.088685861492099E-3"/>
                  <c:y val="7.473888124999134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1.3524586570117689E-2"/>
                  <c:y val="-2.4170533425830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(+FE)'!$B$14:$B$40</c:f>
              <c:strCache>
                <c:ptCount val="2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</c:strCache>
            </c:strRef>
          </c:cat>
          <c:val>
            <c:numRef>
              <c:f>'M-12 (+FE)'!$C$14:$C$40</c:f>
              <c:numCache>
                <c:formatCode>0.0</c:formatCode>
                <c:ptCount val="27"/>
                <c:pt idx="0">
                  <c:v>1.7000000000000028</c:v>
                </c:pt>
                <c:pt idx="1">
                  <c:v>2.2000000000000028</c:v>
                </c:pt>
                <c:pt idx="2">
                  <c:v>2</c:v>
                </c:pt>
                <c:pt idx="3">
                  <c:v>2</c:v>
                </c:pt>
                <c:pt idx="4">
                  <c:v>1.9000000000000057</c:v>
                </c:pt>
                <c:pt idx="5">
                  <c:v>1.5</c:v>
                </c:pt>
                <c:pt idx="6">
                  <c:v>1.7000000000000028</c:v>
                </c:pt>
                <c:pt idx="7">
                  <c:v>1.7999999999999972</c:v>
                </c:pt>
                <c:pt idx="8">
                  <c:v>2.2000000000000028</c:v>
                </c:pt>
                <c:pt idx="9">
                  <c:v>2.0999999999999943</c:v>
                </c:pt>
                <c:pt idx="10">
                  <c:v>2.5</c:v>
                </c:pt>
                <c:pt idx="11">
                  <c:v>2.0999999999999943</c:v>
                </c:pt>
                <c:pt idx="12">
                  <c:v>1.9000000000000057</c:v>
                </c:pt>
                <c:pt idx="13">
                  <c:v>1.4</c:v>
                </c:pt>
                <c:pt idx="14">
                  <c:v>1.3</c:v>
                </c:pt>
                <c:pt idx="15">
                  <c:v>1.6</c:v>
                </c:pt>
                <c:pt idx="16">
                  <c:v>1.7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1.9</c:v>
                </c:pt>
                <c:pt idx="21">
                  <c:v>1.8</c:v>
                </c:pt>
                <c:pt idx="22">
                  <c:v>1.3</c:v>
                </c:pt>
                <c:pt idx="23">
                  <c:v>1.1000000000000001</c:v>
                </c:pt>
                <c:pt idx="24">
                  <c:v>0.7</c:v>
                </c:pt>
                <c:pt idx="25">
                  <c:v>1.2</c:v>
                </c:pt>
                <c:pt idx="26">
                  <c:v>1.7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987846080"/>
        <c:axId val="-987847168"/>
      </c:lineChart>
      <c:dateAx>
        <c:axId val="-987846080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987847168"/>
        <c:crossesAt val="0"/>
        <c:auto val="0"/>
        <c:lblOffset val="100"/>
        <c:baseTimeUnit val="days"/>
      </c:dateAx>
      <c:valAx>
        <c:axId val="-987847168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987846080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0.07065</cdr:x>
      <cdr:y>0.93596</cdr:y>
    </cdr:from>
    <cdr:to>
      <cdr:x>0.44984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61847" y="2747781"/>
          <a:ext cx="1942083" cy="1880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0.44984</cdr:x>
      <cdr:y>0.93596</cdr:y>
    </cdr:from>
    <cdr:to>
      <cdr:x>0.83295</cdr:x>
      <cdr:y>1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2303931" y="2747781"/>
          <a:ext cx="1962150" cy="1880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0.4497</cdr:x>
      <cdr:y>0.86665</cdr:y>
    </cdr:from>
    <cdr:to>
      <cdr:x>0.45005</cdr:x>
      <cdr:y>0.9516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H="1" flipV="1">
          <a:off x="2303203" y="2544302"/>
          <a:ext cx="1792" cy="24939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0.06867</cdr:x>
      <cdr:y>0.35471</cdr:y>
    </cdr:from>
    <cdr:to>
      <cdr:x>0.92874</cdr:x>
      <cdr:y>0.35473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1782" y="1021555"/>
          <a:ext cx="4405956" cy="8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0.55948</cdr:y>
    </cdr:from>
    <cdr:to>
      <cdr:x>0.92967</cdr:x>
      <cdr:y>0.55976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1629" y="1611300"/>
          <a:ext cx="4410871" cy="80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0.15048</cdr:y>
    </cdr:from>
    <cdr:to>
      <cdr:x>0.92967</cdr:x>
      <cdr:y>0.15172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1629" y="433387"/>
          <a:ext cx="4410871" cy="35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0.08445</cdr:x>
      <cdr:y>0.19284</cdr:y>
    </cdr:from>
    <cdr:to>
      <cdr:x>0.27623</cdr:x>
      <cdr:y>0.26129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3383" y="557052"/>
          <a:ext cx="984162" cy="19774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0.16814</cdr:x>
      <cdr:y>0.25353</cdr:y>
    </cdr:from>
    <cdr:to>
      <cdr:x>0.23446</cdr:x>
      <cdr:y>0.35004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862853" y="732385"/>
          <a:ext cx="340341" cy="27878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0.63364</cdr:x>
      <cdr:y>0.19397</cdr:y>
    </cdr:from>
    <cdr:to>
      <cdr:x>0.85927</cdr:x>
      <cdr:y>0.30784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3236595" y="555747"/>
          <a:ext cx="1152525" cy="3262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 </a:t>
          </a:r>
        </a:p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 </a:t>
          </a:r>
        </a:p>
      </cdr:txBody>
    </cdr:sp>
  </cdr:relSizeAnchor>
  <cdr:relSizeAnchor xmlns:cdr="http://schemas.openxmlformats.org/drawingml/2006/chartDrawing">
    <cdr:from>
      <cdr:x>0.57757</cdr:x>
      <cdr:y>0.15655</cdr:y>
    </cdr:from>
    <cdr:to>
      <cdr:x>0.63909</cdr:x>
      <cdr:y>0.23592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2948700" y="454493"/>
          <a:ext cx="314080" cy="23040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0.50442</cdr:x>
      <cdr:y>0.23608</cdr:y>
    </cdr:from>
    <cdr:to>
      <cdr:x>0.63871</cdr:x>
      <cdr:y>0.55999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2588559" y="681958"/>
          <a:ext cx="689162" cy="93569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0.83192</cdr:x>
      <cdr:y>0.86518</cdr:y>
    </cdr:from>
    <cdr:to>
      <cdr:x>0.83227</cdr:x>
      <cdr:y>0.95013</cdr:y>
    </cdr:to>
    <cdr:sp macro="" textlink="">
      <cdr:nvSpPr>
        <cdr:cNvPr id="21" name="Łącznik prosty 9"/>
        <cdr:cNvSpPr/>
      </cdr:nvSpPr>
      <cdr:spPr bwMode="auto">
        <a:xfrm xmlns:a="http://schemas.openxmlformats.org/drawingml/2006/main" flipH="1" flipV="1">
          <a:off x="4260850" y="2540000"/>
          <a:ext cx="1792" cy="24939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0.83171</cdr:x>
      <cdr:y>0.93596</cdr:y>
    </cdr:from>
    <cdr:to>
      <cdr:x>0.92965</cdr:x>
      <cdr:y>1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4259730" y="2747781"/>
          <a:ext cx="501650" cy="1880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1435F88D-4FAB-4979-A0C9-12426347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 Beata</dc:creator>
  <cp:lastModifiedBy>Karczmarski Jacek</cp:lastModifiedBy>
  <cp:revision>3</cp:revision>
  <cp:lastPrinted>2018-04-03T07:51:00Z</cp:lastPrinted>
  <dcterms:created xsi:type="dcterms:W3CDTF">2018-04-03T11:06:00Z</dcterms:created>
  <dcterms:modified xsi:type="dcterms:W3CDTF">2019-03-29T06:15:00Z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