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6E1DCF" w:rsidRDefault="00685123" w:rsidP="00685123">
      <w:pPr>
        <w:pStyle w:val="tytuinformacji"/>
        <w:rPr>
          <w:shd w:val="clear" w:color="auto" w:fill="FFFFFF"/>
        </w:rPr>
      </w:pPr>
      <w:bookmarkStart w:id="0" w:name="_GoBack"/>
      <w:bookmarkEnd w:id="0"/>
      <w:r w:rsidRPr="006E1DCF">
        <w:t>Wskaźniki cen towarów i usł</w:t>
      </w:r>
      <w:r w:rsidR="00083159">
        <w:t>ug konsumpcyjnych w styczniu 2020</w:t>
      </w:r>
      <w:r w:rsidRPr="006E1DCF">
        <w:t xml:space="preserve"> r. (dane wstępne</w:t>
      </w:r>
      <w:r w:rsidR="00A54FF9" w:rsidRPr="00072E75">
        <w:rPr>
          <w:vertAlign w:val="superscript"/>
        </w:rPr>
        <w:footnoteReference w:id="1"/>
      </w:r>
      <w:r w:rsidRPr="006E1DCF">
        <w:t>)</w:t>
      </w:r>
    </w:p>
    <w:p w:rsidR="00393761" w:rsidRPr="00FF39EB" w:rsidRDefault="00393761" w:rsidP="00074DD8">
      <w:pPr>
        <w:pStyle w:val="tytuinformacji"/>
        <w:rPr>
          <w:sz w:val="32"/>
          <w:highlight w:val="yellow"/>
        </w:rPr>
      </w:pPr>
    </w:p>
    <w:p w:rsidR="00083159" w:rsidRPr="002829B6" w:rsidRDefault="00ED3F9E" w:rsidP="00685123">
      <w:pPr>
        <w:pStyle w:val="LID"/>
        <w:contextualSpacing/>
      </w:pPr>
      <w:r>
        <w:t>W</w:t>
      </w:r>
      <w:r w:rsidRPr="00072E75">
        <w:t xml:space="preserve">edług wstępnych </w:t>
      </w:r>
      <w:r w:rsidR="00942B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44" type="#_x0000_t202" style="position:absolute;margin-left:0;margin-top:5.45pt;width:2in;height:94.5pt;z-index:2517483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 style="mso-next-textbox:#Pole tekstowe 2">
              <w:txbxContent>
                <w:p w:rsidR="00083159" w:rsidRPr="00D538E4" w:rsidRDefault="00083159" w:rsidP="00083159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 w:rsidRPr="00C61795"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eastAsia="pl-PL"/>
                    </w:rPr>
                    <w:drawing>
                      <wp:inline distT="0" distB="0" distL="0" distR="0" wp14:anchorId="65BEF59C" wp14:editId="69E157E8">
                        <wp:extent cx="334645" cy="334645"/>
                        <wp:effectExtent l="0" t="0" r="8255" b="8255"/>
                        <wp:docPr id="2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79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 w:rsidR="00E26AA3" w:rsidRPr="002829B6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4</w:t>
                  </w:r>
                  <w:r w:rsidRPr="002829B6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,</w:t>
                  </w:r>
                  <w:r w:rsidR="002829B6" w:rsidRPr="002829B6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4</w:t>
                  </w:r>
                  <w:r w:rsidRPr="002829B6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%</w:t>
                  </w:r>
                </w:p>
                <w:p w:rsidR="00083159" w:rsidRDefault="00083159" w:rsidP="00083159">
                  <w:pPr>
                    <w:pStyle w:val="tekstnaniebieskimtle"/>
                  </w:pPr>
                  <w:r>
                    <w:t xml:space="preserve">wzrost w porównaniu </w:t>
                  </w:r>
                </w:p>
                <w:p w:rsidR="00083159" w:rsidRDefault="00083159" w:rsidP="00083159">
                  <w:pPr>
                    <w:pStyle w:val="tekstnaniebieskimtle"/>
                  </w:pPr>
                  <w:r>
                    <w:t xml:space="preserve">z analogicznym miesiącem </w:t>
                  </w:r>
                </w:p>
                <w:p w:rsidR="00083159" w:rsidRPr="00D538E4" w:rsidRDefault="00083159" w:rsidP="00083159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>poprzedniego roku</w:t>
                  </w:r>
                </w:p>
              </w:txbxContent>
            </v:textbox>
            <w10:wrap type="square" anchorx="margin"/>
          </v:shape>
        </w:pict>
      </w:r>
      <w:r>
        <w:t>danych w</w:t>
      </w:r>
      <w:r w:rsidR="00083159">
        <w:t xml:space="preserve"> styczniu 2020</w:t>
      </w:r>
      <w:r w:rsidR="00685123" w:rsidRPr="00072E75">
        <w:t xml:space="preserve"> r. ceny </w:t>
      </w:r>
      <w:r w:rsidR="00083159">
        <w:t xml:space="preserve">towarów </w:t>
      </w:r>
      <w:r w:rsidR="00083159" w:rsidRPr="002829B6">
        <w:t>i usług konsumpcyj</w:t>
      </w:r>
      <w:r w:rsidR="00685123" w:rsidRPr="002829B6">
        <w:t>nych</w:t>
      </w:r>
      <w:r w:rsidRPr="002829B6">
        <w:t xml:space="preserve"> </w:t>
      </w:r>
      <w:r w:rsidR="00083159" w:rsidRPr="002829B6">
        <w:t xml:space="preserve">wzrosły </w:t>
      </w:r>
      <w:r w:rsidR="00E26AA3" w:rsidRPr="002829B6">
        <w:t>o 4</w:t>
      </w:r>
      <w:r w:rsidR="002829B6" w:rsidRPr="002829B6">
        <w:t>,4</w:t>
      </w:r>
      <w:r w:rsidRPr="002829B6">
        <w:t>%</w:t>
      </w:r>
      <w:r w:rsidR="00083159" w:rsidRPr="002829B6">
        <w:t xml:space="preserve"> w</w:t>
      </w:r>
      <w:r w:rsidRPr="002829B6">
        <w:t> </w:t>
      </w:r>
      <w:r w:rsidR="00083159" w:rsidRPr="002829B6">
        <w:t>porównaniu z analogicznym miesiącem ub. roku.</w:t>
      </w:r>
    </w:p>
    <w:p w:rsidR="00685123" w:rsidRPr="006E1DCF" w:rsidRDefault="00083159" w:rsidP="00685123">
      <w:pPr>
        <w:pStyle w:val="LID"/>
        <w:contextualSpacing/>
        <w:rPr>
          <w:shd w:val="clear" w:color="auto" w:fill="FFFFFF"/>
        </w:rPr>
      </w:pPr>
      <w:r w:rsidRPr="002829B6">
        <w:t xml:space="preserve">W stosunku do poprzedniego miesiąca ceny towarów i usług wzrosły o </w:t>
      </w:r>
      <w:r w:rsidR="002829B6" w:rsidRPr="002829B6">
        <w:t>0,9</w:t>
      </w:r>
      <w:r w:rsidRPr="002829B6">
        <w:t>%.</w:t>
      </w:r>
    </w:p>
    <w:p w:rsidR="00685123" w:rsidRPr="00FF39EB" w:rsidRDefault="00685123" w:rsidP="00685123">
      <w:pPr>
        <w:pStyle w:val="LID"/>
        <w:contextualSpacing/>
        <w:rPr>
          <w:highlight w:val="yellow"/>
        </w:rPr>
      </w:pPr>
    </w:p>
    <w:p w:rsidR="00685123" w:rsidRPr="00FF39EB" w:rsidRDefault="00685123" w:rsidP="00685123">
      <w:pPr>
        <w:pStyle w:val="LID"/>
        <w:contextualSpacing/>
        <w:rPr>
          <w:highlight w:val="yellow"/>
        </w:rPr>
      </w:pPr>
    </w:p>
    <w:p w:rsidR="00685123" w:rsidRPr="00FF39EB" w:rsidRDefault="00685123" w:rsidP="00685123">
      <w:pPr>
        <w:pStyle w:val="LID"/>
        <w:contextualSpacing/>
        <w:rPr>
          <w:highlight w:val="yellow"/>
        </w:rPr>
      </w:pPr>
    </w:p>
    <w:p w:rsidR="00685123" w:rsidRPr="00FF39EB" w:rsidRDefault="00685123" w:rsidP="0006476D">
      <w:pPr>
        <w:pStyle w:val="LID"/>
        <w:spacing w:line="220" w:lineRule="exact"/>
        <w:rPr>
          <w:highlight w:val="yellow"/>
        </w:rPr>
      </w:pPr>
    </w:p>
    <w:tbl>
      <w:tblPr>
        <w:tblStyle w:val="Siatkatabelijasna11"/>
        <w:tblpPr w:leftFromText="142" w:rightFromText="142" w:vertAnchor="text" w:horzAnchor="margin" w:tblpXSpec="center" w:tblpY="341"/>
        <w:tblW w:w="8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71"/>
        <w:gridCol w:w="2251"/>
        <w:gridCol w:w="2246"/>
      </w:tblGrid>
      <w:tr w:rsidR="00685123" w:rsidRPr="00FF39EB" w:rsidTr="00685123">
        <w:trPr>
          <w:trHeight w:val="57"/>
        </w:trPr>
        <w:tc>
          <w:tcPr>
            <w:tcW w:w="3571" w:type="dxa"/>
            <w:vMerge w:val="restart"/>
            <w:vAlign w:val="center"/>
          </w:tcPr>
          <w:p w:rsidR="00685123" w:rsidRPr="006E1DCF" w:rsidRDefault="00685123" w:rsidP="0006476D">
            <w:pPr>
              <w:pStyle w:val="Nagwek1"/>
              <w:tabs>
                <w:tab w:val="right" w:leader="dot" w:pos="4139"/>
              </w:tabs>
              <w:spacing w:line="220" w:lineRule="exact"/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6E1DCF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4497" w:type="dxa"/>
            <w:gridSpan w:val="2"/>
            <w:vAlign w:val="center"/>
          </w:tcPr>
          <w:p w:rsidR="00685123" w:rsidRPr="006E1DCF" w:rsidRDefault="00083159" w:rsidP="0006476D">
            <w:pPr>
              <w:pStyle w:val="Nagwek3"/>
              <w:spacing w:before="0" w:line="220" w:lineRule="exact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 2020</w:t>
            </w:r>
          </w:p>
        </w:tc>
      </w:tr>
      <w:tr w:rsidR="00685123" w:rsidRPr="00FF39EB" w:rsidTr="00685123">
        <w:trPr>
          <w:trHeight w:val="57"/>
        </w:trPr>
        <w:tc>
          <w:tcPr>
            <w:tcW w:w="3571" w:type="dxa"/>
            <w:vMerge/>
            <w:tcBorders>
              <w:bottom w:val="single" w:sz="12" w:space="0" w:color="212492"/>
            </w:tcBorders>
            <w:vAlign w:val="center"/>
          </w:tcPr>
          <w:p w:rsidR="00685123" w:rsidRPr="006E1DCF" w:rsidRDefault="00685123" w:rsidP="0006476D">
            <w:pPr>
              <w:pStyle w:val="Nagwek1"/>
              <w:tabs>
                <w:tab w:val="right" w:leader="dot" w:pos="4139"/>
              </w:tabs>
              <w:spacing w:line="220" w:lineRule="exact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tcBorders>
              <w:bottom w:val="single" w:sz="12" w:space="0" w:color="212492"/>
            </w:tcBorders>
            <w:vAlign w:val="center"/>
          </w:tcPr>
          <w:p w:rsidR="00685123" w:rsidRPr="006E1DCF" w:rsidRDefault="00685123" w:rsidP="00083159">
            <w:pPr>
              <w:spacing w:line="22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6E1DCF">
              <w:rPr>
                <w:color w:val="000000" w:themeColor="text1"/>
                <w:sz w:val="16"/>
                <w:szCs w:val="16"/>
              </w:rPr>
              <w:t>I 201</w:t>
            </w:r>
            <w:r w:rsidR="00083159">
              <w:rPr>
                <w:color w:val="000000" w:themeColor="text1"/>
                <w:sz w:val="16"/>
                <w:szCs w:val="16"/>
              </w:rPr>
              <w:t>9</w:t>
            </w:r>
            <w:r w:rsidRPr="006E1DCF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2246" w:type="dxa"/>
            <w:tcBorders>
              <w:bottom w:val="single" w:sz="12" w:space="0" w:color="212492"/>
            </w:tcBorders>
            <w:vAlign w:val="center"/>
          </w:tcPr>
          <w:p w:rsidR="00685123" w:rsidRPr="006E1DCF" w:rsidRDefault="00685123" w:rsidP="0006476D">
            <w:pPr>
              <w:spacing w:line="22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6E1DCF">
              <w:rPr>
                <w:color w:val="000000" w:themeColor="text1"/>
                <w:sz w:val="16"/>
                <w:szCs w:val="16"/>
              </w:rPr>
              <w:t>XII 201</w:t>
            </w:r>
            <w:r w:rsidR="00083159">
              <w:rPr>
                <w:color w:val="000000" w:themeColor="text1"/>
                <w:sz w:val="16"/>
                <w:szCs w:val="16"/>
              </w:rPr>
              <w:t>9</w:t>
            </w:r>
            <w:r w:rsidRPr="006E1DCF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685123" w:rsidRPr="00FF39EB" w:rsidTr="00685123">
        <w:trPr>
          <w:trHeight w:val="57"/>
        </w:trPr>
        <w:tc>
          <w:tcPr>
            <w:tcW w:w="3571" w:type="dxa"/>
            <w:tcBorders>
              <w:top w:val="single" w:sz="12" w:space="0" w:color="212492"/>
            </w:tcBorders>
            <w:vAlign w:val="center"/>
          </w:tcPr>
          <w:p w:rsidR="00685123" w:rsidRPr="00072E75" w:rsidRDefault="00685123" w:rsidP="0006476D">
            <w:pPr>
              <w:pStyle w:val="Nagwek5"/>
              <w:tabs>
                <w:tab w:val="right" w:leader="dot" w:pos="4156"/>
              </w:tabs>
              <w:spacing w:before="0" w:line="22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072E75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2251" w:type="dxa"/>
            <w:tcBorders>
              <w:top w:val="single" w:sz="12" w:space="0" w:color="212492"/>
            </w:tcBorders>
            <w:vAlign w:val="center"/>
          </w:tcPr>
          <w:p w:rsidR="00685123" w:rsidRPr="002829B6" w:rsidRDefault="002829B6" w:rsidP="0006476D">
            <w:pPr>
              <w:spacing w:line="22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829B6">
              <w:rPr>
                <w:rFonts w:cs="Arial"/>
                <w:b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2246" w:type="dxa"/>
            <w:tcBorders>
              <w:top w:val="single" w:sz="12" w:space="0" w:color="212492"/>
            </w:tcBorders>
            <w:vAlign w:val="center"/>
          </w:tcPr>
          <w:p w:rsidR="00685123" w:rsidRPr="002829B6" w:rsidRDefault="00685123" w:rsidP="0006476D">
            <w:pPr>
              <w:spacing w:line="22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829B6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2829B6" w:rsidRPr="002829B6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</w:tr>
      <w:tr w:rsidR="00685123" w:rsidRPr="00FF39EB" w:rsidTr="00685123">
        <w:trPr>
          <w:trHeight w:val="57"/>
        </w:trPr>
        <w:tc>
          <w:tcPr>
            <w:tcW w:w="3571" w:type="dxa"/>
            <w:vAlign w:val="center"/>
          </w:tcPr>
          <w:p w:rsidR="00685123" w:rsidRPr="00072E75" w:rsidRDefault="00685123" w:rsidP="0006476D">
            <w:pPr>
              <w:pStyle w:val="Nagwek8"/>
              <w:tabs>
                <w:tab w:val="right" w:leader="dot" w:pos="4156"/>
              </w:tabs>
              <w:spacing w:before="0" w:line="220" w:lineRule="exact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72E75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Żywność, napoje bezalkoholowe </w:t>
            </w:r>
            <w:r w:rsidRPr="00072E75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i alkoholowe oraz wyroby tytoniowe</w:t>
            </w:r>
          </w:p>
        </w:tc>
        <w:tc>
          <w:tcPr>
            <w:tcW w:w="2251" w:type="dxa"/>
            <w:vAlign w:val="center"/>
          </w:tcPr>
          <w:p w:rsidR="00685123" w:rsidRPr="00AC39D6" w:rsidRDefault="00AC39D6" w:rsidP="0006476D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39D6">
              <w:rPr>
                <w:rFonts w:cs="Arial"/>
                <w:color w:val="000000" w:themeColor="text1"/>
                <w:sz w:val="16"/>
                <w:szCs w:val="16"/>
              </w:rPr>
              <w:t>106,7</w:t>
            </w:r>
          </w:p>
        </w:tc>
        <w:tc>
          <w:tcPr>
            <w:tcW w:w="2246" w:type="dxa"/>
            <w:vAlign w:val="center"/>
          </w:tcPr>
          <w:p w:rsidR="00685123" w:rsidRPr="00AC39D6" w:rsidRDefault="00AC39D6" w:rsidP="0006476D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C39D6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</w:tr>
      <w:tr w:rsidR="00685123" w:rsidRPr="00FF39EB" w:rsidTr="00685123">
        <w:trPr>
          <w:trHeight w:val="57"/>
        </w:trPr>
        <w:tc>
          <w:tcPr>
            <w:tcW w:w="3571" w:type="dxa"/>
            <w:vAlign w:val="center"/>
          </w:tcPr>
          <w:p w:rsidR="00685123" w:rsidRPr="00764E44" w:rsidRDefault="00685123" w:rsidP="00C1320A">
            <w:pPr>
              <w:tabs>
                <w:tab w:val="right" w:leader="dot" w:pos="4156"/>
              </w:tabs>
              <w:spacing w:line="220" w:lineRule="exact"/>
              <w:contextualSpacing/>
              <w:rPr>
                <w:color w:val="000000" w:themeColor="text1"/>
                <w:sz w:val="16"/>
                <w:szCs w:val="16"/>
                <w:lang w:val="en-US"/>
              </w:rPr>
            </w:pPr>
            <w:r w:rsidRPr="00072E75">
              <w:rPr>
                <w:rFonts w:cstheme="majorBidi"/>
                <w:bCs/>
                <w:color w:val="000000" w:themeColor="text1"/>
                <w:sz w:val="16"/>
                <w:szCs w:val="16"/>
              </w:rPr>
              <w:t>Mieszkanie</w:t>
            </w:r>
          </w:p>
        </w:tc>
        <w:tc>
          <w:tcPr>
            <w:tcW w:w="2251" w:type="dxa"/>
            <w:vAlign w:val="center"/>
          </w:tcPr>
          <w:p w:rsidR="00685123" w:rsidRPr="00071352" w:rsidRDefault="00071352" w:rsidP="0006476D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071352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104,9</w:t>
            </w:r>
          </w:p>
        </w:tc>
        <w:tc>
          <w:tcPr>
            <w:tcW w:w="2246" w:type="dxa"/>
            <w:vAlign w:val="center"/>
          </w:tcPr>
          <w:p w:rsidR="00685123" w:rsidRPr="00071352" w:rsidRDefault="00071352" w:rsidP="0006476D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071352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102</w:t>
            </w:r>
            <w:r w:rsidR="00072E75" w:rsidRPr="00071352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,3</w:t>
            </w:r>
          </w:p>
        </w:tc>
      </w:tr>
      <w:tr w:rsidR="00685123" w:rsidRPr="00FF39EB" w:rsidTr="00685123">
        <w:trPr>
          <w:trHeight w:val="57"/>
        </w:trPr>
        <w:tc>
          <w:tcPr>
            <w:tcW w:w="3571" w:type="dxa"/>
            <w:vAlign w:val="center"/>
          </w:tcPr>
          <w:p w:rsidR="00685123" w:rsidRPr="00072E75" w:rsidRDefault="00685123" w:rsidP="0006476D">
            <w:pPr>
              <w:spacing w:line="220" w:lineRule="exact"/>
              <w:rPr>
                <w:rFonts w:cs="Arial"/>
                <w:color w:val="000000" w:themeColor="text1"/>
                <w:sz w:val="16"/>
                <w:szCs w:val="16"/>
              </w:rPr>
            </w:pPr>
            <w:r w:rsidRPr="00072E75">
              <w:rPr>
                <w:rFonts w:cs="Arial"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2251" w:type="dxa"/>
            <w:vAlign w:val="center"/>
          </w:tcPr>
          <w:p w:rsidR="00685123" w:rsidRPr="00305F07" w:rsidRDefault="00305F07" w:rsidP="0006476D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05F07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2246" w:type="dxa"/>
            <w:vAlign w:val="center"/>
          </w:tcPr>
          <w:p w:rsidR="00685123" w:rsidRPr="00305F07" w:rsidRDefault="00305F07" w:rsidP="0006476D">
            <w:pPr>
              <w:spacing w:line="220" w:lineRule="exact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305F07">
              <w:rPr>
                <w:rFonts w:cs="Arial"/>
                <w:color w:val="000000" w:themeColor="text1"/>
                <w:sz w:val="16"/>
                <w:szCs w:val="16"/>
              </w:rPr>
              <w:t>98,8</w:t>
            </w:r>
          </w:p>
        </w:tc>
      </w:tr>
    </w:tbl>
    <w:p w:rsidR="00685123" w:rsidRPr="006E1DCF" w:rsidRDefault="00685123" w:rsidP="00685123">
      <w:pPr>
        <w:pStyle w:val="LID"/>
        <w:spacing w:before="0" w:after="0"/>
        <w:rPr>
          <w:shd w:val="clear" w:color="auto" w:fill="FFFFFF"/>
        </w:rPr>
      </w:pPr>
      <w:r w:rsidRPr="006E1DCF">
        <w:t>Tablica 1.</w:t>
      </w:r>
      <w:r w:rsidRPr="006E1DCF">
        <w:rPr>
          <w:shd w:val="clear" w:color="auto" w:fill="FFFFFF"/>
        </w:rPr>
        <w:t xml:space="preserve"> </w:t>
      </w:r>
      <w:r w:rsidRPr="006E1DCF">
        <w:rPr>
          <w:bCs/>
          <w:shd w:val="clear" w:color="auto" w:fill="FFFFFF"/>
        </w:rPr>
        <w:t>Wskaźniki cen towarów i usł</w:t>
      </w:r>
      <w:r w:rsidR="00083159">
        <w:rPr>
          <w:bCs/>
          <w:shd w:val="clear" w:color="auto" w:fill="FFFFFF"/>
        </w:rPr>
        <w:t>ug konsumpcyjnych w styczniu 2020</w:t>
      </w:r>
      <w:r w:rsidRPr="006E1DCF">
        <w:rPr>
          <w:bCs/>
          <w:shd w:val="clear" w:color="auto" w:fill="FFFFFF"/>
        </w:rPr>
        <w:t xml:space="preserve"> r.</w:t>
      </w:r>
    </w:p>
    <w:p w:rsidR="00685123" w:rsidRPr="0006476D" w:rsidRDefault="00685123" w:rsidP="0006476D">
      <w:pPr>
        <w:pStyle w:val="tytuwykresu"/>
        <w:spacing w:before="0" w:after="0"/>
        <w:rPr>
          <w:sz w:val="19"/>
          <w:szCs w:val="19"/>
          <w:highlight w:val="yellow"/>
        </w:rPr>
      </w:pPr>
    </w:p>
    <w:p w:rsidR="00685123" w:rsidRPr="00764E44" w:rsidRDefault="00685123" w:rsidP="00685123">
      <w:pPr>
        <w:pStyle w:val="tytuwykresu"/>
        <w:spacing w:before="0"/>
        <w:rPr>
          <w:noProof/>
          <w:lang w:eastAsia="pl-PL"/>
        </w:rPr>
      </w:pPr>
      <w:r w:rsidRPr="00764E44">
        <w:rPr>
          <w:noProof/>
          <w:lang w:eastAsia="pl-PL"/>
        </w:rPr>
        <w:t xml:space="preserve">Wykres 1. Ceny towarów i usług </w:t>
      </w:r>
      <w:r w:rsidRPr="0006476D">
        <w:rPr>
          <w:noProof/>
          <w:lang w:eastAsia="pl-PL"/>
        </w:rPr>
        <w:t>konsumpcyjnych</w:t>
      </w:r>
      <w:r w:rsidR="00764E44" w:rsidRPr="0006476D">
        <w:rPr>
          <w:noProof/>
          <w:color w:val="000000" w:themeColor="text1"/>
          <w:lang w:eastAsia="pl-PL"/>
        </w:rPr>
        <w:t>*</w:t>
      </w:r>
      <w:r w:rsidRPr="0006476D">
        <w:rPr>
          <w:noProof/>
          <w:lang w:eastAsia="pl-PL"/>
        </w:rPr>
        <w:t xml:space="preserve"> (</w:t>
      </w:r>
      <w:r w:rsidRPr="00764E44">
        <w:rPr>
          <w:noProof/>
          <w:lang w:eastAsia="pl-PL"/>
        </w:rPr>
        <w:t xml:space="preserve">zmiana w % do okresu poprzedniego) </w:t>
      </w:r>
    </w:p>
    <w:p w:rsidR="00764E44" w:rsidRDefault="006F4D05">
      <w:pPr>
        <w:spacing w:before="0" w:after="160" w:line="259" w:lineRule="auto"/>
        <w:rPr>
          <w:highlight w:val="yellow"/>
        </w:rPr>
      </w:pPr>
      <w:r>
        <w:rPr>
          <w:noProof/>
          <w:lang w:eastAsia="pl-PL"/>
        </w:rPr>
        <w:drawing>
          <wp:inline distT="0" distB="0" distL="0" distR="0" wp14:anchorId="600DF720" wp14:editId="12CE6530">
            <wp:extent cx="5122545" cy="2529205"/>
            <wp:effectExtent l="0" t="0" r="0" b="444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4E44" w:rsidRPr="0006476D" w:rsidRDefault="00764E44" w:rsidP="0006476D">
      <w:pPr>
        <w:spacing w:before="0" w:line="200" w:lineRule="exact"/>
        <w:rPr>
          <w:noProof/>
          <w:color w:val="000000" w:themeColor="text1"/>
          <w:sz w:val="16"/>
          <w:szCs w:val="19"/>
          <w:lang w:eastAsia="pl-PL"/>
        </w:rPr>
      </w:pPr>
      <w:r w:rsidRPr="0006476D">
        <w:rPr>
          <w:noProof/>
          <w:color w:val="000000" w:themeColor="text1"/>
          <w:sz w:val="20"/>
          <w:szCs w:val="20"/>
          <w:lang w:eastAsia="pl-PL"/>
        </w:rPr>
        <w:t xml:space="preserve">* </w:t>
      </w:r>
      <w:r w:rsidR="0006476D" w:rsidRPr="0006476D">
        <w:rPr>
          <w:noProof/>
          <w:color w:val="000000" w:themeColor="text1"/>
          <w:sz w:val="16"/>
          <w:szCs w:val="19"/>
          <w:lang w:eastAsia="pl-PL"/>
        </w:rPr>
        <w:t xml:space="preserve">Dane ostateczne z wyjątkiem </w:t>
      </w:r>
      <w:r w:rsidR="00083159">
        <w:rPr>
          <w:noProof/>
          <w:color w:val="000000" w:themeColor="text1"/>
          <w:sz w:val="16"/>
          <w:szCs w:val="19"/>
          <w:lang w:eastAsia="pl-PL"/>
        </w:rPr>
        <w:t>danych wstępnych za styczeń 2020</w:t>
      </w:r>
      <w:r w:rsidR="0006476D" w:rsidRPr="0006476D">
        <w:rPr>
          <w:noProof/>
          <w:color w:val="000000" w:themeColor="text1"/>
          <w:sz w:val="16"/>
          <w:szCs w:val="19"/>
          <w:lang w:eastAsia="pl-PL"/>
        </w:rPr>
        <w:t xml:space="preserve"> r.</w:t>
      </w:r>
    </w:p>
    <w:p w:rsidR="006F4D05" w:rsidRDefault="006F4D05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883763" w:rsidRDefault="006F4D05" w:rsidP="007D0C0B">
      <w:pPr>
        <w:pStyle w:val="tytuwykresu"/>
        <w:ind w:left="794" w:hanging="794"/>
        <w:rPr>
          <w:shd w:val="clear" w:color="auto" w:fill="FFFFFF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51424" behindDoc="0" locked="0" layoutInCell="1" allowOverlap="1" wp14:anchorId="130C9EC2" wp14:editId="6633346B">
            <wp:simplePos x="0" y="0"/>
            <wp:positionH relativeFrom="column">
              <wp:posOffset>2540</wp:posOffset>
            </wp:positionH>
            <wp:positionV relativeFrom="paragraph">
              <wp:posOffset>406400</wp:posOffset>
            </wp:positionV>
            <wp:extent cx="5103750" cy="2857208"/>
            <wp:effectExtent l="0" t="0" r="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942B86">
        <w:rPr>
          <w:noProof/>
          <w:lang w:eastAsia="pl-PL"/>
        </w:rPr>
        <w:pict>
          <v:shape id="_x0000_s1038" type="#_x0000_t202" style="position:absolute;left:0;text-align:left;margin-left:414.75pt;margin-top:34.25pt;width:135.85pt;height:128.35pt;z-index:-251574272;visibility:visible;mso-wrap-distance-top:3.6pt;mso-wrap-distance-bottom:3.6pt;mso-position-horizontal-relative:text;mso-position-vertical-relative:text;mso-width-relative:margin;mso-height-relative:margin" wrapcoords="0 0" filled="f" stroked="f">
            <v:textbox style="mso-next-textbox:#_x0000_s1038">
              <w:txbxContent>
                <w:p w:rsidR="008B3C98" w:rsidRPr="00BF2F65" w:rsidRDefault="008B3C98" w:rsidP="00767603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</w:t>
                  </w:r>
                  <w:r w:rsidR="001819B2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edług wstępnych danych </w:t>
                  </w:r>
                  <w:r w:rsidR="001819B2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w</w:t>
                  </w:r>
                  <w:r w:rsidR="00C1320A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styczniu 2020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r. wskaźnik cen towarów i usług konsumpcyjnych znalazł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się </w:t>
                  </w:r>
                  <w:r w:rsidR="00C1320A" w:rsidRPr="00407E0E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powyżej górnej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granicy odchyleń od celu inflacyjnego określonego przez Radę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Polityki Pieniężnej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(2,5% +/- 1 p. proc.)</w:t>
                  </w:r>
                </w:p>
                <w:p w:rsidR="008B3C98" w:rsidRPr="00BF2F65" w:rsidRDefault="008B3C98" w:rsidP="00883763">
                  <w:pP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</w:p>
              </w:txbxContent>
            </v:textbox>
            <w10:wrap type="tight"/>
          </v:shape>
        </w:pict>
      </w:r>
      <w:r w:rsidR="00883763" w:rsidRPr="00767603">
        <w:t>Wykres 2.</w:t>
      </w:r>
      <w:r w:rsidR="00883763" w:rsidRPr="00767603">
        <w:rPr>
          <w:shd w:val="clear" w:color="auto" w:fill="FFFFFF"/>
        </w:rPr>
        <w:t xml:space="preserve"> C</w:t>
      </w:r>
      <w:r w:rsidR="00883763" w:rsidRPr="00767603">
        <w:rPr>
          <w:bCs/>
          <w:shd w:val="clear" w:color="auto" w:fill="FFFFFF"/>
        </w:rPr>
        <w:t xml:space="preserve">eny towarów i usług </w:t>
      </w:r>
      <w:r w:rsidR="00883763" w:rsidRPr="00764E44">
        <w:rPr>
          <w:bCs/>
          <w:shd w:val="clear" w:color="auto" w:fill="FFFFFF"/>
        </w:rPr>
        <w:t>konsumpcyjnych</w:t>
      </w:r>
      <w:r w:rsidR="00B600A6" w:rsidRPr="00764E44">
        <w:rPr>
          <w:bCs/>
          <w:shd w:val="clear" w:color="auto" w:fill="FFFFFF"/>
        </w:rPr>
        <w:t>*</w:t>
      </w:r>
      <w:r w:rsidR="0006476D">
        <w:rPr>
          <w:bCs/>
          <w:shd w:val="clear" w:color="auto" w:fill="FFFFFF"/>
        </w:rPr>
        <w:t xml:space="preserve"> </w:t>
      </w:r>
      <w:r w:rsidR="0006476D">
        <w:rPr>
          <w:bCs/>
          <w:shd w:val="clear" w:color="auto" w:fill="FFFFFF"/>
        </w:rPr>
        <w:br/>
      </w:r>
      <w:r w:rsidR="00883763" w:rsidRPr="00764E44">
        <w:rPr>
          <w:shd w:val="clear" w:color="auto" w:fill="FFFFFF"/>
        </w:rPr>
        <w:t>(zmiana</w:t>
      </w:r>
      <w:r w:rsidR="00883763" w:rsidRPr="00767603">
        <w:rPr>
          <w:shd w:val="clear" w:color="auto" w:fill="FFFFFF"/>
        </w:rPr>
        <w:t xml:space="preserve"> w % do analogicznego okresu roku poprzedniego)</w:t>
      </w:r>
    </w:p>
    <w:p w:rsidR="006F4D05" w:rsidRDefault="006F4D05" w:rsidP="00883763">
      <w:pPr>
        <w:pStyle w:val="tytuwykresu"/>
        <w:rPr>
          <w:shd w:val="clear" w:color="auto" w:fill="FFFFFF"/>
        </w:rPr>
      </w:pPr>
    </w:p>
    <w:p w:rsidR="00B600A6" w:rsidRPr="00CE0E7C" w:rsidRDefault="00B600A6" w:rsidP="0006476D">
      <w:pPr>
        <w:spacing w:before="240" w:line="200" w:lineRule="exact"/>
        <w:rPr>
          <w:noProof/>
          <w:sz w:val="16"/>
          <w:szCs w:val="19"/>
          <w:lang w:eastAsia="pl-PL"/>
        </w:rPr>
      </w:pPr>
      <w:r w:rsidRPr="0006476D">
        <w:rPr>
          <w:noProof/>
          <w:sz w:val="20"/>
          <w:szCs w:val="20"/>
          <w:lang w:eastAsia="pl-PL"/>
        </w:rPr>
        <w:t xml:space="preserve">* </w:t>
      </w:r>
      <w:r w:rsidRPr="00764E44">
        <w:rPr>
          <w:noProof/>
          <w:sz w:val="16"/>
          <w:szCs w:val="19"/>
          <w:lang w:eastAsia="pl-PL"/>
        </w:rPr>
        <w:t xml:space="preserve">Dane ostateczne z wyjątkiem danych </w:t>
      </w:r>
      <w:r w:rsidR="0006476D">
        <w:rPr>
          <w:noProof/>
          <w:sz w:val="16"/>
          <w:szCs w:val="19"/>
          <w:lang w:eastAsia="pl-PL"/>
        </w:rPr>
        <w:t xml:space="preserve">wstępnych </w:t>
      </w:r>
      <w:r w:rsidRPr="00764E44">
        <w:rPr>
          <w:noProof/>
          <w:sz w:val="16"/>
          <w:szCs w:val="19"/>
          <w:lang w:eastAsia="pl-PL"/>
        </w:rPr>
        <w:t xml:space="preserve">za styczeń </w:t>
      </w:r>
      <w:r w:rsidR="00C1320A">
        <w:rPr>
          <w:noProof/>
          <w:sz w:val="16"/>
          <w:szCs w:val="19"/>
          <w:lang w:eastAsia="pl-PL"/>
        </w:rPr>
        <w:t>2020</w:t>
      </w:r>
      <w:r w:rsidR="008F190C" w:rsidRPr="00764E44">
        <w:rPr>
          <w:noProof/>
          <w:sz w:val="16"/>
          <w:szCs w:val="19"/>
          <w:lang w:eastAsia="pl-PL"/>
        </w:rPr>
        <w:t xml:space="preserve"> r.</w:t>
      </w:r>
    </w:p>
    <w:p w:rsidR="00883763" w:rsidRDefault="00883763" w:rsidP="00883763">
      <w:pPr>
        <w:spacing w:before="0" w:after="160" w:line="259" w:lineRule="auto"/>
        <w:rPr>
          <w:highlight w:val="yellow"/>
        </w:rPr>
      </w:pPr>
    </w:p>
    <w:p w:rsidR="0075496E" w:rsidRPr="00FF39EB" w:rsidRDefault="0075496E" w:rsidP="00883763">
      <w:pPr>
        <w:spacing w:before="0" w:after="160" w:line="259" w:lineRule="auto"/>
        <w:rPr>
          <w:highlight w:val="yellow"/>
        </w:rPr>
      </w:pPr>
    </w:p>
    <w:p w:rsidR="00883763" w:rsidRPr="0006476D" w:rsidRDefault="00883763" w:rsidP="007D0C0B">
      <w:pPr>
        <w:pStyle w:val="tytuwykresu"/>
        <w:ind w:left="794" w:hanging="794"/>
        <w:rPr>
          <w:shd w:val="clear" w:color="auto" w:fill="FFFFFF"/>
        </w:rPr>
      </w:pPr>
      <w:r w:rsidRPr="00FF39EB">
        <w:t>Wykres 3.</w:t>
      </w:r>
      <w:r w:rsidRPr="00FF39EB">
        <w:rPr>
          <w:shd w:val="clear" w:color="auto" w:fill="FFFFFF"/>
        </w:rPr>
        <w:t xml:space="preserve"> </w:t>
      </w:r>
      <w:r w:rsidRPr="00FF39EB">
        <w:rPr>
          <w:bCs/>
          <w:shd w:val="clear" w:color="auto" w:fill="FFFFFF"/>
        </w:rPr>
        <w:t xml:space="preserve">System wag stosowany w obliczeniach wskaźników cen towarów </w:t>
      </w:r>
      <w:r w:rsidRPr="00FF39EB">
        <w:rPr>
          <w:bCs/>
          <w:shd w:val="clear" w:color="auto" w:fill="FFFFFF"/>
        </w:rPr>
        <w:br/>
      </w:r>
      <w:r w:rsidR="00C1320A" w:rsidRPr="00666DED">
        <w:rPr>
          <w:noProof/>
          <w:lang w:eastAsia="pl-PL"/>
        </w:rPr>
        <w:drawing>
          <wp:anchor distT="0" distB="0" distL="114300" distR="114300" simplePos="0" relativeHeight="251750400" behindDoc="0" locked="0" layoutInCell="1" allowOverlap="1" wp14:anchorId="556ED2B3" wp14:editId="1795F11A">
            <wp:simplePos x="0" y="0"/>
            <wp:positionH relativeFrom="column">
              <wp:posOffset>-142875</wp:posOffset>
            </wp:positionH>
            <wp:positionV relativeFrom="line">
              <wp:posOffset>257175</wp:posOffset>
            </wp:positionV>
            <wp:extent cx="5122545" cy="3599815"/>
            <wp:effectExtent l="0" t="0" r="0" b="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9EB">
        <w:rPr>
          <w:bCs/>
          <w:shd w:val="clear" w:color="auto" w:fill="FFFFFF"/>
        </w:rPr>
        <w:t xml:space="preserve">i usług konsumpcyjnych w </w:t>
      </w:r>
      <w:r w:rsidRPr="00C73761">
        <w:rPr>
          <w:bCs/>
          <w:shd w:val="clear" w:color="auto" w:fill="FFFFFF"/>
        </w:rPr>
        <w:t>201</w:t>
      </w:r>
      <w:r w:rsidR="00C1320A">
        <w:rPr>
          <w:bCs/>
          <w:shd w:val="clear" w:color="auto" w:fill="FFFFFF"/>
        </w:rPr>
        <w:t>9</w:t>
      </w:r>
      <w:r w:rsidRPr="00C73761">
        <w:rPr>
          <w:bCs/>
          <w:shd w:val="clear" w:color="auto" w:fill="FFFFFF"/>
        </w:rPr>
        <w:t xml:space="preserve"> r</w:t>
      </w:r>
      <w:r w:rsidRPr="00C73761">
        <w:rPr>
          <w:bCs/>
          <w:i/>
          <w:iCs/>
          <w:shd w:val="clear" w:color="auto" w:fill="FFFFFF"/>
        </w:rPr>
        <w:t>.</w:t>
      </w:r>
      <w:r w:rsidR="00460E1A" w:rsidRPr="0006476D">
        <w:rPr>
          <w:rStyle w:val="Odwoanieprzypisudolnego"/>
          <w:bCs/>
          <w:iCs/>
          <w:sz w:val="20"/>
          <w:szCs w:val="20"/>
          <w:shd w:val="clear" w:color="auto" w:fill="FFFFFF"/>
        </w:rPr>
        <w:footnoteReference w:id="2"/>
      </w:r>
    </w:p>
    <w:p w:rsidR="00883763" w:rsidRPr="00FF39EB" w:rsidRDefault="00883763" w:rsidP="00883763">
      <w:pPr>
        <w:spacing w:before="0" w:after="160" w:line="259" w:lineRule="auto"/>
        <w:rPr>
          <w:highlight w:val="yellow"/>
        </w:rPr>
      </w:pPr>
    </w:p>
    <w:p w:rsidR="00883763" w:rsidRPr="00FF39EB" w:rsidRDefault="00883763" w:rsidP="00883763">
      <w:pPr>
        <w:spacing w:before="0" w:after="160" w:line="259" w:lineRule="auto"/>
        <w:rPr>
          <w:highlight w:val="yellow"/>
        </w:rPr>
      </w:pPr>
    </w:p>
    <w:p w:rsidR="00883763" w:rsidRPr="00FF39EB" w:rsidRDefault="00883763" w:rsidP="00883763">
      <w:pPr>
        <w:spacing w:before="0" w:after="160" w:line="259" w:lineRule="auto"/>
        <w:rPr>
          <w:highlight w:val="yellow"/>
        </w:rPr>
      </w:pPr>
    </w:p>
    <w:p w:rsidR="00685123" w:rsidRPr="00FF39EB" w:rsidRDefault="00685123" w:rsidP="00883763">
      <w:pPr>
        <w:spacing w:before="0" w:after="160" w:line="259" w:lineRule="auto"/>
        <w:rPr>
          <w:b/>
          <w:noProof/>
          <w:szCs w:val="19"/>
          <w:highlight w:val="yellow"/>
          <w:lang w:eastAsia="pl-PL"/>
        </w:rPr>
        <w:sectPr w:rsidR="00685123" w:rsidRPr="00FF39EB" w:rsidSect="0006476D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  <w:numRestart w:val="eachSect"/>
          </w:footnotePr>
          <w:type w:val="continuous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FF39EB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883763" w:rsidRPr="00FF39EB" w:rsidTr="006E1DCF">
        <w:trPr>
          <w:trHeight w:val="1912"/>
        </w:trPr>
        <w:tc>
          <w:tcPr>
            <w:tcW w:w="4379" w:type="dxa"/>
          </w:tcPr>
          <w:p w:rsidR="00883763" w:rsidRPr="00FF39EB" w:rsidRDefault="00883763" w:rsidP="006E1DCF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FF39EB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C1320A" w:rsidRPr="00C604F4" w:rsidRDefault="00C1320A" w:rsidP="00C1320A">
            <w:pPr>
              <w:pStyle w:val="Nagwek3"/>
              <w:spacing w:before="0" w:line="240" w:lineRule="auto"/>
              <w:ind w:right="-104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C604F4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Departament Handlu i Usług</w:t>
            </w:r>
          </w:p>
          <w:p w:rsidR="00C1320A" w:rsidRPr="00C604F4" w:rsidRDefault="00C1320A" w:rsidP="00C1320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C604F4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Dyrektor Ewa Adach-Stankiewicz</w:t>
            </w:r>
          </w:p>
          <w:p w:rsidR="00883763" w:rsidRPr="00FF39EB" w:rsidRDefault="00C1320A" w:rsidP="00C1320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C604F4">
              <w:rPr>
                <w:rFonts w:ascii="Fira Sans" w:hAnsi="Fira Sans" w:cs="Arial"/>
                <w:color w:val="000000" w:themeColor="text1"/>
                <w:sz w:val="20"/>
              </w:rPr>
              <w:t>Tel: 22 608 31 24</w:t>
            </w:r>
          </w:p>
        </w:tc>
        <w:tc>
          <w:tcPr>
            <w:tcW w:w="3942" w:type="dxa"/>
          </w:tcPr>
          <w:p w:rsidR="00883763" w:rsidRPr="00FF39EB" w:rsidRDefault="00883763" w:rsidP="006E1DCF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FF39EB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FF39EB">
              <w:rPr>
                <w:rFonts w:cs="Arial"/>
                <w:color w:val="000000" w:themeColor="text1"/>
                <w:sz w:val="20"/>
              </w:rPr>
              <w:br/>
            </w:r>
            <w:r w:rsidRPr="00FF39EB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FF39EB" w:rsidRDefault="00883763" w:rsidP="006E1DC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F39E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1320A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FF39EB" w:rsidRDefault="00883763" w:rsidP="006E1DCF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FF39E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C1320A"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883763" w:rsidRPr="00FF39EB" w:rsidRDefault="00883763" w:rsidP="006E1DCF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FF39EB" w:rsidRDefault="000470AA" w:rsidP="000470AA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FF39EB" w:rsidTr="00C1320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FF39EB" w:rsidRDefault="000470AA" w:rsidP="00C1320A">
            <w:pPr>
              <w:rPr>
                <w:b/>
                <w:sz w:val="20"/>
              </w:rPr>
            </w:pPr>
            <w:r w:rsidRPr="00FF39EB">
              <w:rPr>
                <w:b/>
                <w:sz w:val="20"/>
              </w:rPr>
              <w:t xml:space="preserve">Wydział Współpracy z Mediami </w:t>
            </w:r>
          </w:p>
          <w:p w:rsidR="00BB0BE8" w:rsidRPr="00BB0BE8" w:rsidRDefault="00BB0BE8" w:rsidP="00C1320A">
            <w:pPr>
              <w:rPr>
                <w:sz w:val="20"/>
              </w:rPr>
            </w:pPr>
            <w:r w:rsidRPr="00BB0BE8">
              <w:rPr>
                <w:sz w:val="20"/>
              </w:rPr>
              <w:t xml:space="preserve">Tel: 22 608 34 91, 22 608 38 04 </w:t>
            </w:r>
          </w:p>
          <w:p w:rsidR="000470AA" w:rsidRDefault="000470AA" w:rsidP="00C1320A">
            <w:pPr>
              <w:rPr>
                <w:sz w:val="20"/>
                <w:lang w:val="en-US"/>
              </w:rPr>
            </w:pPr>
            <w:r w:rsidRPr="00FF39EB">
              <w:rPr>
                <w:b/>
                <w:sz w:val="20"/>
                <w:lang w:val="en-US"/>
              </w:rPr>
              <w:t>e-mail:</w:t>
            </w:r>
            <w:r w:rsidRPr="00FF39EB">
              <w:rPr>
                <w:sz w:val="20"/>
                <w:lang w:val="en-US"/>
              </w:rPr>
              <w:t xml:space="preserve"> </w:t>
            </w:r>
            <w:hyperlink r:id="rId19" w:history="1">
              <w:r w:rsidR="00C1320A" w:rsidRPr="00BB0BE8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  <w:p w:rsidR="00C1320A" w:rsidRPr="00FF39EB" w:rsidRDefault="00C1320A" w:rsidP="00C1320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0470AA" w:rsidRPr="00FF39EB" w:rsidRDefault="000470AA" w:rsidP="00C1320A">
            <w:pPr>
              <w:rPr>
                <w:sz w:val="18"/>
                <w:lang w:val="en-US"/>
              </w:rPr>
            </w:pPr>
            <w:r w:rsidRPr="00FF39E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6E4F1E47" wp14:editId="6C496D9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FF39EB" w:rsidRDefault="000470AA" w:rsidP="00C1320A">
            <w:pPr>
              <w:rPr>
                <w:sz w:val="18"/>
              </w:rPr>
            </w:pPr>
            <w:r w:rsidRPr="00FF39EB">
              <w:rPr>
                <w:sz w:val="20"/>
              </w:rPr>
              <w:t>www.stat.gov.pl</w:t>
            </w:r>
          </w:p>
        </w:tc>
      </w:tr>
      <w:tr w:rsidR="000470AA" w:rsidRPr="00FF39EB" w:rsidTr="00C1320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F39EB" w:rsidRDefault="000470AA" w:rsidP="00C1320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F39EB" w:rsidRDefault="000470AA" w:rsidP="00C1320A">
            <w:pPr>
              <w:rPr>
                <w:sz w:val="18"/>
              </w:rPr>
            </w:pPr>
            <w:r w:rsidRPr="00FF39E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7FE5E52" wp14:editId="5475649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F39EB" w:rsidRDefault="000470AA" w:rsidP="00C1320A">
            <w:pPr>
              <w:rPr>
                <w:sz w:val="18"/>
              </w:rPr>
            </w:pPr>
            <w:r w:rsidRPr="00FF39EB">
              <w:rPr>
                <w:sz w:val="20"/>
              </w:rPr>
              <w:t>@GUS_STAT</w:t>
            </w:r>
          </w:p>
        </w:tc>
      </w:tr>
      <w:tr w:rsidR="000470AA" w:rsidRPr="00FF39EB" w:rsidTr="00C1320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FF39EB" w:rsidRDefault="000470AA" w:rsidP="00C1320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FF39EB" w:rsidRDefault="000470AA" w:rsidP="00C1320A">
            <w:pPr>
              <w:rPr>
                <w:sz w:val="18"/>
              </w:rPr>
            </w:pPr>
            <w:r w:rsidRPr="00FF39EB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36A1489B" wp14:editId="646B21E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FF39EB" w:rsidRDefault="000470AA" w:rsidP="00C1320A">
            <w:pPr>
              <w:rPr>
                <w:sz w:val="20"/>
              </w:rPr>
            </w:pPr>
            <w:r w:rsidRPr="00FF39EB">
              <w:rPr>
                <w:sz w:val="20"/>
              </w:rPr>
              <w:t>@GlownyUrzadStatystyczny</w:t>
            </w:r>
          </w:p>
        </w:tc>
      </w:tr>
    </w:tbl>
    <w:p w:rsidR="00D261A2" w:rsidRPr="00001C5B" w:rsidRDefault="00C1320A" w:rsidP="00E76D26">
      <w:pPr>
        <w:rPr>
          <w:sz w:val="18"/>
        </w:rPr>
      </w:pPr>
      <w:r>
        <w:rPr>
          <w:noProof/>
          <w:sz w:val="18"/>
          <w:highlight w:val="yellow"/>
          <w:lang w:eastAsia="pl-PL"/>
        </w:rPr>
        <w:br w:type="textWrapping" w:clear="all"/>
      </w:r>
      <w:r w:rsidR="00942B86">
        <w:rPr>
          <w:noProof/>
          <w:sz w:val="18"/>
          <w:highlight w:val="yellow"/>
          <w:lang w:eastAsia="pl-PL"/>
        </w:rPr>
        <w:pict>
          <v:shape id="_x0000_s1039" type="#_x0000_t202" style="position:absolute;margin-left:1.5pt;margin-top:34.7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vg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pFFswwbr&#10;R9Le4bgFtLV0aNH94qynDai4/7kDJznTny31bzGdz+PKJGNevJ+R4U49m1MPWEFQFQ+cjcd1SGsW&#10;qVq8oj43KnXghcmBMk12kvCwhXF1Tu0U9fKvWD0B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EEPi+A+AgAAcwQAAA4A&#10;AAAAAAAAAAAAAAAALgIAAGRycy9lMm9Eb2MueG1sUEsBAi0AFAAGAAgAAAAhAG7AMXzfAAAACQEA&#10;AA8AAAAAAAAAAAAAAAAAmAQAAGRycy9kb3ducmV2LnhtbFBLBQYAAAAABAAEAPMAAACkBQAAAAA=&#10;" fillcolor="#f2f2f2 [3052]" strokecolor="white [3212]">
            <v:textbox style="mso-next-textbox:#_x0000_s1039">
              <w:txbxContent>
                <w:p w:rsidR="008B3C98" w:rsidRDefault="008B3C98" w:rsidP="00883763">
                  <w:pPr>
                    <w:rPr>
                      <w:b/>
                    </w:rPr>
                  </w:pPr>
                </w:p>
                <w:p w:rsidR="008B3C98" w:rsidRPr="006761A7" w:rsidRDefault="008B3C98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8B3C98" w:rsidRPr="006761A7" w:rsidRDefault="00942B8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3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8B3C98" w:rsidRPr="006761A7" w:rsidRDefault="00942B8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4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8B3C98" w:rsidRPr="00E233EA" w:rsidRDefault="008B3C98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8B3C98" w:rsidRPr="00E233EA" w:rsidRDefault="008B3C98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8B3C98" w:rsidRPr="006761A7" w:rsidRDefault="00942B8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5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8B3C98" w:rsidRPr="006761A7" w:rsidRDefault="00942B8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6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8B3C98" w:rsidRPr="006761A7" w:rsidRDefault="00942B8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7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8B3C98" w:rsidRPr="006761A7" w:rsidRDefault="00942B8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8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8B3C98" w:rsidRPr="006761A7" w:rsidRDefault="00942B8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8B3C98" w:rsidRPr="006761A7" w:rsidRDefault="008B3C98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8B3C98" w:rsidRDefault="008B3C98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8B3C98" w:rsidRPr="006761A7" w:rsidRDefault="00942B8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="008B3C98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8B3C98" w:rsidRPr="00E233EA" w:rsidRDefault="00942B86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  <w:lang w:val="en-US"/>
                    </w:rPr>
                  </w:pPr>
                  <w:hyperlink r:id="rId31" w:history="1">
                    <w:r w:rsidR="008B3C98" w:rsidRPr="00E233EA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  <w:lang w:val="en-US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01C5B" w:rsidSect="00685123">
      <w:headerReference w:type="default" r:id="rId32"/>
      <w:footerReference w:type="default" r:id="rId33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B86" w:rsidRDefault="00942B86" w:rsidP="000662E2">
      <w:pPr>
        <w:spacing w:after="0" w:line="240" w:lineRule="auto"/>
      </w:pPr>
      <w:r>
        <w:separator/>
      </w:r>
    </w:p>
  </w:endnote>
  <w:endnote w:type="continuationSeparator" w:id="0">
    <w:p w:rsidR="00942B86" w:rsidRDefault="00942B8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8B3C98" w:rsidRDefault="000847BA" w:rsidP="003B18B6">
        <w:pPr>
          <w:pStyle w:val="Stopka"/>
          <w:jc w:val="center"/>
        </w:pPr>
        <w:r>
          <w:fldChar w:fldCharType="begin"/>
        </w:r>
        <w:r w:rsidR="00C06882">
          <w:instrText>PAGE   \* MERGEFORMAT</w:instrText>
        </w:r>
        <w:r>
          <w:fldChar w:fldCharType="separate"/>
        </w:r>
        <w:r w:rsidR="00740E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8B3C98" w:rsidRDefault="000847BA" w:rsidP="003B18B6">
        <w:pPr>
          <w:pStyle w:val="Stopka"/>
          <w:jc w:val="center"/>
        </w:pPr>
        <w:r>
          <w:fldChar w:fldCharType="begin"/>
        </w:r>
        <w:r w:rsidR="00C06882">
          <w:instrText>PAGE   \* MERGEFORMAT</w:instrText>
        </w:r>
        <w:r>
          <w:fldChar w:fldCharType="separate"/>
        </w:r>
        <w:r w:rsidR="00740E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8B3C98" w:rsidRDefault="000847BA" w:rsidP="003B18B6">
        <w:pPr>
          <w:pStyle w:val="Stopka"/>
          <w:jc w:val="center"/>
        </w:pPr>
        <w:r>
          <w:fldChar w:fldCharType="begin"/>
        </w:r>
        <w:r w:rsidR="00C06882">
          <w:instrText>PAGE   \* MERGEFORMAT</w:instrText>
        </w:r>
        <w:r>
          <w:fldChar w:fldCharType="separate"/>
        </w:r>
        <w:r w:rsidR="00740E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B86" w:rsidRDefault="00942B86" w:rsidP="000662E2">
      <w:pPr>
        <w:spacing w:after="0" w:line="240" w:lineRule="auto"/>
      </w:pPr>
      <w:r>
        <w:separator/>
      </w:r>
    </w:p>
  </w:footnote>
  <w:footnote w:type="continuationSeparator" w:id="0">
    <w:p w:rsidR="00942B86" w:rsidRDefault="00942B86" w:rsidP="000662E2">
      <w:pPr>
        <w:spacing w:after="0" w:line="240" w:lineRule="auto"/>
      </w:pPr>
      <w:r>
        <w:continuationSeparator/>
      </w:r>
    </w:p>
  </w:footnote>
  <w:footnote w:id="1">
    <w:p w:rsidR="00A54FF9" w:rsidRPr="00CE3847" w:rsidRDefault="00A54FF9" w:rsidP="00A54FF9">
      <w:pPr>
        <w:pStyle w:val="Tekstprzypisudolnego"/>
        <w:spacing w:before="0"/>
        <w:rPr>
          <w:bCs/>
          <w:sz w:val="16"/>
          <w:szCs w:val="16"/>
        </w:rPr>
      </w:pPr>
      <w:r w:rsidRPr="00C06882">
        <w:rPr>
          <w:rStyle w:val="Odwoanieprzypisudolnego"/>
        </w:rPr>
        <w:footnoteRef/>
      </w:r>
      <w:r w:rsidRPr="00C06882">
        <w:t xml:space="preserve"> </w:t>
      </w:r>
      <w:r w:rsidRPr="00CE3847">
        <w:rPr>
          <w:bCs/>
          <w:sz w:val="16"/>
          <w:szCs w:val="16"/>
        </w:rPr>
        <w:t xml:space="preserve">Dane mają charakter wstępny i prezentowane są w zawężonym zakresie. Obliczone są na strukturze wydatków gospodarstw domowych (bez </w:t>
      </w:r>
      <w:r w:rsidR="004533BD">
        <w:rPr>
          <w:bCs/>
          <w:sz w:val="16"/>
          <w:szCs w:val="16"/>
        </w:rPr>
        <w:t xml:space="preserve">spożycia </w:t>
      </w:r>
      <w:r w:rsidR="00083159">
        <w:rPr>
          <w:bCs/>
          <w:sz w:val="16"/>
          <w:szCs w:val="16"/>
        </w:rPr>
        <w:t>naturalnego) z 2018</w:t>
      </w:r>
      <w:r w:rsidR="004533BD">
        <w:rPr>
          <w:bCs/>
          <w:sz w:val="16"/>
          <w:szCs w:val="16"/>
        </w:rPr>
        <w:t xml:space="preserve"> r.</w:t>
      </w:r>
    </w:p>
  </w:footnote>
  <w:footnote w:id="2">
    <w:p w:rsidR="008B3C98" w:rsidRPr="0006476D" w:rsidRDefault="0006476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8B3C98" w:rsidRPr="00C73761">
        <w:t xml:space="preserve"> </w:t>
      </w:r>
      <w:r w:rsidR="008B3C98" w:rsidRPr="0006476D">
        <w:rPr>
          <w:sz w:val="16"/>
          <w:szCs w:val="16"/>
        </w:rPr>
        <w:t xml:space="preserve">Struktura wydatków gospodarstw domowych (bez </w:t>
      </w:r>
      <w:r w:rsidR="00C1320A">
        <w:rPr>
          <w:sz w:val="16"/>
          <w:szCs w:val="16"/>
        </w:rPr>
        <w:t>spożycia naturalnego) z 2018</w:t>
      </w:r>
      <w:r w:rsidR="004533BD">
        <w:rPr>
          <w:sz w:val="16"/>
          <w:szCs w:val="16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98" w:rsidRDefault="00942B86">
    <w:pPr>
      <w:pStyle w:val="Nagwek"/>
    </w:pPr>
    <w:r>
      <w:rPr>
        <w:noProof/>
        <w:lang w:eastAsia="pl-PL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</w:pict>
    </w:r>
  </w:p>
  <w:p w:rsidR="008B3C98" w:rsidRDefault="008B3C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98" w:rsidRDefault="00942B86" w:rsidP="004A1AD2">
    <w:pPr>
      <w:pStyle w:val="Nagwek"/>
      <w:tabs>
        <w:tab w:val="clear" w:pos="4536"/>
        <w:tab w:val="clear" w:pos="9072"/>
        <w:tab w:val="left" w:pos="6417"/>
      </w:tabs>
      <w:rPr>
        <w:noProof/>
        <w:lang w:eastAsia="pl-PL"/>
      </w:rPr>
    </w:pPr>
    <w:r>
      <w:rPr>
        <w:noProof/>
        <w:lang w:eastAsia="pl-PL"/>
      </w:rPr>
      <w:pict>
        <v:shape id="Schemat blokowy: opóźnienie 6" o:spid="_x0000_s2051" style="position:absolute;margin-left:396.6pt;margin-top:15.65pt;width:162.25pt;height:28.15pt;flip:x;z-index:251668480;visibility:visible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8B3C98" w:rsidRPr="003C6C8D" w:rsidRDefault="008B3C98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  <w:r>
      <w:rPr>
        <w:noProof/>
        <w:lang w:eastAsia="pl-PL"/>
      </w:rPr>
      <w:pict>
        <v:rect id="Prostokąt 10" o:spid="_x0000_s2050" style="position:absolute;margin-left:410.95pt;margin-top:40.3pt;width:147.4pt;height:1803.55pt;z-index:-251650048;visibility:visible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<w10:wrap type="tight"/>
        </v:rect>
      </w:pict>
    </w:r>
    <w:r w:rsidR="008B3C98">
      <w:rPr>
        <w:noProof/>
        <w:lang w:eastAsia="pl-PL"/>
      </w:rPr>
      <w:drawing>
        <wp:inline distT="0" distB="0" distL="0" distR="0" wp14:anchorId="6B71B98E" wp14:editId="04E867D0">
          <wp:extent cx="1153274" cy="720000"/>
          <wp:effectExtent l="0" t="0" r="0" b="4445"/>
          <wp:docPr id="33" name="Obraz 33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3C98">
      <w:rPr>
        <w:noProof/>
        <w:lang w:eastAsia="pl-PL"/>
      </w:rPr>
      <w:tab/>
    </w:r>
  </w:p>
  <w:p w:rsidR="008B3C98" w:rsidRDefault="00942B86">
    <w:pPr>
      <w:pStyle w:val="Nagwek"/>
      <w:rPr>
        <w:noProof/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8B3C98" w:rsidRPr="00C97596" w:rsidRDefault="00083159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14.02.2020</w:t>
                </w:r>
                <w:r w:rsidR="008B3C98"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98" w:rsidRDefault="008B3C98">
    <w:pPr>
      <w:pStyle w:val="Nagwek"/>
    </w:pPr>
  </w:p>
  <w:p w:rsidR="008B3C98" w:rsidRDefault="008B3C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" o:bullet="t">
        <v:imagedata r:id="rId1" o:title=""/>
      </v:shape>
    </w:pict>
  </w:numPicBullet>
  <w:numPicBullet w:numPicBulletId="1">
    <w:pict>
      <v:shape id="_x0000_i1029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1C5B"/>
    <w:rsid w:val="00003437"/>
    <w:rsid w:val="0000709F"/>
    <w:rsid w:val="000108B8"/>
    <w:rsid w:val="000152F5"/>
    <w:rsid w:val="0004582E"/>
    <w:rsid w:val="000470AA"/>
    <w:rsid w:val="00057CA1"/>
    <w:rsid w:val="0006476D"/>
    <w:rsid w:val="000662E2"/>
    <w:rsid w:val="00066883"/>
    <w:rsid w:val="00071352"/>
    <w:rsid w:val="00072E75"/>
    <w:rsid w:val="00074DD8"/>
    <w:rsid w:val="000806F7"/>
    <w:rsid w:val="00083159"/>
    <w:rsid w:val="000847BA"/>
    <w:rsid w:val="00097840"/>
    <w:rsid w:val="000B02C1"/>
    <w:rsid w:val="000B0727"/>
    <w:rsid w:val="000B6F62"/>
    <w:rsid w:val="000C135D"/>
    <w:rsid w:val="000D1D43"/>
    <w:rsid w:val="000D225C"/>
    <w:rsid w:val="000D2A5C"/>
    <w:rsid w:val="000E0918"/>
    <w:rsid w:val="001011C3"/>
    <w:rsid w:val="00110D87"/>
    <w:rsid w:val="00114DB9"/>
    <w:rsid w:val="00116087"/>
    <w:rsid w:val="00130296"/>
    <w:rsid w:val="001423B6"/>
    <w:rsid w:val="001448A7"/>
    <w:rsid w:val="00146621"/>
    <w:rsid w:val="001537B0"/>
    <w:rsid w:val="00162325"/>
    <w:rsid w:val="001819B2"/>
    <w:rsid w:val="001951DA"/>
    <w:rsid w:val="001C3269"/>
    <w:rsid w:val="001D1DB4"/>
    <w:rsid w:val="0021152F"/>
    <w:rsid w:val="00221F22"/>
    <w:rsid w:val="002574F9"/>
    <w:rsid w:val="00262B61"/>
    <w:rsid w:val="00276811"/>
    <w:rsid w:val="00276DC7"/>
    <w:rsid w:val="00282699"/>
    <w:rsid w:val="002829B6"/>
    <w:rsid w:val="002926DF"/>
    <w:rsid w:val="00296697"/>
    <w:rsid w:val="002B0472"/>
    <w:rsid w:val="002B6B12"/>
    <w:rsid w:val="002E6140"/>
    <w:rsid w:val="002E6985"/>
    <w:rsid w:val="002E71B6"/>
    <w:rsid w:val="002F77C8"/>
    <w:rsid w:val="00304F22"/>
    <w:rsid w:val="00305F07"/>
    <w:rsid w:val="00306C7C"/>
    <w:rsid w:val="00322EDD"/>
    <w:rsid w:val="00332320"/>
    <w:rsid w:val="00347D72"/>
    <w:rsid w:val="00357611"/>
    <w:rsid w:val="00367237"/>
    <w:rsid w:val="0037077F"/>
    <w:rsid w:val="00372411"/>
    <w:rsid w:val="00373882"/>
    <w:rsid w:val="003843DB"/>
    <w:rsid w:val="00393761"/>
    <w:rsid w:val="00397D18"/>
    <w:rsid w:val="003A1B36"/>
    <w:rsid w:val="003B1454"/>
    <w:rsid w:val="003B18B6"/>
    <w:rsid w:val="003C59E0"/>
    <w:rsid w:val="003C6C8D"/>
    <w:rsid w:val="003D4F95"/>
    <w:rsid w:val="003D5F42"/>
    <w:rsid w:val="003D60A9"/>
    <w:rsid w:val="003F4C97"/>
    <w:rsid w:val="003F7FE6"/>
    <w:rsid w:val="00400193"/>
    <w:rsid w:val="00407E0E"/>
    <w:rsid w:val="004212E7"/>
    <w:rsid w:val="0042446D"/>
    <w:rsid w:val="00427BF8"/>
    <w:rsid w:val="00431C02"/>
    <w:rsid w:val="00437395"/>
    <w:rsid w:val="00445047"/>
    <w:rsid w:val="004533BD"/>
    <w:rsid w:val="00460E1A"/>
    <w:rsid w:val="00463E39"/>
    <w:rsid w:val="004657FC"/>
    <w:rsid w:val="0047240F"/>
    <w:rsid w:val="004733F6"/>
    <w:rsid w:val="00474898"/>
    <w:rsid w:val="00474E69"/>
    <w:rsid w:val="0049621B"/>
    <w:rsid w:val="004A1AD2"/>
    <w:rsid w:val="004C1895"/>
    <w:rsid w:val="004C6D40"/>
    <w:rsid w:val="004F0C3C"/>
    <w:rsid w:val="004F63FC"/>
    <w:rsid w:val="00505A92"/>
    <w:rsid w:val="005203F1"/>
    <w:rsid w:val="00521BC3"/>
    <w:rsid w:val="00533632"/>
    <w:rsid w:val="00541E6E"/>
    <w:rsid w:val="0054251F"/>
    <w:rsid w:val="005520D8"/>
    <w:rsid w:val="00556CF1"/>
    <w:rsid w:val="005762A7"/>
    <w:rsid w:val="005826EB"/>
    <w:rsid w:val="005916D7"/>
    <w:rsid w:val="005A698C"/>
    <w:rsid w:val="005D1B4C"/>
    <w:rsid w:val="005E0799"/>
    <w:rsid w:val="005F5A80"/>
    <w:rsid w:val="006044FF"/>
    <w:rsid w:val="00607CC5"/>
    <w:rsid w:val="00633014"/>
    <w:rsid w:val="0063437B"/>
    <w:rsid w:val="006673CA"/>
    <w:rsid w:val="00673C26"/>
    <w:rsid w:val="00680EFF"/>
    <w:rsid w:val="006812AF"/>
    <w:rsid w:val="0068327D"/>
    <w:rsid w:val="00685123"/>
    <w:rsid w:val="00694AF0"/>
    <w:rsid w:val="006A4686"/>
    <w:rsid w:val="006B0E9E"/>
    <w:rsid w:val="006B5AE4"/>
    <w:rsid w:val="006D1507"/>
    <w:rsid w:val="006D4054"/>
    <w:rsid w:val="006E02EC"/>
    <w:rsid w:val="006E1DCF"/>
    <w:rsid w:val="006E514B"/>
    <w:rsid w:val="006F4D05"/>
    <w:rsid w:val="007211B1"/>
    <w:rsid w:val="00740ECE"/>
    <w:rsid w:val="00746187"/>
    <w:rsid w:val="0075496E"/>
    <w:rsid w:val="0076254F"/>
    <w:rsid w:val="00764E44"/>
    <w:rsid w:val="00767603"/>
    <w:rsid w:val="007801F5"/>
    <w:rsid w:val="00783CA4"/>
    <w:rsid w:val="007842FB"/>
    <w:rsid w:val="00786124"/>
    <w:rsid w:val="0079514B"/>
    <w:rsid w:val="007A2DC1"/>
    <w:rsid w:val="007D0C0B"/>
    <w:rsid w:val="007D3319"/>
    <w:rsid w:val="007D335D"/>
    <w:rsid w:val="007E3314"/>
    <w:rsid w:val="007E4B03"/>
    <w:rsid w:val="007F324B"/>
    <w:rsid w:val="0080553C"/>
    <w:rsid w:val="00805B46"/>
    <w:rsid w:val="00825DC2"/>
    <w:rsid w:val="00834AD3"/>
    <w:rsid w:val="00843795"/>
    <w:rsid w:val="00847F0F"/>
    <w:rsid w:val="00852115"/>
    <w:rsid w:val="00852448"/>
    <w:rsid w:val="0088258A"/>
    <w:rsid w:val="00883763"/>
    <w:rsid w:val="00886332"/>
    <w:rsid w:val="008A26D9"/>
    <w:rsid w:val="008B3C98"/>
    <w:rsid w:val="008C0C29"/>
    <w:rsid w:val="008C1886"/>
    <w:rsid w:val="008F190C"/>
    <w:rsid w:val="008F3638"/>
    <w:rsid w:val="008F4441"/>
    <w:rsid w:val="008F6F31"/>
    <w:rsid w:val="008F74DF"/>
    <w:rsid w:val="009127BA"/>
    <w:rsid w:val="009227A6"/>
    <w:rsid w:val="00933EC1"/>
    <w:rsid w:val="00942B86"/>
    <w:rsid w:val="009530DB"/>
    <w:rsid w:val="00953676"/>
    <w:rsid w:val="009705EE"/>
    <w:rsid w:val="00977927"/>
    <w:rsid w:val="0098135C"/>
    <w:rsid w:val="0098156A"/>
    <w:rsid w:val="00991AFA"/>
    <w:rsid w:val="00991BAC"/>
    <w:rsid w:val="009A6EA0"/>
    <w:rsid w:val="009C1335"/>
    <w:rsid w:val="009C1AB2"/>
    <w:rsid w:val="009C7251"/>
    <w:rsid w:val="009E2E91"/>
    <w:rsid w:val="00A139F5"/>
    <w:rsid w:val="00A13E5E"/>
    <w:rsid w:val="00A34C24"/>
    <w:rsid w:val="00A365F4"/>
    <w:rsid w:val="00A47D80"/>
    <w:rsid w:val="00A53132"/>
    <w:rsid w:val="00A54FF9"/>
    <w:rsid w:val="00A563F2"/>
    <w:rsid w:val="00A566E8"/>
    <w:rsid w:val="00A810F9"/>
    <w:rsid w:val="00A86ECC"/>
    <w:rsid w:val="00A86FCC"/>
    <w:rsid w:val="00A90643"/>
    <w:rsid w:val="00AA710D"/>
    <w:rsid w:val="00AB6D25"/>
    <w:rsid w:val="00AC39D6"/>
    <w:rsid w:val="00AE2D4B"/>
    <w:rsid w:val="00AE4F99"/>
    <w:rsid w:val="00AF2DEA"/>
    <w:rsid w:val="00B11B69"/>
    <w:rsid w:val="00B14952"/>
    <w:rsid w:val="00B31E5A"/>
    <w:rsid w:val="00B600A6"/>
    <w:rsid w:val="00B653AB"/>
    <w:rsid w:val="00B65F9E"/>
    <w:rsid w:val="00B66B19"/>
    <w:rsid w:val="00B914E9"/>
    <w:rsid w:val="00B956EE"/>
    <w:rsid w:val="00BA2BA1"/>
    <w:rsid w:val="00BA3562"/>
    <w:rsid w:val="00BB0BE8"/>
    <w:rsid w:val="00BB4F09"/>
    <w:rsid w:val="00BC03AA"/>
    <w:rsid w:val="00BD4E33"/>
    <w:rsid w:val="00C030DE"/>
    <w:rsid w:val="00C06882"/>
    <w:rsid w:val="00C1320A"/>
    <w:rsid w:val="00C22105"/>
    <w:rsid w:val="00C244B6"/>
    <w:rsid w:val="00C3702F"/>
    <w:rsid w:val="00C4500A"/>
    <w:rsid w:val="00C604F4"/>
    <w:rsid w:val="00C64A37"/>
    <w:rsid w:val="00C7158E"/>
    <w:rsid w:val="00C7250B"/>
    <w:rsid w:val="00C7346B"/>
    <w:rsid w:val="00C73761"/>
    <w:rsid w:val="00C77C0E"/>
    <w:rsid w:val="00C91687"/>
    <w:rsid w:val="00C924A8"/>
    <w:rsid w:val="00C945FE"/>
    <w:rsid w:val="00C950B4"/>
    <w:rsid w:val="00C96FAA"/>
    <w:rsid w:val="00C97A04"/>
    <w:rsid w:val="00CA107B"/>
    <w:rsid w:val="00CA484D"/>
    <w:rsid w:val="00CA4FB6"/>
    <w:rsid w:val="00CC739E"/>
    <w:rsid w:val="00CD58B7"/>
    <w:rsid w:val="00CE3847"/>
    <w:rsid w:val="00CF4099"/>
    <w:rsid w:val="00CF4441"/>
    <w:rsid w:val="00D00796"/>
    <w:rsid w:val="00D261A2"/>
    <w:rsid w:val="00D616D2"/>
    <w:rsid w:val="00D63B5F"/>
    <w:rsid w:val="00D70EF7"/>
    <w:rsid w:val="00D763B9"/>
    <w:rsid w:val="00D8397C"/>
    <w:rsid w:val="00D94EED"/>
    <w:rsid w:val="00D96026"/>
    <w:rsid w:val="00DA7C1C"/>
    <w:rsid w:val="00DB147A"/>
    <w:rsid w:val="00DB1B7A"/>
    <w:rsid w:val="00DC6708"/>
    <w:rsid w:val="00E01436"/>
    <w:rsid w:val="00E045BD"/>
    <w:rsid w:val="00E17B77"/>
    <w:rsid w:val="00E23337"/>
    <w:rsid w:val="00E259EA"/>
    <w:rsid w:val="00E26AA3"/>
    <w:rsid w:val="00E2705A"/>
    <w:rsid w:val="00E32061"/>
    <w:rsid w:val="00E42FF9"/>
    <w:rsid w:val="00E4714C"/>
    <w:rsid w:val="00E51AEB"/>
    <w:rsid w:val="00E522A7"/>
    <w:rsid w:val="00E54452"/>
    <w:rsid w:val="00E664C5"/>
    <w:rsid w:val="00E671A2"/>
    <w:rsid w:val="00E76D26"/>
    <w:rsid w:val="00EB1390"/>
    <w:rsid w:val="00EB2C71"/>
    <w:rsid w:val="00EB4340"/>
    <w:rsid w:val="00EB556D"/>
    <w:rsid w:val="00EB5A7D"/>
    <w:rsid w:val="00EB5AED"/>
    <w:rsid w:val="00ED3F9E"/>
    <w:rsid w:val="00ED55C0"/>
    <w:rsid w:val="00ED682B"/>
    <w:rsid w:val="00EE41D5"/>
    <w:rsid w:val="00F037A4"/>
    <w:rsid w:val="00F15E50"/>
    <w:rsid w:val="00F2018B"/>
    <w:rsid w:val="00F27C8F"/>
    <w:rsid w:val="00F32749"/>
    <w:rsid w:val="00F37172"/>
    <w:rsid w:val="00F4477E"/>
    <w:rsid w:val="00F668A2"/>
    <w:rsid w:val="00F67D8F"/>
    <w:rsid w:val="00F739B3"/>
    <w:rsid w:val="00F802BE"/>
    <w:rsid w:val="00F80E93"/>
    <w:rsid w:val="00F86024"/>
    <w:rsid w:val="00F8611A"/>
    <w:rsid w:val="00FA5128"/>
    <w:rsid w:val="00FB42D4"/>
    <w:rsid w:val="00FB5906"/>
    <w:rsid w:val="00FB762F"/>
    <w:rsid w:val="00FC2AED"/>
    <w:rsid w:val="00FD0F08"/>
    <w:rsid w:val="00FD5EA7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6E7429F-A353-4341-8794-F80D828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semiHidden/>
    <w:unhideWhenUsed/>
    <w:rsid w:val="00680E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29" Type="http://schemas.openxmlformats.org/officeDocument/2006/relationships/hyperlink" Target="http://stat.gov.pl/obszary-tematyczne/ceny-handel/c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stat.gov.pl/sygnalne/komunikaty-i-obwieszczenia/" TargetMode="External"/><Relationship Id="rId28" Type="http://schemas.openxmlformats.org/officeDocument/2006/relationships/hyperlink" Target="http://stat.gov.pl/obszary-tematyczne/ceny-handel/wskazniki-cen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metainformacje/slownik-pojec/pojecia-stosowane-w-statystyce-publicznej/32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image" Target="media/image8.png"/><Relationship Id="rId27" Type="http://schemas.openxmlformats.org/officeDocument/2006/relationships/hyperlink" Target="https://bdl.stat.gov.pl/BDL/start" TargetMode="External"/><Relationship Id="rId30" Type="http://schemas.openxmlformats.org/officeDocument/2006/relationships/hyperlink" Target="http://stat.gov.pl/metainformacje/slownik-pojec/pojecia-stosowane-w-statystyce-publicznej/711,pojecie.html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4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9.3315604743701291E-3"/>
                  <c:y val="-1.7912085788812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468604754157208E-2"/>
                  <c:y val="4.0212657031465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8495937741364652E-3"/>
                  <c:y val="-9.724664283644091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7181740856251772E-2"/>
                  <c:y val="-2.9599072553376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7604453834405965E-3"/>
                  <c:y val="-7.38431993854721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1811489264836222E-2"/>
                  <c:y val="4.1545223501270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1731372759891675E-2"/>
                  <c:y val="4.5485073905902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4538584124439055E-2"/>
                  <c:y val="4.3977973142691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493402701699026E-2"/>
                  <c:y val="5.1123537982908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4.0157504135215447E-2"/>
                  <c:y val="-4.2972010178117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8.8512639853230348E-3"/>
                  <c:y val="2.504584953670363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508219035579088E-2"/>
                  <c:y val="-2.59725594263452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6.7581122962760186E-3"/>
                  <c:y val="-8.643802531156409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8587335297959095E-2"/>
                  <c:y val="4.0465837004327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8013274159369878E-2"/>
                  <c:y val="4.06904108164203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6.000355377514182E-2"/>
                  <c:y val="-2.8980448719593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1.0391554215574354E-2"/>
                  <c:y val="6.9876943773988049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18957861766159E-2"/>
                  <c:y val="-4.0274315446948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535974793779264E-2"/>
                  <c:y val="-2.106630344317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0509009646396567E-2"/>
                  <c:y val="-4.5661189358372462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'M-1'!$B$26:$B$50</c:f>
              <c:strCache>
                <c:ptCount val="2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</c:strCache>
            </c:strRef>
          </c:cat>
          <c:val>
            <c:numRef>
              <c:f>'M-1'!$C$26:$C$50</c:f>
              <c:numCache>
                <c:formatCode>0.0</c:formatCode>
                <c:ptCount val="25"/>
                <c:pt idx="0">
                  <c:v>0.29999999999999716</c:v>
                </c:pt>
                <c:pt idx="1">
                  <c:v>-0.2</c:v>
                </c:pt>
                <c:pt idx="2">
                  <c:v>-0.1</c:v>
                </c:pt>
                <c:pt idx="3">
                  <c:v>0.5</c:v>
                </c:pt>
                <c:pt idx="4">
                  <c:v>0.2</c:v>
                </c:pt>
                <c:pt idx="5">
                  <c:v>0.1</c:v>
                </c:pt>
                <c:pt idx="6">
                  <c:v>-0.2</c:v>
                </c:pt>
                <c:pt idx="7">
                  <c:v>0</c:v>
                </c:pt>
                <c:pt idx="8">
                  <c:v>0.2</c:v>
                </c:pt>
                <c:pt idx="9">
                  <c:v>0.4</c:v>
                </c:pt>
                <c:pt idx="10">
                  <c:v>0</c:v>
                </c:pt>
                <c:pt idx="11">
                  <c:v>0</c:v>
                </c:pt>
                <c:pt idx="12">
                  <c:v>-0.2</c:v>
                </c:pt>
                <c:pt idx="13">
                  <c:v>0.4</c:v>
                </c:pt>
                <c:pt idx="14">
                  <c:v>0.3</c:v>
                </c:pt>
                <c:pt idx="15">
                  <c:v>1.1000000000000001</c:v>
                </c:pt>
                <c:pt idx="16">
                  <c:v>0.2</c:v>
                </c:pt>
                <c:pt idx="17">
                  <c:v>0.3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0.2</c:v>
                </c:pt>
                <c:pt idx="22">
                  <c:v>0.1</c:v>
                </c:pt>
                <c:pt idx="23">
                  <c:v>0.8</c:v>
                </c:pt>
                <c:pt idx="24">
                  <c:v>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158432"/>
        <c:axId val="150154624"/>
      </c:lineChart>
      <c:dateAx>
        <c:axId val="15015843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50154624"/>
        <c:crossesAt val="0"/>
        <c:auto val="0"/>
        <c:lblOffset val="100"/>
        <c:baseTimeUnit val="days"/>
      </c:dateAx>
      <c:valAx>
        <c:axId val="150154624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150158432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19"/>
            <c:bubble3D val="0"/>
          </c:dPt>
          <c:dPt>
            <c:idx val="20"/>
            <c:bubble3D val="0"/>
          </c:dPt>
          <c:dPt>
            <c:idx val="23"/>
            <c:bubble3D val="0"/>
          </c:dPt>
          <c:dPt>
            <c:idx val="24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55531715898286E-2"/>
                  <c:y val="-4.4148926550842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23709425625949E-2"/>
                  <c:y val="4.1105571164888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535167990874527E-2"/>
                  <c:y val="3.40557775129644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5148996972653711E-2"/>
                  <c:y val="-3.8552395416986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531905897719798E-2"/>
                  <c:y val="-3.4291984054168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640794689651515E-2"/>
                  <c:y val="-3.7513815451738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733745157820942E-2"/>
                  <c:y val="-4.40080811013693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715233403840325E-2"/>
                  <c:y val="-4.4764681022289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5849150775854091E-2"/>
                  <c:y val="-4.3007191538085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2890944085486297E-2"/>
                  <c:y val="-2.061449451972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9390156636676225E-2"/>
                  <c:y val="1.8859958461489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9506826828651686E-2"/>
                  <c:y val="3.7490036182741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0624415938135311E-2"/>
                  <c:y val="3.30927410548222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0398987057498347E-2"/>
                  <c:y val="1.561244890001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3139079080272255E-3"/>
                  <c:y val="-1.2642049604159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9.9935687460535952E-3"/>
                  <c:y val="1.113095759761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6.0037372168602471E-3"/>
                  <c:y val="2.3429403311673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5.9023476415510472E-2"/>
                  <c:y val="-3.9277404123334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3.4183809211067055E-2"/>
                  <c:y val="-4.75206266667223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8469478121795166E-2"/>
                  <c:y val="-4.7854868466194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3.5636541758510901E-2"/>
                  <c:y val="-4.6477190320060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5193986507276558E-2"/>
                  <c:y val="-4.3127524536095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7.9573775628946786E-3"/>
                  <c:y val="-2.89664363682682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1.2759822932581188E-2"/>
                  <c:y val="1.77893263342082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0310189389820113E-2"/>
                  <c:y val="-3.76671631316145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5681114293960842E-2"/>
                  <c:y val="2.952363171912265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(+FE)'!$B$26:$B$50</c:f>
              <c:strCache>
                <c:ptCount val="2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  <c:pt idx="24">
                  <c:v>I</c:v>
                </c:pt>
              </c:strCache>
            </c:strRef>
          </c:cat>
          <c:val>
            <c:numRef>
              <c:f>'M-12 (+FE)'!$C$26:$C$50</c:f>
              <c:numCache>
                <c:formatCode>0.0</c:formatCode>
                <c:ptCount val="25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  <c:pt idx="21">
                  <c:v>2.5</c:v>
                </c:pt>
                <c:pt idx="22">
                  <c:v>2.6</c:v>
                </c:pt>
                <c:pt idx="23">
                  <c:v>3.4</c:v>
                </c:pt>
                <c:pt idx="24">
                  <c:v>4.4000000000000004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147552"/>
        <c:axId val="150159520"/>
      </c:lineChart>
      <c:dateAx>
        <c:axId val="15014755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crossAx val="150159520"/>
        <c:crossesAt val="0"/>
        <c:auto val="0"/>
        <c:lblOffset val="100"/>
        <c:baseTimeUnit val="days"/>
      </c:dateAx>
      <c:valAx>
        <c:axId val="150159520"/>
        <c:scaling>
          <c:orientation val="minMax"/>
          <c:max val="4.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crossAx val="150147552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/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3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5.58</c:v>
                </c:pt>
                <c:pt idx="1">
                  <c:v>6.2</c:v>
                </c:pt>
                <c:pt idx="2">
                  <c:v>1.07</c:v>
                </c:pt>
                <c:pt idx="3">
                  <c:v>6.44</c:v>
                </c:pt>
                <c:pt idx="4">
                  <c:v>4.18</c:v>
                </c:pt>
                <c:pt idx="5">
                  <c:v>10.34</c:v>
                </c:pt>
                <c:pt idx="6">
                  <c:v>5.1199999999999983</c:v>
                </c:pt>
                <c:pt idx="7">
                  <c:v>5.7</c:v>
                </c:pt>
                <c:pt idx="8">
                  <c:v>19.170000000000005</c:v>
                </c:pt>
                <c:pt idx="9">
                  <c:v>4.9400000000000004</c:v>
                </c:pt>
                <c:pt idx="10">
                  <c:v>6.37</c:v>
                </c:pt>
                <c:pt idx="11">
                  <c:v>24.89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0152448"/>
        <c:axId val="150161152"/>
      </c:barChart>
      <c:catAx>
        <c:axId val="150152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pl-PL"/>
          </a:p>
        </c:txPr>
        <c:crossAx val="150161152"/>
        <c:crosses val="autoZero"/>
        <c:auto val="0"/>
        <c:lblAlgn val="ctr"/>
        <c:lblOffset val="100"/>
        <c:noMultiLvlLbl val="0"/>
      </c:catAx>
      <c:valAx>
        <c:axId val="150161152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09837153251"/>
              <c:y val="0.93581586831545505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1501524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pl-PL"/>
    </a:p>
  </c:txPr>
  <c:externalData r:id="rId1">
    <c:autoUpdate val="0"/>
  </c:externalData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0.48496</cdr:x>
      <cdr:y>0.86881</cdr:y>
    </cdr:from>
    <cdr:to>
      <cdr:x>0.48507</cdr:x>
      <cdr:y>0.9425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484207" y="2197399"/>
          <a:ext cx="585" cy="186384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0.93132</cdr:y>
    </cdr:from>
    <cdr:to>
      <cdr:x>0.48735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286" y="2355493"/>
          <a:ext cx="2152186" cy="1551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0.48549</cdr:x>
      <cdr:y>0.92843</cdr:y>
    </cdr:from>
    <cdr:to>
      <cdr:x>0.89681</cdr:x>
      <cdr:y>0.99784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2486944" y="2348179"/>
          <a:ext cx="2107001" cy="1755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0.89472</cdr:x>
      <cdr:y>0.86801</cdr:y>
    </cdr:from>
    <cdr:to>
      <cdr:x>0.8951</cdr:x>
      <cdr:y>0.94487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V="1">
          <a:off x="4583220" y="2195374"/>
          <a:ext cx="1970" cy="19440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0.89872</cdr:x>
      <cdr:y>0.93132</cdr:y>
    </cdr:from>
    <cdr:to>
      <cdr:x>0.94251</cdr:x>
      <cdr:y>0.9843</cdr:y>
    </cdr:to>
    <cdr:sp macro="" textlink="">
      <cdr:nvSpPr>
        <cdr:cNvPr id="56" name="pole tekstowe 1"/>
        <cdr:cNvSpPr txBox="1"/>
      </cdr:nvSpPr>
      <cdr:spPr>
        <a:xfrm xmlns:a="http://schemas.openxmlformats.org/drawingml/2006/main">
          <a:off x="4603712" y="2355499"/>
          <a:ext cx="224337" cy="1339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0.06568</cdr:x>
      <cdr:y>0.92703</cdr:y>
    </cdr:from>
    <cdr:to>
      <cdr:x>0.48138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36233" y="2646407"/>
          <a:ext cx="2128084" cy="2083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0.4803</cdr:x>
      <cdr:y>0.92328</cdr:y>
    </cdr:from>
    <cdr:to>
      <cdr:x>0.89353</cdr:x>
      <cdr:y>0.98875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2458779" y="2635702"/>
          <a:ext cx="2115436" cy="1868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0.48132</cdr:x>
      <cdr:y>0.86722</cdr:y>
    </cdr:from>
    <cdr:to>
      <cdr:x>0.48158</cdr:x>
      <cdr:y>0.95484</cdr:y>
    </cdr:to>
    <cdr:sp macro="" textlink="">
      <cdr:nvSpPr>
        <cdr:cNvPr id="10" name="Łącznik prosty 9"/>
        <cdr:cNvSpPr/>
      </cdr:nvSpPr>
      <cdr:spPr bwMode="auto">
        <a:xfrm xmlns:a="http://schemas.openxmlformats.org/drawingml/2006/main" flipV="1">
          <a:off x="2460617" y="2471387"/>
          <a:ext cx="1329" cy="24969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Fira Sans Light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Fira Sans Light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Fira Sans Light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Fira Sans Light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Fira Sans Light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Fira Sans Light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Fira Sans Light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Fira Sans Light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Fira Sans Light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0.07062</cdr:x>
      <cdr:y>0.41273</cdr:y>
    </cdr:from>
    <cdr:to>
      <cdr:x>0.93069</cdr:x>
      <cdr:y>0.41275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62910" y="1176914"/>
          <a:ext cx="4419764" cy="5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0.06766</cdr:x>
      <cdr:y>0.59288</cdr:y>
    </cdr:from>
    <cdr:to>
      <cdr:x>0.92869</cdr:x>
      <cdr:y>0.59316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47717" y="1690645"/>
          <a:ext cx="4424697" cy="799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0.06864</cdr:x>
      <cdr:y>0.22959</cdr:y>
    </cdr:from>
    <cdr:to>
      <cdr:x>0.92967</cdr:x>
      <cdr:y>0.23083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2730" y="654696"/>
          <a:ext cx="4424697" cy="353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0.40699</cdr:x>
      <cdr:y>0.24616</cdr:y>
    </cdr:from>
    <cdr:to>
      <cdr:x>0.63943</cdr:x>
      <cdr:y>0.33288</cdr:y>
    </cdr:to>
    <cdr:sp macro="" textlink="">
      <cdr:nvSpPr>
        <cdr:cNvPr id="18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77092" y="703246"/>
          <a:ext cx="1186256" cy="2477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0.53142</cdr:x>
      <cdr:y>0.32218</cdr:y>
    </cdr:from>
    <cdr:to>
      <cdr:x>0.58927</cdr:x>
      <cdr:y>0.41277</cdr:y>
    </cdr:to>
    <cdr:sp macro="" textlink="">
      <cdr:nvSpPr>
        <cdr:cNvPr id="21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712120" y="920425"/>
          <a:ext cx="295237" cy="25880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0.15058</cdr:x>
      <cdr:y>0.2627</cdr:y>
    </cdr:from>
    <cdr:to>
      <cdr:x>0.33231</cdr:x>
      <cdr:y>0.39343</cdr:y>
    </cdr:to>
    <cdr:sp macro="" textlink="">
      <cdr:nvSpPr>
        <cdr:cNvPr id="23" name="pole tekstowe 1"/>
        <cdr:cNvSpPr txBox="1"/>
      </cdr:nvSpPr>
      <cdr:spPr>
        <a:xfrm xmlns:a="http://schemas.openxmlformats.org/drawingml/2006/main">
          <a:off x="768489" y="750498"/>
          <a:ext cx="927458" cy="3734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b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0.35076</cdr:x>
      <cdr:y>0.23243</cdr:y>
    </cdr:from>
    <cdr:to>
      <cdr:x>0.41277</cdr:x>
      <cdr:y>0.31426</cdr:y>
    </cdr:to>
    <cdr:sp macro="" textlink="">
      <cdr:nvSpPr>
        <cdr:cNvPr id="24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790107" y="664021"/>
          <a:ext cx="316467" cy="23377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0.35076</cdr:x>
      <cdr:y>0.31232</cdr:y>
    </cdr:from>
    <cdr:to>
      <cdr:x>0.52123</cdr:x>
      <cdr:y>0.58904</cdr:y>
    </cdr:to>
    <cdr:sp macro="" textlink="">
      <cdr:nvSpPr>
        <cdr:cNvPr id="25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790107" y="892256"/>
          <a:ext cx="869993" cy="79055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0.89373</cdr:x>
      <cdr:y>0.8683</cdr:y>
    </cdr:from>
    <cdr:to>
      <cdr:x>0.89381</cdr:x>
      <cdr:y>0.95466</cdr:y>
    </cdr:to>
    <cdr:sp macro="" textlink="">
      <cdr:nvSpPr>
        <cdr:cNvPr id="16" name="Łącznik prosty 15"/>
        <cdr:cNvSpPr/>
      </cdr:nvSpPr>
      <cdr:spPr bwMode="auto">
        <a:xfrm xmlns:a="http://schemas.openxmlformats.org/drawingml/2006/main" flipV="1">
          <a:off x="4561170" y="2480616"/>
          <a:ext cx="408" cy="24671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0.89275</cdr:x>
      <cdr:y>0.92984</cdr:y>
    </cdr:from>
    <cdr:to>
      <cdr:x>0.95236</cdr:x>
      <cdr:y>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556143" y="2656431"/>
          <a:ext cx="304215" cy="20043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3AD871AE-91F3-43DA-8860-DEF8F264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Główny Urząd Statystyczny</dc:creator>
  <cp:keywords>inflacja; wskaźniki cen towarów i usług konsumpcyjnych; eny detaliczne; ceny konsumpcyjne; ceny towarów i usług; żywność; system wag; coicop; hicp; cpi</cp:keywords>
  <dc:description/>
  <cp:lastModifiedBy>Makulec Krzysztof</cp:lastModifiedBy>
  <cp:revision>6</cp:revision>
  <cp:lastPrinted>2020-02-13T14:50:00Z</cp:lastPrinted>
  <dcterms:created xsi:type="dcterms:W3CDTF">2019-02-14T11:01:00Z</dcterms:created>
  <dcterms:modified xsi:type="dcterms:W3CDTF">2020-02-14T08:42:00Z</dcterms:modified>
  <cp:category>Wskaźniki cen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