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23" w:rsidRPr="00FD11D4" w:rsidRDefault="00685123" w:rsidP="00685123">
      <w:pPr>
        <w:pStyle w:val="tytuinformacji"/>
      </w:pPr>
      <w:bookmarkStart w:id="0" w:name="_GoBack"/>
      <w:bookmarkEnd w:id="0"/>
      <w:r w:rsidRPr="00FD11D4">
        <w:t>Wskaźniki cen towarów i usług konsumpcyjnych w </w:t>
      </w:r>
      <w:r w:rsidR="009C55D4">
        <w:t>sierpniu</w:t>
      </w:r>
      <w:r w:rsidR="007C161B" w:rsidRPr="00FD11D4">
        <w:t xml:space="preserve"> 2021</w:t>
      </w:r>
      <w:r w:rsidR="00EE696D" w:rsidRPr="00FD11D4">
        <w:t xml:space="preserve"> r.</w:t>
      </w:r>
    </w:p>
    <w:p w:rsidR="00AD4947" w:rsidRPr="00FD11D4" w:rsidRDefault="00AD4947" w:rsidP="00AD4947">
      <w:pPr>
        <w:pStyle w:val="tytuinformacji"/>
        <w:rPr>
          <w:sz w:val="32"/>
          <w:szCs w:val="32"/>
        </w:rPr>
      </w:pPr>
    </w:p>
    <w:p w:rsidR="00B37F5A" w:rsidRPr="00FD11D4" w:rsidRDefault="009E3F12" w:rsidP="00B37F5A">
      <w:pPr>
        <w:pStyle w:val="LID"/>
        <w:spacing w:after="0"/>
        <w:rPr>
          <w:lang w:eastAsia="en-GB"/>
        </w:rPr>
      </w:pPr>
      <w:r w:rsidRPr="00FD11D4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111E2CA" wp14:editId="66363F10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8" w:rsidRPr="00D538E4" w:rsidRDefault="00556BF8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1C201512" wp14:editId="15D51062">
                                  <wp:extent cx="334645" cy="334645"/>
                                  <wp:effectExtent l="19050" t="0" r="8255" b="0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5,5%</w:t>
                            </w:r>
                          </w:p>
                          <w:p w:rsidR="00556BF8" w:rsidRDefault="00556BF8" w:rsidP="00B37F5A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556BF8" w:rsidRDefault="00556BF8" w:rsidP="00B37F5A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556BF8" w:rsidRPr="00D538E4" w:rsidRDefault="00556BF8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1E2C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556BF8" w:rsidRPr="00D538E4" w:rsidRDefault="00556BF8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1C201512" wp14:editId="15D51062">
                            <wp:extent cx="334645" cy="334645"/>
                            <wp:effectExtent l="19050" t="0" r="8255" b="0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5,5%</w:t>
                      </w:r>
                    </w:p>
                    <w:p w:rsidR="00556BF8" w:rsidRDefault="00556BF8" w:rsidP="00B37F5A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556BF8" w:rsidRDefault="00556BF8" w:rsidP="00B37F5A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556BF8" w:rsidRPr="00D538E4" w:rsidRDefault="00556BF8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FD11D4">
        <w:rPr>
          <w:lang w:eastAsia="en-GB"/>
        </w:rPr>
        <w:t xml:space="preserve">Ceny towarów i </w:t>
      </w:r>
      <w:r w:rsidR="00F7414E">
        <w:rPr>
          <w:lang w:eastAsia="en-GB"/>
        </w:rPr>
        <w:t>usług konsumpcyjnych w sierpniu</w:t>
      </w:r>
      <w:r w:rsidR="00B50A80" w:rsidRPr="00FD11D4">
        <w:rPr>
          <w:lang w:eastAsia="en-GB"/>
        </w:rPr>
        <w:t xml:space="preserve"> </w:t>
      </w:r>
      <w:r w:rsidR="007C161B" w:rsidRPr="00FD11D4">
        <w:rPr>
          <w:lang w:eastAsia="en-GB"/>
        </w:rPr>
        <w:t>2021</w:t>
      </w:r>
      <w:r w:rsidR="00B37F5A" w:rsidRPr="00FD11D4">
        <w:rPr>
          <w:lang w:eastAsia="en-GB"/>
        </w:rPr>
        <w:t xml:space="preserve"> r. w porównaniu z analogiczny</w:t>
      </w:r>
      <w:r w:rsidR="009A1431" w:rsidRPr="00FD11D4">
        <w:rPr>
          <w:lang w:eastAsia="en-GB"/>
        </w:rPr>
        <w:t xml:space="preserve">m miesiącem ub. roku </w:t>
      </w:r>
      <w:r w:rsidR="00BC50F0" w:rsidRPr="00FD11D4">
        <w:rPr>
          <w:lang w:eastAsia="en-GB"/>
        </w:rPr>
        <w:t xml:space="preserve">wzrosły o </w:t>
      </w:r>
      <w:r w:rsidR="00174616">
        <w:rPr>
          <w:lang w:eastAsia="en-GB"/>
        </w:rPr>
        <w:t>5,5</w:t>
      </w:r>
      <w:r w:rsidR="00B37F5A" w:rsidRPr="00FD11D4">
        <w:rPr>
          <w:lang w:eastAsia="en-GB"/>
        </w:rPr>
        <w:t>% (przy wzroście ce</w:t>
      </w:r>
      <w:r w:rsidR="005C5EF8" w:rsidRPr="00FD11D4">
        <w:rPr>
          <w:lang w:eastAsia="en-GB"/>
        </w:rPr>
        <w:t>n usług – o 6,</w:t>
      </w:r>
      <w:r w:rsidR="00174616">
        <w:rPr>
          <w:lang w:eastAsia="en-GB"/>
        </w:rPr>
        <w:t>6</w:t>
      </w:r>
      <w:r w:rsidR="009A1431" w:rsidRPr="00FD11D4">
        <w:rPr>
          <w:lang w:eastAsia="en-GB"/>
        </w:rPr>
        <w:t xml:space="preserve">% </w:t>
      </w:r>
      <w:r w:rsidR="005C5EF8" w:rsidRPr="00FD11D4">
        <w:rPr>
          <w:lang w:eastAsia="en-GB"/>
        </w:rPr>
        <w:t>i </w:t>
      </w:r>
      <w:r w:rsidR="008F557F">
        <w:rPr>
          <w:lang w:eastAsia="en-GB"/>
        </w:rPr>
        <w:t>towarów – o 5,1</w:t>
      </w:r>
      <w:r w:rsidR="00B37F5A" w:rsidRPr="00FD11D4">
        <w:rPr>
          <w:lang w:eastAsia="en-GB"/>
        </w:rPr>
        <w:t>%).</w:t>
      </w:r>
    </w:p>
    <w:p w:rsidR="00370D51" w:rsidRPr="00FD11D4" w:rsidRDefault="00B37F5A" w:rsidP="00B37F5A">
      <w:pPr>
        <w:pStyle w:val="LID"/>
        <w:spacing w:before="0" w:after="0"/>
        <w:rPr>
          <w:lang w:eastAsia="en-GB"/>
        </w:rPr>
      </w:pPr>
      <w:r w:rsidRPr="00FD11D4">
        <w:rPr>
          <w:lang w:eastAsia="en-GB"/>
        </w:rPr>
        <w:t>W stosunku do poprzedniego miesiąca ce</w:t>
      </w:r>
      <w:r w:rsidR="005C5EF8" w:rsidRPr="00FD11D4">
        <w:rPr>
          <w:lang w:eastAsia="en-GB"/>
        </w:rPr>
        <w:t>ny towarów i </w:t>
      </w:r>
      <w:r w:rsidRPr="00FD11D4">
        <w:rPr>
          <w:lang w:eastAsia="en-GB"/>
        </w:rPr>
        <w:t xml:space="preserve">usług </w:t>
      </w:r>
      <w:r w:rsidR="008F557F">
        <w:rPr>
          <w:lang w:eastAsia="en-GB"/>
        </w:rPr>
        <w:t>wzrosły o 0,3</w:t>
      </w:r>
      <w:r w:rsidRPr="00FD11D4">
        <w:rPr>
          <w:lang w:eastAsia="en-GB"/>
        </w:rPr>
        <w:t>% (</w:t>
      </w:r>
      <w:r w:rsidR="008F557F">
        <w:rPr>
          <w:lang w:eastAsia="en-GB"/>
        </w:rPr>
        <w:t>w tym usług – o 0,6</w:t>
      </w:r>
      <w:r w:rsidR="00C07C7D">
        <w:rPr>
          <w:lang w:eastAsia="en-GB"/>
        </w:rPr>
        <w:t>% i towarów</w:t>
      </w:r>
      <w:r w:rsidR="009A1431" w:rsidRPr="00FD11D4">
        <w:rPr>
          <w:lang w:eastAsia="en-GB"/>
        </w:rPr>
        <w:t xml:space="preserve"> </w:t>
      </w:r>
      <w:r w:rsidR="008F557F">
        <w:rPr>
          <w:lang w:eastAsia="en-GB"/>
        </w:rPr>
        <w:br/>
        <w:t>– o 0,2</w:t>
      </w:r>
      <w:r w:rsidR="00BC50F0" w:rsidRPr="00FD11D4">
        <w:rPr>
          <w:lang w:eastAsia="en-GB"/>
        </w:rPr>
        <w:t>%).</w:t>
      </w:r>
    </w:p>
    <w:p w:rsidR="00370D51" w:rsidRPr="00FD11D4" w:rsidRDefault="00370D51" w:rsidP="00370D51">
      <w:pPr>
        <w:pStyle w:val="LID"/>
        <w:spacing w:before="0" w:after="0"/>
      </w:pPr>
    </w:p>
    <w:p w:rsidR="00370D51" w:rsidRPr="00FD11D4" w:rsidRDefault="00370D51" w:rsidP="00370D51">
      <w:pPr>
        <w:pStyle w:val="LID"/>
        <w:spacing w:before="0" w:after="0"/>
      </w:pPr>
    </w:p>
    <w:p w:rsidR="009E3F12" w:rsidRPr="00FD11D4" w:rsidRDefault="009E3F12" w:rsidP="00164CEA">
      <w:pPr>
        <w:spacing w:before="0" w:after="100"/>
        <w:rPr>
          <w:highlight w:val="yellow"/>
        </w:rPr>
      </w:pPr>
    </w:p>
    <w:p w:rsidR="00C27D75" w:rsidRPr="00FD11D4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FD11D4">
        <w:t>Tablica 1.</w:t>
      </w:r>
      <w:r w:rsidRPr="00FD11D4">
        <w:rPr>
          <w:shd w:val="clear" w:color="auto" w:fill="FFFFFF"/>
        </w:rPr>
        <w:t xml:space="preserve"> </w:t>
      </w:r>
      <w:r w:rsidRPr="00FD11D4">
        <w:rPr>
          <w:bCs/>
          <w:shd w:val="clear" w:color="auto" w:fill="FFFFFF"/>
        </w:rPr>
        <w:t xml:space="preserve">Wskaźniki cen towarów i usług konsumpcyjnych w </w:t>
      </w:r>
      <w:r w:rsidR="008F557F">
        <w:rPr>
          <w:bCs/>
          <w:shd w:val="clear" w:color="auto" w:fill="FFFFFF"/>
        </w:rPr>
        <w:t>sierpniu</w:t>
      </w:r>
      <w:r w:rsidR="00260F39" w:rsidRPr="00FD11D4">
        <w:rPr>
          <w:bCs/>
          <w:shd w:val="clear" w:color="auto" w:fill="FFFFFF"/>
        </w:rPr>
        <w:t xml:space="preserve"> </w:t>
      </w:r>
      <w:r w:rsidR="007C161B" w:rsidRPr="00FD11D4">
        <w:t>2021</w:t>
      </w:r>
      <w:r w:rsidRPr="00FD11D4">
        <w:t> </w:t>
      </w:r>
      <w:r w:rsidRPr="00FD11D4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27"/>
        <w:gridCol w:w="992"/>
        <w:gridCol w:w="992"/>
        <w:gridCol w:w="993"/>
        <w:gridCol w:w="1134"/>
        <w:gridCol w:w="945"/>
      </w:tblGrid>
      <w:tr w:rsidR="00260F39" w:rsidRPr="00FD11D4" w:rsidTr="00A03DB9">
        <w:trPr>
          <w:cantSplit/>
          <w:trHeight w:val="367"/>
        </w:trPr>
        <w:tc>
          <w:tcPr>
            <w:tcW w:w="3227" w:type="dxa"/>
            <w:vMerge w:val="restart"/>
            <w:vAlign w:val="center"/>
          </w:tcPr>
          <w:p w:rsidR="00260F39" w:rsidRPr="00FD11D4" w:rsidRDefault="00260F39" w:rsidP="00AF6AEA">
            <w:pPr>
              <w:keepNext/>
              <w:tabs>
                <w:tab w:val="right" w:leader="dot" w:pos="4139"/>
              </w:tabs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77" w:type="dxa"/>
            <w:gridSpan w:val="3"/>
            <w:vAlign w:val="center"/>
          </w:tcPr>
          <w:p w:rsidR="00260F39" w:rsidRPr="00FD11D4" w:rsidRDefault="008F557F" w:rsidP="004A5B48">
            <w:pPr>
              <w:keepNext/>
              <w:keepLines/>
              <w:spacing w:before="60" w:after="6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08</w:t>
            </w:r>
            <w:r w:rsidR="007C161B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2021</w:t>
            </w:r>
          </w:p>
        </w:tc>
        <w:tc>
          <w:tcPr>
            <w:tcW w:w="1134" w:type="dxa"/>
          </w:tcPr>
          <w:p w:rsidR="00260F39" w:rsidRPr="00FD11D4" w:rsidRDefault="008F557F" w:rsidP="004A5B48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01-08</w:t>
            </w:r>
            <w:r w:rsidR="007C161B"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945" w:type="dxa"/>
            <w:vMerge w:val="restart"/>
            <w:vAlign w:val="center"/>
          </w:tcPr>
          <w:p w:rsidR="00260F39" w:rsidRPr="00D20C21" w:rsidRDefault="00260F39" w:rsidP="00AF6AEA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260F39" w:rsidRPr="00FD11D4" w:rsidRDefault="008F557F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07</w:t>
            </w:r>
            <w:r w:rsidR="007C161B"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2021</w:t>
            </w:r>
            <w:r w:rsidR="00260F39"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260F39"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FD11D4" w:rsidTr="00A03DB9">
        <w:trPr>
          <w:cantSplit/>
          <w:trHeight w:val="57"/>
        </w:trPr>
        <w:tc>
          <w:tcPr>
            <w:tcW w:w="3227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FD11D4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260F39" w:rsidRPr="00FD11D4" w:rsidRDefault="008F557F" w:rsidP="004A5B48">
            <w:pPr>
              <w:keepNext/>
              <w:keepLines/>
              <w:spacing w:before="60" w:after="6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08</w:t>
            </w:r>
            <w:r w:rsidR="007C161B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260F39" w:rsidRPr="00FD11D4" w:rsidRDefault="00C83D7C" w:rsidP="004A5B48">
            <w:pPr>
              <w:keepNext/>
              <w:keepLines/>
              <w:spacing w:before="60" w:after="6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12</w:t>
            </w:r>
            <w:r w:rsidR="007C161B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93" w:type="dxa"/>
            <w:tcBorders>
              <w:bottom w:val="single" w:sz="12" w:space="0" w:color="212492"/>
            </w:tcBorders>
            <w:vAlign w:val="center"/>
          </w:tcPr>
          <w:p w:rsidR="00260F39" w:rsidRPr="00FD11D4" w:rsidRDefault="008F557F" w:rsidP="004A5B48">
            <w:pPr>
              <w:keepNext/>
              <w:keepLines/>
              <w:spacing w:before="60" w:after="6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07</w:t>
            </w:r>
            <w:r w:rsidR="007C161B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2021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:rsidR="00260F39" w:rsidRPr="00FD11D4" w:rsidRDefault="008F557F" w:rsidP="007B3BF3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01-08</w:t>
            </w:r>
            <w:r w:rsidR="007C161B"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</w:t>
            </w:r>
            <w:r w:rsidR="00260F39"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260F39"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FD11D4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4E1912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E1912" w:rsidRPr="00FD11D4" w:rsidRDefault="004E1912" w:rsidP="004E1912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4E1912" w:rsidRDefault="004E1912" w:rsidP="004E1912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4E1912">
              <w:rPr>
                <w:b/>
              </w:rPr>
              <w:t>105,5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4E1912" w:rsidRDefault="004E1912" w:rsidP="004E1912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4E1912">
              <w:rPr>
                <w:b/>
              </w:rPr>
              <w:t>104,8</w:t>
            </w:r>
          </w:p>
        </w:tc>
        <w:tc>
          <w:tcPr>
            <w:tcW w:w="99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4E1912" w:rsidRDefault="004E1912" w:rsidP="004E1912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4E1912">
              <w:rPr>
                <w:b/>
              </w:rPr>
              <w:t>100,3</w:t>
            </w:r>
          </w:p>
        </w:tc>
        <w:tc>
          <w:tcPr>
            <w:tcW w:w="113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4E1912" w:rsidRDefault="004E1912" w:rsidP="004E1912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4E1912">
              <w:rPr>
                <w:b/>
              </w:rPr>
              <w:t>104,0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4E1912" w:rsidRPr="00FD11D4" w:rsidRDefault="004E1912" w:rsidP="004E191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D11D4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103,9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104,4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99,8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101,7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-0,07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101,8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102,0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102,0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0,01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97,2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99,1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98,9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-0,04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106,9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105,8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100,9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106,3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0,17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spacing w:before="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103,3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102,6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99,7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102,6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-0,02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103,0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102,5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100,4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103,4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0,02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117,8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115,5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101,4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110,6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0,13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104,2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103,6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100,8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105,5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0,04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105,8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104,5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105,0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0,00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104,8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101,0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105,3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0,00</w:t>
            </w:r>
          </w:p>
        </w:tc>
      </w:tr>
      <w:tr w:rsidR="00E70D5C" w:rsidRPr="00FD11D4" w:rsidTr="00A03DB9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106,6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105,1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100,6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105,3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0,03</w:t>
            </w:r>
          </w:p>
        </w:tc>
      </w:tr>
      <w:tr w:rsidR="00E70D5C" w:rsidRPr="00FD11D4" w:rsidTr="00A03DB9">
        <w:trPr>
          <w:cantSplit/>
          <w:trHeight w:val="445"/>
        </w:trPr>
        <w:tc>
          <w:tcPr>
            <w:tcW w:w="3227" w:type="dxa"/>
            <w:tcBorders>
              <w:top w:val="single" w:sz="4" w:space="0" w:color="212492"/>
              <w:bottom w:val="nil"/>
            </w:tcBorders>
            <w:vAlign w:val="center"/>
          </w:tcPr>
          <w:p w:rsidR="00E70D5C" w:rsidRPr="00FD11D4" w:rsidRDefault="00E70D5C" w:rsidP="00E70D5C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101,8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101,4</w:t>
            </w:r>
          </w:p>
        </w:tc>
        <w:tc>
          <w:tcPr>
            <w:tcW w:w="993" w:type="dxa"/>
            <w:tcBorders>
              <w:top w:val="single" w:sz="4" w:space="0" w:color="212492"/>
              <w:bottom w:val="nil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100,4</w:t>
            </w:r>
          </w:p>
        </w:tc>
        <w:tc>
          <w:tcPr>
            <w:tcW w:w="1134" w:type="dxa"/>
            <w:tcBorders>
              <w:top w:val="single" w:sz="4" w:space="0" w:color="212492"/>
              <w:bottom w:val="nil"/>
            </w:tcBorders>
            <w:vAlign w:val="bottom"/>
          </w:tcPr>
          <w:p w:rsidR="00E70D5C" w:rsidRPr="004E1912" w:rsidRDefault="00E70D5C" w:rsidP="00E70D5C">
            <w:pPr>
              <w:jc w:val="right"/>
            </w:pPr>
            <w:r w:rsidRPr="004E1912">
              <w:t>101,9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E70D5C" w:rsidRPr="00E70D5C" w:rsidRDefault="00E70D5C" w:rsidP="00E70D5C">
            <w:pPr>
              <w:jc w:val="right"/>
            </w:pPr>
            <w:r w:rsidRPr="00E70D5C">
              <w:t>0,02</w:t>
            </w:r>
          </w:p>
        </w:tc>
      </w:tr>
    </w:tbl>
    <w:p w:rsidR="00A07F00" w:rsidRPr="00FD11D4" w:rsidRDefault="00292DBF" w:rsidP="00E37F13">
      <w:pPr>
        <w:pStyle w:val="Nagwek1"/>
        <w:spacing w:before="480" w:line="240" w:lineRule="exact"/>
      </w:pPr>
      <w:r w:rsidRPr="00FD11D4">
        <w:rPr>
          <w:shd w:val="clear" w:color="auto" w:fill="FFFFFF"/>
        </w:rPr>
        <w:lastRenderedPageBreak/>
        <w:t>Wpływ</w:t>
      </w:r>
      <w:r w:rsidR="00A07F00" w:rsidRPr="00FD11D4">
        <w:rPr>
          <w:shd w:val="clear" w:color="auto" w:fill="FFFFFF"/>
        </w:rPr>
        <w:t xml:space="preserve"> zmian cen na wskaźnik</w:t>
      </w:r>
      <w:r w:rsidR="00B97152" w:rsidRPr="00FD11D4">
        <w:rPr>
          <w:shd w:val="clear" w:color="auto" w:fill="FFFFFF"/>
        </w:rPr>
        <w:t xml:space="preserve"> cen</w:t>
      </w:r>
      <w:r w:rsidR="00A07F00" w:rsidRPr="00FD11D4">
        <w:rPr>
          <w:shd w:val="clear" w:color="auto" w:fill="FFFFFF"/>
        </w:rPr>
        <w:t xml:space="preserve"> towarów i usług konsumpcyjnych ogółem</w:t>
      </w:r>
    </w:p>
    <w:p w:rsidR="00C23F3B" w:rsidRPr="00556BF8" w:rsidRDefault="00A07F00" w:rsidP="00C23F3B">
      <w:pPr>
        <w:spacing w:before="0" w:after="0"/>
      </w:pPr>
      <w:r w:rsidRPr="00556BF8">
        <w:rPr>
          <w:spacing w:val="-4"/>
        </w:rPr>
        <w:t xml:space="preserve">W </w:t>
      </w:r>
      <w:r w:rsidR="00E70D5C" w:rsidRPr="00556BF8">
        <w:rPr>
          <w:spacing w:val="-4"/>
        </w:rPr>
        <w:t>sierpniu</w:t>
      </w:r>
      <w:r w:rsidRPr="00556BF8">
        <w:rPr>
          <w:spacing w:val="-4"/>
        </w:rPr>
        <w:t xml:space="preserve"> br. w porównaniu z poprzednim miesiącem największy wpływ na wskaźnik cen </w:t>
      </w:r>
      <w:r w:rsidR="00917CCF" w:rsidRPr="00556BF8">
        <w:rPr>
          <w:spacing w:val="-4"/>
        </w:rPr>
        <w:br/>
      </w:r>
      <w:r w:rsidRPr="00556BF8">
        <w:rPr>
          <w:spacing w:val="-4"/>
        </w:rPr>
        <w:t xml:space="preserve">towarów i usług konsumpcyjnych ogółem miały </w:t>
      </w:r>
      <w:r w:rsidR="00DF5C74" w:rsidRPr="00556BF8">
        <w:rPr>
          <w:spacing w:val="-4"/>
        </w:rPr>
        <w:t xml:space="preserve">wyższe </w:t>
      </w:r>
      <w:r w:rsidR="00CF4349" w:rsidRPr="00556BF8">
        <w:rPr>
          <w:spacing w:val="-4"/>
        </w:rPr>
        <w:t>ceny</w:t>
      </w:r>
      <w:r w:rsidR="001E3F14" w:rsidRPr="00556BF8">
        <w:rPr>
          <w:spacing w:val="-4"/>
        </w:rPr>
        <w:t xml:space="preserve"> </w:t>
      </w:r>
      <w:r w:rsidR="006E1F27" w:rsidRPr="00556BF8">
        <w:rPr>
          <w:spacing w:val="-4"/>
        </w:rPr>
        <w:t xml:space="preserve">w zakresie </w:t>
      </w:r>
      <w:r w:rsidR="0098788B" w:rsidRPr="00556BF8">
        <w:rPr>
          <w:spacing w:val="-4"/>
        </w:rPr>
        <w:t>mieszkania</w:t>
      </w:r>
      <w:r w:rsidR="00DF5C74" w:rsidRPr="00556BF8">
        <w:rPr>
          <w:spacing w:val="-4"/>
        </w:rPr>
        <w:t xml:space="preserve"> </w:t>
      </w:r>
      <w:r w:rsidR="00C662A5" w:rsidRPr="00556BF8">
        <w:rPr>
          <w:spacing w:val="-4"/>
        </w:rPr>
        <w:t>(</w:t>
      </w:r>
      <w:r w:rsidR="0022312E" w:rsidRPr="00556BF8">
        <w:rPr>
          <w:spacing w:val="-4"/>
        </w:rPr>
        <w:t xml:space="preserve">o </w:t>
      </w:r>
      <w:r w:rsidR="0098788B" w:rsidRPr="00556BF8">
        <w:rPr>
          <w:spacing w:val="-4"/>
        </w:rPr>
        <w:t>0,6</w:t>
      </w:r>
      <w:r w:rsidR="0022312E" w:rsidRPr="00556BF8">
        <w:rPr>
          <w:spacing w:val="-4"/>
        </w:rPr>
        <w:t>%)</w:t>
      </w:r>
      <w:r w:rsidR="00556BF8">
        <w:rPr>
          <w:spacing w:val="-4"/>
        </w:rPr>
        <w:t xml:space="preserve"> oraz </w:t>
      </w:r>
      <w:r w:rsidR="0098788B" w:rsidRPr="00556BF8">
        <w:rPr>
          <w:spacing w:val="-4"/>
        </w:rPr>
        <w:t>transportu (o 1</w:t>
      </w:r>
      <w:r w:rsidR="00D329DC" w:rsidRPr="00556BF8">
        <w:rPr>
          <w:spacing w:val="-4"/>
        </w:rPr>
        <w:t>,</w:t>
      </w:r>
      <w:r w:rsidR="0098788B" w:rsidRPr="00556BF8">
        <w:rPr>
          <w:spacing w:val="-4"/>
        </w:rPr>
        <w:t>4</w:t>
      </w:r>
      <w:r w:rsidR="00DF5C74" w:rsidRPr="00556BF8">
        <w:rPr>
          <w:spacing w:val="-4"/>
        </w:rPr>
        <w:t>%)</w:t>
      </w:r>
      <w:r w:rsidRPr="00556BF8">
        <w:rPr>
          <w:spacing w:val="-4"/>
        </w:rPr>
        <w:t>, które</w:t>
      </w:r>
      <w:r w:rsidR="00CF4349" w:rsidRPr="00556BF8">
        <w:rPr>
          <w:spacing w:val="-4"/>
        </w:rPr>
        <w:t xml:space="preserve"> </w:t>
      </w:r>
      <w:r w:rsidR="00DF5C74" w:rsidRPr="00556BF8">
        <w:rPr>
          <w:spacing w:val="-4"/>
        </w:rPr>
        <w:t>podwyższyły</w:t>
      </w:r>
      <w:r w:rsidR="00CF4349" w:rsidRPr="00556BF8">
        <w:rPr>
          <w:spacing w:val="-4"/>
        </w:rPr>
        <w:t xml:space="preserve"> </w:t>
      </w:r>
      <w:r w:rsidR="002133F1" w:rsidRPr="00556BF8">
        <w:rPr>
          <w:spacing w:val="-4"/>
        </w:rPr>
        <w:t xml:space="preserve">ten wskaźnik </w:t>
      </w:r>
      <w:r w:rsidR="00393E03" w:rsidRPr="00556BF8">
        <w:rPr>
          <w:spacing w:val="-4"/>
        </w:rPr>
        <w:t xml:space="preserve">odpowiednio </w:t>
      </w:r>
      <w:r w:rsidR="002133F1" w:rsidRPr="00556BF8">
        <w:rPr>
          <w:spacing w:val="-4"/>
        </w:rPr>
        <w:t xml:space="preserve">o </w:t>
      </w:r>
      <w:r w:rsidR="00CF4349" w:rsidRPr="00556BF8">
        <w:rPr>
          <w:spacing w:val="-4"/>
        </w:rPr>
        <w:t>0,</w:t>
      </w:r>
      <w:r w:rsidR="0098788B" w:rsidRPr="00556BF8">
        <w:rPr>
          <w:spacing w:val="-4"/>
        </w:rPr>
        <w:t>15</w:t>
      </w:r>
      <w:r w:rsidR="00393E03" w:rsidRPr="00556BF8">
        <w:rPr>
          <w:spacing w:val="-4"/>
        </w:rPr>
        <w:t xml:space="preserve"> </w:t>
      </w:r>
      <w:r w:rsidRPr="00556BF8">
        <w:rPr>
          <w:spacing w:val="-4"/>
        </w:rPr>
        <w:t>p. proc</w:t>
      </w:r>
      <w:r w:rsidR="00432D34" w:rsidRPr="00556BF8">
        <w:rPr>
          <w:spacing w:val="-4"/>
        </w:rPr>
        <w:t xml:space="preserve"> i 0,</w:t>
      </w:r>
      <w:r w:rsidR="001E3F14" w:rsidRPr="00556BF8">
        <w:rPr>
          <w:spacing w:val="-4"/>
        </w:rPr>
        <w:t>13</w:t>
      </w:r>
      <w:r w:rsidR="00393E03" w:rsidRPr="00556BF8">
        <w:rPr>
          <w:spacing w:val="-4"/>
        </w:rPr>
        <w:t xml:space="preserve"> p. proc</w:t>
      </w:r>
      <w:r w:rsidRPr="00556BF8">
        <w:rPr>
          <w:spacing w:val="-4"/>
        </w:rPr>
        <w:t>.</w:t>
      </w:r>
      <w:r w:rsidR="00DA2264" w:rsidRPr="00556BF8">
        <w:t xml:space="preserve"> </w:t>
      </w:r>
      <w:r w:rsidR="009C3469" w:rsidRPr="00556BF8">
        <w:t>Niższe ceny żywności</w:t>
      </w:r>
      <w:r w:rsidR="00DA2264" w:rsidRPr="00556BF8">
        <w:t xml:space="preserve"> </w:t>
      </w:r>
      <w:r w:rsidR="00ED24F1" w:rsidRPr="00556BF8">
        <w:t>(o 0,3</w:t>
      </w:r>
      <w:r w:rsidR="00DA2264" w:rsidRPr="00556BF8">
        <w:t xml:space="preserve">%) </w:t>
      </w:r>
      <w:r w:rsidR="007B4A2D" w:rsidRPr="00556BF8">
        <w:t xml:space="preserve">oraz </w:t>
      </w:r>
      <w:r w:rsidR="00ED24F1" w:rsidRPr="00556BF8">
        <w:t>odzieży i obuwia (o 0,9</w:t>
      </w:r>
      <w:r w:rsidR="007B4A2D" w:rsidRPr="00556BF8">
        <w:t xml:space="preserve">%) </w:t>
      </w:r>
      <w:r w:rsidR="00DA2264" w:rsidRPr="00556BF8">
        <w:t xml:space="preserve">obniżyły ten wskaźnik </w:t>
      </w:r>
      <w:r w:rsidR="007B4A2D" w:rsidRPr="00556BF8">
        <w:t xml:space="preserve">odpowiednio </w:t>
      </w:r>
      <w:r w:rsidR="00ED24F1" w:rsidRPr="00556BF8">
        <w:t>o 0,08</w:t>
      </w:r>
      <w:r w:rsidR="00DA2264" w:rsidRPr="00556BF8">
        <w:t xml:space="preserve"> p. proc</w:t>
      </w:r>
      <w:r w:rsidR="00ED24F1" w:rsidRPr="00556BF8">
        <w:t xml:space="preserve"> i 0,04</w:t>
      </w:r>
      <w:r w:rsidR="007B4A2D" w:rsidRPr="00556BF8">
        <w:t xml:space="preserve"> p. proc</w:t>
      </w:r>
      <w:r w:rsidR="00DA2264" w:rsidRPr="00556BF8">
        <w:t>.</w:t>
      </w:r>
    </w:p>
    <w:p w:rsidR="00A55B73" w:rsidRPr="00FD11D4" w:rsidRDefault="00A07F00" w:rsidP="00934246">
      <w:pPr>
        <w:spacing w:before="0" w:after="0"/>
        <w:rPr>
          <w:spacing w:val="-2"/>
        </w:rPr>
      </w:pPr>
      <w:r w:rsidRPr="00556BF8">
        <w:t xml:space="preserve">W porównaniu z miesiącem analogicznym poprzedniego roku wyższe ceny </w:t>
      </w:r>
      <w:r w:rsidR="00AF7617" w:rsidRPr="00556BF8">
        <w:t xml:space="preserve">w zakresie transportu </w:t>
      </w:r>
      <w:r w:rsidRPr="00556BF8">
        <w:t>(o </w:t>
      </w:r>
      <w:r w:rsidR="00F20A4B" w:rsidRPr="00556BF8">
        <w:t>17,8</w:t>
      </w:r>
      <w:r w:rsidR="00674A8B" w:rsidRPr="00556BF8">
        <w:t xml:space="preserve">%) </w:t>
      </w:r>
      <w:r w:rsidRPr="00556BF8">
        <w:t xml:space="preserve">oraz </w:t>
      </w:r>
      <w:r w:rsidR="00FD6659" w:rsidRPr="00556BF8">
        <w:t>mieszkania</w:t>
      </w:r>
      <w:r w:rsidR="00F20A4B" w:rsidRPr="00556BF8">
        <w:t xml:space="preserve"> (o 6</w:t>
      </w:r>
      <w:r w:rsidR="00AF7617" w:rsidRPr="00556BF8">
        <w:t>,</w:t>
      </w:r>
      <w:r w:rsidR="00F20A4B" w:rsidRPr="00556BF8">
        <w:t>1</w:t>
      </w:r>
      <w:r w:rsidR="003A0271" w:rsidRPr="00556BF8">
        <w:t xml:space="preserve">%) </w:t>
      </w:r>
      <w:r w:rsidRPr="00556BF8">
        <w:t>pod</w:t>
      </w:r>
      <w:r w:rsidRPr="00556BF8">
        <w:softHyphen/>
        <w:t>nio</w:t>
      </w:r>
      <w:r w:rsidR="00445F90" w:rsidRPr="00556BF8">
        <w:t>sły</w:t>
      </w:r>
      <w:r w:rsidR="003A4977" w:rsidRPr="00556BF8">
        <w:t xml:space="preserve"> ten wskaźnik odpowiednio o 1,</w:t>
      </w:r>
      <w:r w:rsidR="00F20A4B" w:rsidRPr="00556BF8">
        <w:t>58</w:t>
      </w:r>
      <w:r w:rsidRPr="00556BF8">
        <w:t xml:space="preserve"> p. proc.</w:t>
      </w:r>
      <w:r w:rsidR="00C72186" w:rsidRPr="00556BF8">
        <w:t xml:space="preserve"> </w:t>
      </w:r>
      <w:r w:rsidR="0066616C" w:rsidRPr="00556BF8">
        <w:t>i </w:t>
      </w:r>
      <w:r w:rsidR="00445F90" w:rsidRPr="00556BF8">
        <w:t>1,</w:t>
      </w:r>
      <w:r w:rsidR="00F20A4B" w:rsidRPr="00556BF8">
        <w:t>52</w:t>
      </w:r>
      <w:r w:rsidR="0066616C" w:rsidRPr="00556BF8">
        <w:t> </w:t>
      </w:r>
      <w:r w:rsidR="003A0271" w:rsidRPr="00556BF8">
        <w:t>p. proc.</w:t>
      </w:r>
    </w:p>
    <w:p w:rsidR="00934246" w:rsidRPr="00FD11D4" w:rsidRDefault="00934246" w:rsidP="00934246">
      <w:pPr>
        <w:spacing w:before="0" w:after="0"/>
        <w:rPr>
          <w:b/>
          <w:spacing w:val="-2"/>
          <w:sz w:val="18"/>
        </w:rPr>
      </w:pPr>
    </w:p>
    <w:p w:rsidR="001D1175" w:rsidRDefault="001D1175" w:rsidP="0080551D">
      <w:pPr>
        <w:pStyle w:val="tytuwykresu"/>
        <w:ind w:left="794" w:hanging="794"/>
      </w:pPr>
    </w:p>
    <w:p w:rsidR="00A07F00" w:rsidRDefault="001D1175" w:rsidP="0080551D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8048" behindDoc="0" locked="0" layoutInCell="1" allowOverlap="1" wp14:anchorId="4A1E474B" wp14:editId="06A1D31A">
            <wp:simplePos x="0" y="0"/>
            <wp:positionH relativeFrom="column">
              <wp:posOffset>-41910</wp:posOffset>
            </wp:positionH>
            <wp:positionV relativeFrom="paragraph">
              <wp:posOffset>490855</wp:posOffset>
            </wp:positionV>
            <wp:extent cx="5123815" cy="2559050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FD11D4">
        <w:t xml:space="preserve">Wykres </w:t>
      </w:r>
      <w:r w:rsidR="00761070" w:rsidRPr="00FD11D4">
        <w:t>1</w:t>
      </w:r>
      <w:r w:rsidR="00A07F00" w:rsidRPr="00FD11D4">
        <w:t>.</w:t>
      </w:r>
      <w:r w:rsidR="00A07F00" w:rsidRPr="00FD11D4">
        <w:rPr>
          <w:shd w:val="clear" w:color="auto" w:fill="FFFFFF"/>
        </w:rPr>
        <w:t xml:space="preserve"> Wpływ zmian cen wybranych grup towarów i usług konsumpcyjnych w </w:t>
      </w:r>
      <w:r w:rsidR="00F81CC7">
        <w:rPr>
          <w:shd w:val="clear" w:color="auto" w:fill="FFFFFF"/>
        </w:rPr>
        <w:t>sierpniu</w:t>
      </w:r>
      <w:r w:rsidR="00E23761" w:rsidRPr="00FD11D4">
        <w:rPr>
          <w:shd w:val="clear" w:color="auto" w:fill="FFFFFF"/>
        </w:rPr>
        <w:t xml:space="preserve"> </w:t>
      </w:r>
      <w:r w:rsidR="005432E5" w:rsidRPr="00FD11D4">
        <w:rPr>
          <w:shd w:val="clear" w:color="auto" w:fill="FFFFFF"/>
        </w:rPr>
        <w:t>2021</w:t>
      </w:r>
      <w:r w:rsidR="00A07F00" w:rsidRPr="00FD11D4">
        <w:rPr>
          <w:shd w:val="clear" w:color="auto" w:fill="FFFFFF"/>
        </w:rPr>
        <w:t xml:space="preserve"> r.</w:t>
      </w:r>
      <w:r w:rsidR="00A07F00" w:rsidRPr="00FD11D4">
        <w:rPr>
          <w:noProof/>
          <w:shd w:val="clear" w:color="auto" w:fill="FFFFFF"/>
          <w:lang w:eastAsia="pl-PL"/>
        </w:rPr>
        <w:t xml:space="preserve"> </w:t>
      </w:r>
      <w:r w:rsidR="0051646A" w:rsidRPr="00FD11D4">
        <w:rPr>
          <w:noProof/>
          <w:shd w:val="clear" w:color="auto" w:fill="FFFFFF"/>
          <w:lang w:eastAsia="pl-PL"/>
        </w:rPr>
        <w:br/>
        <w:t>(z</w:t>
      </w:r>
      <w:r w:rsidR="0051646A" w:rsidRPr="00FD11D4">
        <w:rPr>
          <w:shd w:val="clear" w:color="auto" w:fill="FFFFFF"/>
        </w:rPr>
        <w:t>miana w p. proc. do okresu poprzedniego)</w:t>
      </w:r>
    </w:p>
    <w:p w:rsidR="001D1175" w:rsidRDefault="001D1175" w:rsidP="0080551D">
      <w:pPr>
        <w:pStyle w:val="tytuwykresu"/>
        <w:ind w:left="794" w:hanging="794"/>
        <w:rPr>
          <w:shd w:val="clear" w:color="auto" w:fill="FFFFFF"/>
        </w:rPr>
      </w:pPr>
    </w:p>
    <w:p w:rsidR="00A55B73" w:rsidRPr="00FD11D4" w:rsidRDefault="00A55B73" w:rsidP="00234969">
      <w:pPr>
        <w:spacing w:before="0" w:after="160"/>
        <w:rPr>
          <w:b/>
          <w:spacing w:val="-2"/>
          <w:sz w:val="18"/>
        </w:rPr>
      </w:pPr>
    </w:p>
    <w:p w:rsidR="00D11CF3" w:rsidRPr="008544D0" w:rsidRDefault="00B32730" w:rsidP="008544D0">
      <w:pPr>
        <w:spacing w:before="0" w:after="160" w:line="259" w:lineRule="auto"/>
        <w:ind w:left="822" w:hanging="822"/>
        <w:rPr>
          <w:b/>
          <w:spacing w:val="-2"/>
          <w:sz w:val="18"/>
        </w:rPr>
      </w:pPr>
      <w:r w:rsidRPr="008544D0">
        <w:rPr>
          <w:noProof/>
          <w:spacing w:val="-2"/>
          <w:lang w:val="en-GB" w:eastAsia="en-GB"/>
        </w:rPr>
        <w:drawing>
          <wp:anchor distT="0" distB="0" distL="114300" distR="114300" simplePos="0" relativeHeight="251776000" behindDoc="0" locked="0" layoutInCell="1" allowOverlap="1" wp14:anchorId="092C5188" wp14:editId="04409405">
            <wp:simplePos x="0" y="0"/>
            <wp:positionH relativeFrom="column">
              <wp:posOffset>-8890</wp:posOffset>
            </wp:positionH>
            <wp:positionV relativeFrom="paragraph">
              <wp:posOffset>486410</wp:posOffset>
            </wp:positionV>
            <wp:extent cx="5124450" cy="323405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99" w:rsidRPr="008544D0">
        <w:rPr>
          <w:b/>
          <w:spacing w:val="-2"/>
          <w:sz w:val="18"/>
        </w:rPr>
        <w:t xml:space="preserve">Wykres 2. System wag stosowany w obliczeniach wskaźników cen towarów </w:t>
      </w:r>
      <w:r w:rsidR="0022272D" w:rsidRPr="008544D0">
        <w:rPr>
          <w:b/>
          <w:spacing w:val="-2"/>
          <w:sz w:val="18"/>
        </w:rPr>
        <w:t>i usług konsumpcyjnych w 202</w:t>
      </w:r>
      <w:r w:rsidRPr="008544D0">
        <w:rPr>
          <w:b/>
          <w:spacing w:val="-2"/>
          <w:sz w:val="18"/>
        </w:rPr>
        <w:t>1</w:t>
      </w:r>
      <w:r w:rsidR="005F4399" w:rsidRPr="008544D0">
        <w:rPr>
          <w:b/>
          <w:spacing w:val="-2"/>
          <w:sz w:val="18"/>
        </w:rPr>
        <w:t xml:space="preserve"> r.</w:t>
      </w:r>
    </w:p>
    <w:p w:rsidR="0022272D" w:rsidRPr="00FD11D4" w:rsidRDefault="0022272D">
      <w:pPr>
        <w:spacing w:before="0" w:after="160" w:line="259" w:lineRule="auto"/>
        <w:rPr>
          <w:b/>
          <w:spacing w:val="-2"/>
          <w:sz w:val="18"/>
        </w:rPr>
      </w:pPr>
    </w:p>
    <w:p w:rsidR="00A55B73" w:rsidRPr="00FD11D4" w:rsidRDefault="00A55B73">
      <w:pPr>
        <w:spacing w:before="0" w:after="160" w:line="259" w:lineRule="auto"/>
        <w:rPr>
          <w:b/>
          <w:spacing w:val="-2"/>
          <w:sz w:val="18"/>
        </w:rPr>
      </w:pPr>
      <w:r w:rsidRPr="00FD11D4">
        <w:br w:type="page"/>
      </w:r>
    </w:p>
    <w:p w:rsidR="003A440F" w:rsidRDefault="003417F1" w:rsidP="00F161AC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37248" behindDoc="0" locked="0" layoutInCell="1" allowOverlap="1" wp14:anchorId="3C7B2D7A" wp14:editId="5C8C7ADC">
            <wp:simplePos x="0" y="0"/>
            <wp:positionH relativeFrom="column">
              <wp:posOffset>-93813</wp:posOffset>
            </wp:positionH>
            <wp:positionV relativeFrom="paragraph">
              <wp:posOffset>335280</wp:posOffset>
            </wp:positionV>
            <wp:extent cx="5122545" cy="2519045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A440F" w:rsidRPr="00FD11D4">
        <w:t xml:space="preserve">Wykres </w:t>
      </w:r>
      <w:r w:rsidR="00CF08EF" w:rsidRPr="00FD11D4">
        <w:t>3</w:t>
      </w:r>
      <w:r w:rsidR="003A440F" w:rsidRPr="00FD11D4">
        <w:t>.</w:t>
      </w:r>
      <w:r w:rsidR="003A440F" w:rsidRPr="00FD11D4">
        <w:rPr>
          <w:shd w:val="clear" w:color="auto" w:fill="FFFFFF"/>
        </w:rPr>
        <w:t xml:space="preserve"> </w:t>
      </w:r>
      <w:r w:rsidR="00AC3E42" w:rsidRPr="00FD11D4">
        <w:rPr>
          <w:shd w:val="clear" w:color="auto" w:fill="FFFFFF"/>
        </w:rPr>
        <w:t>Zmiany cen towarów i usług konsumpcyjnych w stosun</w:t>
      </w:r>
      <w:r w:rsidR="009E79F7" w:rsidRPr="00FD11D4">
        <w:rPr>
          <w:shd w:val="clear" w:color="auto" w:fill="FFFFFF"/>
        </w:rPr>
        <w:t>ku do okresu poprzedniego (w %)</w:t>
      </w:r>
    </w:p>
    <w:p w:rsidR="006715EE" w:rsidRPr="00FD11D4" w:rsidRDefault="006715EE" w:rsidP="00D4654D">
      <w:pPr>
        <w:pStyle w:val="tytuwykresu"/>
      </w:pPr>
    </w:p>
    <w:p w:rsidR="00034160" w:rsidRDefault="00F161AC" w:rsidP="00751D7D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522616" wp14:editId="2E8BDD81">
                <wp:simplePos x="0" y="0"/>
                <wp:positionH relativeFrom="column">
                  <wp:posOffset>2897447</wp:posOffset>
                </wp:positionH>
                <wp:positionV relativeFrom="paragraph">
                  <wp:posOffset>2736850</wp:posOffset>
                </wp:positionV>
                <wp:extent cx="0" cy="166254"/>
                <wp:effectExtent l="0" t="0" r="19050" b="2476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47631" id="Łącznik prosty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5pt,215.5pt" to="228.15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" strokecolor="#7f7f7f [1612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3120" behindDoc="0" locked="0" layoutInCell="1" allowOverlap="1" wp14:anchorId="46BD6A97" wp14:editId="6BAEFCB1">
            <wp:simplePos x="0" y="0"/>
            <wp:positionH relativeFrom="column">
              <wp:posOffset>-96520</wp:posOffset>
            </wp:positionH>
            <wp:positionV relativeFrom="paragraph">
              <wp:posOffset>441325</wp:posOffset>
            </wp:positionV>
            <wp:extent cx="5122800" cy="2642400"/>
            <wp:effectExtent l="0" t="0" r="0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F12" w:rsidRPr="00FD11D4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31104" behindDoc="1" locked="0" layoutInCell="1" allowOverlap="1" wp14:anchorId="33210A56" wp14:editId="15965EA2">
                <wp:simplePos x="0" y="0"/>
                <wp:positionH relativeFrom="column">
                  <wp:posOffset>5270500</wp:posOffset>
                </wp:positionH>
                <wp:positionV relativeFrom="page">
                  <wp:posOffset>4067175</wp:posOffset>
                </wp:positionV>
                <wp:extent cx="1725295" cy="1367790"/>
                <wp:effectExtent l="0" t="0" r="0" b="3810"/>
                <wp:wrapTight wrapText="bothSides">
                  <wp:wrapPolygon edited="0">
                    <wp:start x="477" y="0"/>
                    <wp:lineTo x="477" y="21359"/>
                    <wp:lineTo x="20749" y="21359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F8" w:rsidRPr="00F96C68" w:rsidRDefault="00556BF8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W sierpniu 2021 r. wskaźnik cen towarów i usług konsumpcyjnych znalazł się powyżej górnej granicy odchyleń od celu inflacyjnego określonego przez Radę Polityki Pieniężnej (2,5% +/- 1 p. 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0A56" id="Text Box 25" o:spid="_x0000_s1027" type="#_x0000_t202" style="position:absolute;left:0;text-align:left;margin-left:415pt;margin-top:320.25pt;width:135.85pt;height:107.7pt;z-index:-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" filled="f" stroked="f">
                <v:textbox>
                  <w:txbxContent>
                    <w:p w:rsidR="00556BF8" w:rsidRPr="00F96C68" w:rsidRDefault="00556BF8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</w:pP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W sierpniu 2021 r. wskaźnik cen towarów i usług konsumpcyjnych znalazł się powyżej górnej granicy odchyleń od celu inflacyjnego określonego przez Radę Polityki Pieniężnej (2,5% +/- 1 p. 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FD11D4">
        <w:t xml:space="preserve">Wykres </w:t>
      </w:r>
      <w:r w:rsidR="00CF08EF" w:rsidRPr="00FD11D4">
        <w:t>4</w:t>
      </w:r>
      <w:r w:rsidR="00034160" w:rsidRPr="00FD11D4">
        <w:t>.</w:t>
      </w:r>
      <w:r w:rsidR="00034160" w:rsidRPr="00FD11D4">
        <w:rPr>
          <w:shd w:val="clear" w:color="auto" w:fill="FFFFFF"/>
        </w:rPr>
        <w:t xml:space="preserve"> </w:t>
      </w:r>
      <w:r w:rsidR="00D076D6">
        <w:rPr>
          <w:shd w:val="clear" w:color="auto" w:fill="FFFFFF"/>
        </w:rPr>
        <w:t>Zmiany cen</w:t>
      </w:r>
      <w:r w:rsidR="00751D7D" w:rsidRPr="00FD11D4">
        <w:rPr>
          <w:shd w:val="clear" w:color="auto" w:fill="FFFFFF"/>
        </w:rPr>
        <w:t xml:space="preserve"> towarów i usług konsumpcyjnych w stosunku do analogicznego okresu roku poprzedniego (w %)</w:t>
      </w:r>
    </w:p>
    <w:p w:rsidR="00367ACC" w:rsidRPr="00FD11D4" w:rsidRDefault="00367ACC" w:rsidP="006233B9">
      <w:pPr>
        <w:rPr>
          <w:sz w:val="18"/>
          <w:highlight w:val="yellow"/>
        </w:rPr>
      </w:pPr>
    </w:p>
    <w:p w:rsidR="00E01E27" w:rsidRPr="00FD11D4" w:rsidRDefault="008434BA" w:rsidP="008434BA">
      <w:pPr>
        <w:pStyle w:val="tytuwykresu"/>
        <w:ind w:left="794" w:hanging="794"/>
        <w:rPr>
          <w:bCs/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1280" behindDoc="0" locked="0" layoutInCell="1" allowOverlap="1" wp14:anchorId="44B93B14" wp14:editId="111C3A05">
            <wp:simplePos x="0" y="0"/>
            <wp:positionH relativeFrom="column">
              <wp:posOffset>-95250</wp:posOffset>
            </wp:positionH>
            <wp:positionV relativeFrom="paragraph">
              <wp:posOffset>650240</wp:posOffset>
            </wp:positionV>
            <wp:extent cx="5122545" cy="2471420"/>
            <wp:effectExtent l="0" t="0" r="0" b="0"/>
            <wp:wrapSquare wrapText="bothSides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883763" w:rsidRPr="00FD11D4">
        <w:t xml:space="preserve">Wykres </w:t>
      </w:r>
      <w:r w:rsidR="00CF08EF" w:rsidRPr="00FD11D4">
        <w:t>5</w:t>
      </w:r>
      <w:r w:rsidR="00883763" w:rsidRPr="00FD11D4">
        <w:t>.</w:t>
      </w:r>
      <w:r w:rsidR="00883763" w:rsidRPr="00FD11D4">
        <w:rPr>
          <w:shd w:val="clear" w:color="auto" w:fill="FFFFFF"/>
        </w:rPr>
        <w:t xml:space="preserve"> </w:t>
      </w:r>
      <w:r w:rsidR="00751D7D" w:rsidRPr="00FD11D4">
        <w:rPr>
          <w:bCs/>
          <w:shd w:val="clear" w:color="auto" w:fill="FFFFFF"/>
        </w:rPr>
        <w:t xml:space="preserve">Zmiany cen według wskaźnika cen towarów i usług konsumpcyjnych (CPI) oraz zharmonizowanego wskaźnika cen konsumpcyjnych (HICP) w stosunku do analogicznego okresu </w:t>
      </w:r>
      <w:r w:rsidR="00F70C4A" w:rsidRPr="00FD11D4">
        <w:rPr>
          <w:bCs/>
          <w:shd w:val="clear" w:color="auto" w:fill="FFFFFF"/>
        </w:rPr>
        <w:br/>
      </w:r>
      <w:r w:rsidR="00751D7D" w:rsidRPr="00FD11D4">
        <w:rPr>
          <w:bCs/>
          <w:shd w:val="clear" w:color="auto" w:fill="FFFFFF"/>
        </w:rPr>
        <w:t>roku poprzedniego (w %)</w:t>
      </w:r>
    </w:p>
    <w:p w:rsidR="00516A50" w:rsidRPr="00FD11D4" w:rsidRDefault="00820461" w:rsidP="00AA451B">
      <w:pPr>
        <w:pStyle w:val="tytuwykresu"/>
        <w:rPr>
          <w:bCs/>
          <w:shd w:val="clear" w:color="auto" w:fill="FFFFFF"/>
        </w:rPr>
      </w:pPr>
      <w:r w:rsidRPr="00FD11D4">
        <w:rPr>
          <w:highlight w:val="yellow"/>
        </w:rPr>
        <w:br w:type="page"/>
      </w:r>
      <w:r w:rsidR="00516A50" w:rsidRPr="00FD11D4">
        <w:lastRenderedPageBreak/>
        <w:t xml:space="preserve">Tablica </w:t>
      </w:r>
      <w:r w:rsidR="00CF08EF" w:rsidRPr="00FD11D4">
        <w:t>2</w:t>
      </w:r>
      <w:r w:rsidR="00516A50" w:rsidRPr="00FD11D4">
        <w:t>.</w:t>
      </w:r>
      <w:r w:rsidR="00516A50" w:rsidRPr="00FD11D4">
        <w:rPr>
          <w:shd w:val="clear" w:color="auto" w:fill="FFFFFF"/>
        </w:rPr>
        <w:t xml:space="preserve"> </w:t>
      </w:r>
      <w:r w:rsidR="00516A50" w:rsidRPr="00FD11D4">
        <w:rPr>
          <w:bCs/>
          <w:shd w:val="clear" w:color="auto" w:fill="FFFFFF"/>
        </w:rPr>
        <w:t xml:space="preserve">Wskaźniki cen towarów i usług konsumpcyjnych w </w:t>
      </w:r>
      <w:r w:rsidR="00E70D5C">
        <w:rPr>
          <w:bCs/>
          <w:shd w:val="clear" w:color="auto" w:fill="FFFFFF"/>
        </w:rPr>
        <w:t>sierpniu</w:t>
      </w:r>
      <w:r w:rsidR="00F70C4A" w:rsidRPr="00FD11D4">
        <w:rPr>
          <w:bCs/>
          <w:shd w:val="clear" w:color="auto" w:fill="FFFFFF"/>
        </w:rPr>
        <w:t xml:space="preserve"> </w:t>
      </w:r>
      <w:r w:rsidR="00751D7D" w:rsidRPr="00FD11D4">
        <w:t>2021</w:t>
      </w:r>
      <w:r w:rsidR="00516A50" w:rsidRPr="00FD11D4">
        <w:t> </w:t>
      </w:r>
      <w:r w:rsidR="00516A50" w:rsidRPr="00FD11D4">
        <w:rPr>
          <w:bCs/>
          <w:shd w:val="clear" w:color="auto" w:fill="FFFFFF"/>
        </w:rPr>
        <w:t>r.</w:t>
      </w:r>
    </w:p>
    <w:p w:rsidR="00DE775D" w:rsidRPr="00FD11D4" w:rsidRDefault="00DE775D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B86E2F" w:rsidRPr="00FD11D4" w:rsidTr="00A04E4F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FD11D4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FD11D4" w:rsidRDefault="00E70D5C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08</w:t>
            </w:r>
            <w:r w:rsidR="00F70C4A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F70C4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01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E70D5C">
              <w:rPr>
                <w:rFonts w:eastAsia="Times New Roman" w:cs="Calibri"/>
                <w:sz w:val="16"/>
                <w:szCs w:val="16"/>
                <w:lang w:eastAsia="pl-PL"/>
              </w:rPr>
              <w:t>08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2021</w:t>
            </w:r>
          </w:p>
        </w:tc>
      </w:tr>
      <w:tr w:rsidR="00B86E2F" w:rsidRPr="00FD11D4" w:rsidTr="00A04E4F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86E2F" w:rsidRPr="00FD11D4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E70D5C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08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F70C4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12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E70D5C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07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2021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F70C4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01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E70D5C">
              <w:rPr>
                <w:rFonts w:eastAsia="Times New Roman" w:cs="Calibri"/>
                <w:sz w:val="16"/>
                <w:szCs w:val="16"/>
                <w:lang w:eastAsia="pl-PL"/>
              </w:rPr>
              <w:t>08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= 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8D6D8B" w:rsidRPr="00FD11D4" w:rsidTr="008D6D8B">
        <w:trPr>
          <w:trHeight w:val="456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8D6D8B" w:rsidRPr="00FD11D4" w:rsidTr="008D6D8B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92,4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D6D8B" w:rsidRPr="00FD11D4" w:rsidTr="008D6D8B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8D6D8B" w:rsidRPr="00FD11D4" w:rsidTr="008D6D8B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</w:tr>
      <w:tr w:rsidR="008D6D8B" w:rsidRPr="00FD11D4" w:rsidTr="008D6D8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FD11D4" w:rsidRDefault="008D6D8B" w:rsidP="008D6D8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D6D8B" w:rsidRPr="008D6D8B" w:rsidRDefault="008D6D8B" w:rsidP="008D6D8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D6D8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E66A5B" w:rsidRPr="00FD11D4" w:rsidTr="00E66A5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129,0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</w:tr>
      <w:tr w:rsidR="00E66A5B" w:rsidRPr="00FD11D4" w:rsidTr="00E66A5B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E66A5B" w:rsidRPr="00FD11D4" w:rsidTr="00E66A5B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E66A5B" w:rsidRPr="00FD11D4" w:rsidTr="00E66A5B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E66A5B" w:rsidRPr="00FD11D4" w:rsidTr="00E66A5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E66A5B" w:rsidRPr="00FD11D4" w:rsidTr="00E66A5B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6A5B" w:rsidRPr="00FD11D4" w:rsidTr="00E66A5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E66A5B" w:rsidRPr="00FD11D4" w:rsidTr="00E66A5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E66A5B" w:rsidRPr="00FD11D4" w:rsidTr="00E66A5B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116,6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113,6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117,8</w:t>
            </w:r>
          </w:p>
        </w:tc>
      </w:tr>
      <w:tr w:rsidR="00E66A5B" w:rsidRPr="00FD11D4" w:rsidTr="00E66A5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119,3</w:t>
            </w:r>
          </w:p>
        </w:tc>
      </w:tr>
      <w:tr w:rsidR="00E66A5B" w:rsidRPr="00FD11D4" w:rsidTr="00E66A5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FD11D4" w:rsidRDefault="00E66A5B" w:rsidP="00E66A5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E66A5B" w:rsidRPr="00E66A5B" w:rsidRDefault="00E66A5B" w:rsidP="00E66A5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66A5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91,3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35EE" w:rsidRPr="00FD11D4" w:rsidTr="009535EE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9535EE" w:rsidRPr="00FD11D4" w:rsidTr="009535EE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109,8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35EE" w:rsidRPr="00FD11D4" w:rsidTr="009535EE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111,8</w:t>
            </w:r>
          </w:p>
        </w:tc>
      </w:tr>
      <w:tr w:rsidR="009535EE" w:rsidRPr="00FD11D4" w:rsidTr="009535EE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113,8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35EE" w:rsidRPr="00FD11D4" w:rsidTr="009535EE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</w:tr>
      <w:tr w:rsidR="009535EE" w:rsidRPr="00FD11D4" w:rsidTr="009535EE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</w:tr>
      <w:tr w:rsidR="009535EE" w:rsidRPr="00FD11D4" w:rsidTr="009535E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9535EE" w:rsidRPr="00FD11D4" w:rsidTr="009535EE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9535EE" w:rsidRPr="00FD11D4" w:rsidRDefault="009535EE" w:rsidP="009535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5EE" w:rsidRPr="009535EE" w:rsidRDefault="009535EE" w:rsidP="009535E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35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122,2</w:t>
            </w:r>
          </w:p>
        </w:tc>
      </w:tr>
    </w:tbl>
    <w:p w:rsidR="009E3FA7" w:rsidRPr="00FD11D4" w:rsidRDefault="009E3FA7" w:rsidP="001F6707">
      <w:pPr>
        <w:pStyle w:val="LID"/>
        <w:spacing w:after="40"/>
        <w:rPr>
          <w:bCs/>
          <w:sz w:val="18"/>
          <w:shd w:val="clear" w:color="auto" w:fill="FFFFFF"/>
        </w:rPr>
      </w:pPr>
    </w:p>
    <w:p w:rsidR="009F5CBC" w:rsidRPr="00FD11D4" w:rsidRDefault="009F5CBC" w:rsidP="00883763">
      <w:pPr>
        <w:spacing w:before="0" w:after="160" w:line="259" w:lineRule="auto"/>
        <w:rPr>
          <w:noProof/>
          <w:sz w:val="16"/>
          <w:szCs w:val="16"/>
          <w:highlight w:val="yellow"/>
          <w:lang w:eastAsia="pl-PL"/>
        </w:rPr>
      </w:pPr>
    </w:p>
    <w:p w:rsidR="009F5CBC" w:rsidRPr="00FD11D4" w:rsidRDefault="009F5CBC" w:rsidP="009F5CBC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9"/>
          <w:szCs w:val="19"/>
          <w:lang w:val="pl-PL"/>
        </w:rPr>
      </w:pPr>
      <w:r w:rsidRPr="00FD11D4">
        <w:rPr>
          <w:rFonts w:ascii="Fira Sans" w:hAnsi="Fira Sans"/>
          <w:color w:val="222222"/>
          <w:sz w:val="19"/>
          <w:szCs w:val="19"/>
          <w:lang w:val="pl-PL"/>
        </w:rPr>
        <w:t xml:space="preserve">Zalecenia na czas kryzysu związanego z pandemią COVID-19 rekomendowane przez Eurostat dotyczące wskaźników cen konsumpcyjnych oraz systemu wag prezentowane są pod linkiem </w:t>
      </w:r>
      <w:hyperlink r:id="rId16" w:history="1">
        <w:r w:rsidRPr="00FD11D4">
          <w:rPr>
            <w:rStyle w:val="Hipercze"/>
            <w:rFonts w:ascii="Fira Sans" w:hAnsi="Fira Sans"/>
            <w:sz w:val="19"/>
            <w:szCs w:val="19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9F5CBC" w:rsidRPr="00FD11D4" w:rsidRDefault="009F5CBC" w:rsidP="009F5CBC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9F5CBC" w:rsidRPr="00FD11D4" w:rsidRDefault="009F5CBC" w:rsidP="001F6707">
      <w:pPr>
        <w:spacing w:before="240" w:after="160" w:line="259" w:lineRule="auto"/>
        <w:rPr>
          <w:color w:val="222222"/>
          <w:szCs w:val="19"/>
        </w:rPr>
      </w:pPr>
    </w:p>
    <w:p w:rsidR="001163D3" w:rsidRDefault="001163D3" w:rsidP="009F5CBC">
      <w:pPr>
        <w:spacing w:before="0" w:after="160" w:line="259" w:lineRule="auto"/>
        <w:rPr>
          <w:color w:val="222222"/>
          <w:szCs w:val="19"/>
        </w:rPr>
      </w:pPr>
    </w:p>
    <w:p w:rsidR="009F5CBC" w:rsidRPr="00FD11D4" w:rsidRDefault="009F5CBC" w:rsidP="009F5CBC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9F5CBC" w:rsidRPr="00FD11D4" w:rsidSect="00EF7B3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FD11D4">
        <w:rPr>
          <w:color w:val="222222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 zamieszczenie informacji: „Opracowanie własne na podstawie danych GUS”.</w:t>
      </w:r>
    </w:p>
    <w:p w:rsidR="000470AA" w:rsidRPr="00FD11D4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FD11D4" w:rsidTr="00EE696D">
        <w:trPr>
          <w:trHeight w:val="1912"/>
        </w:trPr>
        <w:tc>
          <w:tcPr>
            <w:tcW w:w="4379" w:type="dxa"/>
          </w:tcPr>
          <w:p w:rsidR="00883763" w:rsidRPr="00FD11D4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D11D4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FD11D4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D11D4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FD11D4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D11D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FD11D4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FD11D4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FD11D4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D11D4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FD11D4">
              <w:rPr>
                <w:rFonts w:cs="Arial"/>
                <w:color w:val="000000" w:themeColor="text1"/>
                <w:sz w:val="20"/>
              </w:rPr>
              <w:br/>
            </w:r>
            <w:r w:rsidRPr="00FD11D4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FD11D4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D11D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BA0B97" w:rsidRPr="00FD11D4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FD11D4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FD11D4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FD11D4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FD11D4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FD11D4" w:rsidRDefault="000470AA" w:rsidP="000470AA">
            <w:pPr>
              <w:rPr>
                <w:b/>
                <w:sz w:val="20"/>
              </w:rPr>
            </w:pPr>
            <w:r w:rsidRPr="00FD11D4">
              <w:rPr>
                <w:b/>
                <w:sz w:val="20"/>
              </w:rPr>
              <w:t xml:space="preserve">Wydział Współpracy z Mediami </w:t>
            </w:r>
          </w:p>
          <w:p w:rsidR="000470AA" w:rsidRPr="00FD11D4" w:rsidRDefault="00DE775D" w:rsidP="000470AA">
            <w:pPr>
              <w:rPr>
                <w:sz w:val="20"/>
              </w:rPr>
            </w:pPr>
            <w:r w:rsidRPr="00FD11D4">
              <w:rPr>
                <w:sz w:val="20"/>
              </w:rPr>
              <w:t>T</w:t>
            </w:r>
            <w:r w:rsidR="000470AA" w:rsidRPr="00FD11D4">
              <w:rPr>
                <w:sz w:val="20"/>
              </w:rPr>
              <w:t>el:</w:t>
            </w:r>
            <w:r w:rsidR="000470AA" w:rsidRPr="00FD11D4">
              <w:rPr>
                <w:b/>
                <w:sz w:val="20"/>
              </w:rPr>
              <w:t xml:space="preserve"> </w:t>
            </w:r>
            <w:r w:rsidR="00097840" w:rsidRPr="00FD11D4">
              <w:rPr>
                <w:sz w:val="20"/>
              </w:rPr>
              <w:t>22 608 34 91, 22</w:t>
            </w:r>
            <w:r w:rsidR="000470AA" w:rsidRPr="00FD11D4">
              <w:rPr>
                <w:sz w:val="20"/>
              </w:rPr>
              <w:t xml:space="preserve"> 608 38 04 </w:t>
            </w:r>
          </w:p>
          <w:p w:rsidR="000470AA" w:rsidRPr="001D0172" w:rsidRDefault="000470AA" w:rsidP="000470AA">
            <w:pPr>
              <w:rPr>
                <w:sz w:val="18"/>
                <w:lang w:val="en-GB"/>
              </w:rPr>
            </w:pPr>
            <w:r w:rsidRPr="001D0172">
              <w:rPr>
                <w:b/>
                <w:sz w:val="20"/>
                <w:lang w:val="en-GB"/>
              </w:rPr>
              <w:t xml:space="preserve">e-mail: </w:t>
            </w:r>
            <w:hyperlink r:id="rId21" w:history="1">
              <w:r w:rsidRPr="001D0172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1D0172" w:rsidRDefault="000470AA" w:rsidP="000470AA">
            <w:pPr>
              <w:rPr>
                <w:sz w:val="18"/>
                <w:lang w:val="en-GB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02EA9DCC" wp14:editId="7DB455A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  <w:r w:rsidRPr="00FD11D4">
              <w:rPr>
                <w:sz w:val="20"/>
              </w:rPr>
              <w:t>www.stat.gov.pl</w:t>
            </w:r>
          </w:p>
        </w:tc>
      </w:tr>
      <w:tr w:rsidR="000470AA" w:rsidRPr="00FD11D4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0A45D603" wp14:editId="342FF74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D11D4" w:rsidRDefault="000470AA" w:rsidP="000470AA">
            <w:pPr>
              <w:rPr>
                <w:sz w:val="18"/>
              </w:rPr>
            </w:pPr>
            <w:r w:rsidRPr="00FD11D4">
              <w:rPr>
                <w:sz w:val="20"/>
              </w:rPr>
              <w:t>@GUS_STAT</w:t>
            </w:r>
          </w:p>
        </w:tc>
      </w:tr>
      <w:tr w:rsidR="000470AA" w:rsidRPr="00FD11D4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2F2F0004" wp14:editId="3920786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D11D4" w:rsidRDefault="000470AA" w:rsidP="000470AA">
            <w:pPr>
              <w:rPr>
                <w:sz w:val="20"/>
              </w:rPr>
            </w:pPr>
            <w:r w:rsidRPr="00FD11D4">
              <w:rPr>
                <w:sz w:val="20"/>
              </w:rPr>
              <w:t>@</w:t>
            </w:r>
            <w:proofErr w:type="spellStart"/>
            <w:r w:rsidRPr="00FD11D4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FD11D4" w:rsidRDefault="009E3F12" w:rsidP="00E76D26">
      <w:pPr>
        <w:rPr>
          <w:sz w:val="18"/>
        </w:rPr>
      </w:pPr>
      <w:r w:rsidRPr="00FD11D4"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DB74D20" wp14:editId="6C169253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8" w:rsidRDefault="00556BF8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556BF8" w:rsidRPr="006761A7" w:rsidRDefault="00556BF8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556BF8" w:rsidRPr="006761A7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556BF8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556BF8" w:rsidRPr="006761A7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556BF8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556BF8" w:rsidRPr="00E233EA" w:rsidRDefault="00556BF8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56BF8" w:rsidRPr="00E233EA" w:rsidRDefault="00556BF8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556BF8" w:rsidRPr="006761A7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556BF8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556BF8" w:rsidRPr="006761A7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556BF8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556BF8" w:rsidRPr="006761A7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556BF8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556BF8" w:rsidRPr="006761A7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556BF8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556BF8" w:rsidRPr="006761A7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556BF8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556BF8" w:rsidRPr="006761A7" w:rsidRDefault="00556BF8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56BF8" w:rsidRDefault="00556BF8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556BF8" w:rsidRPr="006761A7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556BF8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556BF8" w:rsidRPr="00566A43" w:rsidRDefault="00724DB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556BF8"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4D20"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556BF8" w:rsidRDefault="00556BF8" w:rsidP="00883763">
                      <w:pPr>
                        <w:rPr>
                          <w:b/>
                        </w:rPr>
                      </w:pPr>
                    </w:p>
                    <w:p w:rsidR="00556BF8" w:rsidRPr="006761A7" w:rsidRDefault="00556BF8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556BF8" w:rsidRPr="006761A7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556BF8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556BF8" w:rsidRPr="006761A7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556BF8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556BF8" w:rsidRPr="00E233EA" w:rsidRDefault="00556BF8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56BF8" w:rsidRPr="00E233EA" w:rsidRDefault="00556BF8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556BF8" w:rsidRPr="006761A7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556BF8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556BF8" w:rsidRPr="006761A7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556BF8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556BF8" w:rsidRPr="006761A7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556BF8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556BF8" w:rsidRPr="006761A7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556BF8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556BF8" w:rsidRPr="006761A7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556BF8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556BF8" w:rsidRPr="006761A7" w:rsidRDefault="00556BF8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56BF8" w:rsidRDefault="00556BF8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556BF8" w:rsidRPr="006761A7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556BF8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556BF8" w:rsidRPr="00566A43" w:rsidRDefault="00724DB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556BF8"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FD11D4" w:rsidSect="00EF7B36">
      <w:headerReference w:type="default" r:id="rId43"/>
      <w:footerReference w:type="default" r:id="rId44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DBD" w:rsidRDefault="00724DBD" w:rsidP="000662E2">
      <w:pPr>
        <w:spacing w:after="0" w:line="240" w:lineRule="auto"/>
      </w:pPr>
      <w:r>
        <w:separator/>
      </w:r>
    </w:p>
  </w:endnote>
  <w:endnote w:type="continuationSeparator" w:id="0">
    <w:p w:rsidR="00724DBD" w:rsidRDefault="00724DB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913465"/>
      <w:docPartObj>
        <w:docPartGallery w:val="Page Numbers (Bottom of Page)"/>
        <w:docPartUnique/>
      </w:docPartObj>
    </w:sdtPr>
    <w:sdtEndPr/>
    <w:sdtContent>
      <w:p w:rsidR="00556BF8" w:rsidRDefault="00556BF8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957311"/>
      <w:docPartObj>
        <w:docPartGallery w:val="Page Numbers (Bottom of Page)"/>
        <w:docPartUnique/>
      </w:docPartObj>
    </w:sdtPr>
    <w:sdtEndPr/>
    <w:sdtContent>
      <w:p w:rsidR="00556BF8" w:rsidRDefault="00556BF8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EndPr/>
    <w:sdtContent>
      <w:p w:rsidR="00556BF8" w:rsidRDefault="00556BF8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C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DBD" w:rsidRDefault="00724DBD" w:rsidP="000662E2">
      <w:pPr>
        <w:spacing w:after="0" w:line="240" w:lineRule="auto"/>
      </w:pPr>
      <w:r>
        <w:separator/>
      </w:r>
    </w:p>
  </w:footnote>
  <w:footnote w:type="continuationSeparator" w:id="0">
    <w:p w:rsidR="00724DBD" w:rsidRDefault="00724DB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F8" w:rsidRDefault="00556BF8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D0E499" wp14:editId="4DDE9A8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D893D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" fillcolor="#f2f2f2 [3052]" stroked="f" strokeweight="1pt"/>
          </w:pict>
        </mc:Fallback>
      </mc:AlternateContent>
    </w:r>
  </w:p>
  <w:p w:rsidR="00556BF8" w:rsidRDefault="00556B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F8" w:rsidRDefault="00556BF8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DAD175" wp14:editId="38A259FC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456798" id="Prostokąt 10" o:spid="_x0000_s1026" style="position:absolute;margin-left:409.95pt;margin-top:39.05pt;width:147.4pt;height:78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62E25A" wp14:editId="37926D50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6BF8" w:rsidRPr="003C6C8D" w:rsidRDefault="00556BF8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2E25A"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556BF8" w:rsidRPr="003C6C8D" w:rsidRDefault="00556BF8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val="en-GB" w:eastAsia="en-GB"/>
      </w:rPr>
      <w:drawing>
        <wp:inline distT="0" distB="0" distL="0" distR="0" wp14:anchorId="07786F02" wp14:editId="32474425">
          <wp:extent cx="1153274" cy="720000"/>
          <wp:effectExtent l="0" t="0" r="0" b="4445"/>
          <wp:docPr id="6" name="Obraz 6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556BF8" w:rsidRDefault="00556BF8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30DFD8E" wp14:editId="7AC520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6BF8" w:rsidRPr="00C97596" w:rsidRDefault="00556BF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15.09.2021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DFD8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556BF8" w:rsidRPr="00C97596" w:rsidRDefault="00556BF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15.09.2021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F8" w:rsidRDefault="00556BF8">
    <w:pPr>
      <w:pStyle w:val="Nagwek"/>
    </w:pPr>
  </w:p>
  <w:p w:rsidR="00556BF8" w:rsidRDefault="00556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4.8pt;visibility:visible" o:bullet="t">
        <v:imagedata r:id="rId1" o:title=""/>
      </v:shape>
    </w:pict>
  </w:numPicBullet>
  <w:numPicBullet w:numPicBulletId="1">
    <w:pict>
      <v:shape id="_x0000_i1029" type="#_x0000_t75" style="width:124.2pt;height:124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220AE"/>
    <w:rsid w:val="00034160"/>
    <w:rsid w:val="0004015D"/>
    <w:rsid w:val="0004582E"/>
    <w:rsid w:val="0004646A"/>
    <w:rsid w:val="000470AA"/>
    <w:rsid w:val="00047AB1"/>
    <w:rsid w:val="00050FFF"/>
    <w:rsid w:val="000539AA"/>
    <w:rsid w:val="00057CA1"/>
    <w:rsid w:val="000662E2"/>
    <w:rsid w:val="00066883"/>
    <w:rsid w:val="00066C18"/>
    <w:rsid w:val="00074DD8"/>
    <w:rsid w:val="000769B6"/>
    <w:rsid w:val="000800B4"/>
    <w:rsid w:val="000806F7"/>
    <w:rsid w:val="0009317E"/>
    <w:rsid w:val="00095882"/>
    <w:rsid w:val="00097840"/>
    <w:rsid w:val="000A057E"/>
    <w:rsid w:val="000A4BF7"/>
    <w:rsid w:val="000A6963"/>
    <w:rsid w:val="000A7F1A"/>
    <w:rsid w:val="000B0727"/>
    <w:rsid w:val="000B1008"/>
    <w:rsid w:val="000B6497"/>
    <w:rsid w:val="000C135D"/>
    <w:rsid w:val="000D0E2A"/>
    <w:rsid w:val="000D1D43"/>
    <w:rsid w:val="000D1E25"/>
    <w:rsid w:val="000D225C"/>
    <w:rsid w:val="000D2A5C"/>
    <w:rsid w:val="000E0918"/>
    <w:rsid w:val="000F0AF2"/>
    <w:rsid w:val="000F710F"/>
    <w:rsid w:val="001011C3"/>
    <w:rsid w:val="00110D87"/>
    <w:rsid w:val="001149A1"/>
    <w:rsid w:val="00114DB9"/>
    <w:rsid w:val="00116087"/>
    <w:rsid w:val="001163D3"/>
    <w:rsid w:val="001179CF"/>
    <w:rsid w:val="00130296"/>
    <w:rsid w:val="00130BCE"/>
    <w:rsid w:val="001317AE"/>
    <w:rsid w:val="00132297"/>
    <w:rsid w:val="001335DA"/>
    <w:rsid w:val="00135B65"/>
    <w:rsid w:val="00142037"/>
    <w:rsid w:val="001423B6"/>
    <w:rsid w:val="001448A7"/>
    <w:rsid w:val="00146621"/>
    <w:rsid w:val="001539C9"/>
    <w:rsid w:val="001600F9"/>
    <w:rsid w:val="00161CD3"/>
    <w:rsid w:val="00162325"/>
    <w:rsid w:val="00164CEA"/>
    <w:rsid w:val="001660CA"/>
    <w:rsid w:val="00170D13"/>
    <w:rsid w:val="00174616"/>
    <w:rsid w:val="001951DA"/>
    <w:rsid w:val="001A2CB5"/>
    <w:rsid w:val="001A4B7F"/>
    <w:rsid w:val="001A78D0"/>
    <w:rsid w:val="001B0E45"/>
    <w:rsid w:val="001B3CA7"/>
    <w:rsid w:val="001C3269"/>
    <w:rsid w:val="001C53BA"/>
    <w:rsid w:val="001C585D"/>
    <w:rsid w:val="001D0172"/>
    <w:rsid w:val="001D1175"/>
    <w:rsid w:val="001D1DB4"/>
    <w:rsid w:val="001D5C9E"/>
    <w:rsid w:val="001D669C"/>
    <w:rsid w:val="001E1D94"/>
    <w:rsid w:val="001E3F14"/>
    <w:rsid w:val="001E764C"/>
    <w:rsid w:val="001E7DBB"/>
    <w:rsid w:val="001F25B6"/>
    <w:rsid w:val="001F284F"/>
    <w:rsid w:val="001F60D1"/>
    <w:rsid w:val="001F6707"/>
    <w:rsid w:val="0020009D"/>
    <w:rsid w:val="00201740"/>
    <w:rsid w:val="002069C0"/>
    <w:rsid w:val="00206F09"/>
    <w:rsid w:val="002133F1"/>
    <w:rsid w:val="002147B5"/>
    <w:rsid w:val="00220482"/>
    <w:rsid w:val="0022272D"/>
    <w:rsid w:val="0022312E"/>
    <w:rsid w:val="00234969"/>
    <w:rsid w:val="00236165"/>
    <w:rsid w:val="002412BC"/>
    <w:rsid w:val="00247B43"/>
    <w:rsid w:val="002574F9"/>
    <w:rsid w:val="00260F39"/>
    <w:rsid w:val="00262B61"/>
    <w:rsid w:val="0026302B"/>
    <w:rsid w:val="002724FF"/>
    <w:rsid w:val="00275491"/>
    <w:rsid w:val="00275FA6"/>
    <w:rsid w:val="00276811"/>
    <w:rsid w:val="00276C9A"/>
    <w:rsid w:val="00282699"/>
    <w:rsid w:val="00284859"/>
    <w:rsid w:val="00286FC8"/>
    <w:rsid w:val="00290CB6"/>
    <w:rsid w:val="002926DF"/>
    <w:rsid w:val="00292DBF"/>
    <w:rsid w:val="00296697"/>
    <w:rsid w:val="002A2C38"/>
    <w:rsid w:val="002A36C0"/>
    <w:rsid w:val="002A4D80"/>
    <w:rsid w:val="002A7E9B"/>
    <w:rsid w:val="002B0472"/>
    <w:rsid w:val="002B6B12"/>
    <w:rsid w:val="002C4289"/>
    <w:rsid w:val="002C4659"/>
    <w:rsid w:val="002C6053"/>
    <w:rsid w:val="002D0020"/>
    <w:rsid w:val="002D0170"/>
    <w:rsid w:val="002D24A5"/>
    <w:rsid w:val="002E6140"/>
    <w:rsid w:val="002E6985"/>
    <w:rsid w:val="002E71B6"/>
    <w:rsid w:val="002F77C8"/>
    <w:rsid w:val="003012B5"/>
    <w:rsid w:val="00304F22"/>
    <w:rsid w:val="00305162"/>
    <w:rsid w:val="003061E1"/>
    <w:rsid w:val="00306C7C"/>
    <w:rsid w:val="00311E43"/>
    <w:rsid w:val="00317B04"/>
    <w:rsid w:val="00322EDD"/>
    <w:rsid w:val="00327D10"/>
    <w:rsid w:val="00331616"/>
    <w:rsid w:val="00332320"/>
    <w:rsid w:val="003417F1"/>
    <w:rsid w:val="00347D72"/>
    <w:rsid w:val="00350088"/>
    <w:rsid w:val="00350757"/>
    <w:rsid w:val="00357611"/>
    <w:rsid w:val="0036186D"/>
    <w:rsid w:val="00367237"/>
    <w:rsid w:val="00367ACC"/>
    <w:rsid w:val="0037077F"/>
    <w:rsid w:val="00370D51"/>
    <w:rsid w:val="00372411"/>
    <w:rsid w:val="00372E66"/>
    <w:rsid w:val="00373882"/>
    <w:rsid w:val="003751B5"/>
    <w:rsid w:val="003843DB"/>
    <w:rsid w:val="00384BFA"/>
    <w:rsid w:val="003901AC"/>
    <w:rsid w:val="0039174C"/>
    <w:rsid w:val="00392E81"/>
    <w:rsid w:val="00393761"/>
    <w:rsid w:val="00393E03"/>
    <w:rsid w:val="00394B48"/>
    <w:rsid w:val="00397D18"/>
    <w:rsid w:val="003A0271"/>
    <w:rsid w:val="003A1B36"/>
    <w:rsid w:val="003A3114"/>
    <w:rsid w:val="003A3927"/>
    <w:rsid w:val="003A440F"/>
    <w:rsid w:val="003A4977"/>
    <w:rsid w:val="003A7048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F4C97"/>
    <w:rsid w:val="003F60EB"/>
    <w:rsid w:val="003F7FE6"/>
    <w:rsid w:val="00400193"/>
    <w:rsid w:val="00407024"/>
    <w:rsid w:val="004212E7"/>
    <w:rsid w:val="0042446D"/>
    <w:rsid w:val="00427BF8"/>
    <w:rsid w:val="00430B36"/>
    <w:rsid w:val="00431C02"/>
    <w:rsid w:val="00432D34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37F"/>
    <w:rsid w:val="004657FC"/>
    <w:rsid w:val="00467DDF"/>
    <w:rsid w:val="004733F6"/>
    <w:rsid w:val="00474E69"/>
    <w:rsid w:val="00477F80"/>
    <w:rsid w:val="00491B74"/>
    <w:rsid w:val="00493217"/>
    <w:rsid w:val="004957AB"/>
    <w:rsid w:val="0049621B"/>
    <w:rsid w:val="0049705B"/>
    <w:rsid w:val="004A5B48"/>
    <w:rsid w:val="004B2EAB"/>
    <w:rsid w:val="004C1895"/>
    <w:rsid w:val="004C4610"/>
    <w:rsid w:val="004C6D40"/>
    <w:rsid w:val="004E1912"/>
    <w:rsid w:val="004F0C3C"/>
    <w:rsid w:val="004F63FC"/>
    <w:rsid w:val="00501F76"/>
    <w:rsid w:val="00502E6F"/>
    <w:rsid w:val="00502F8C"/>
    <w:rsid w:val="00505A92"/>
    <w:rsid w:val="005112CE"/>
    <w:rsid w:val="00511F19"/>
    <w:rsid w:val="00514030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432E5"/>
    <w:rsid w:val="00550653"/>
    <w:rsid w:val="005520D8"/>
    <w:rsid w:val="005521A2"/>
    <w:rsid w:val="00552484"/>
    <w:rsid w:val="00556BF8"/>
    <w:rsid w:val="00556CF1"/>
    <w:rsid w:val="00562A3A"/>
    <w:rsid w:val="00564C34"/>
    <w:rsid w:val="00564DC8"/>
    <w:rsid w:val="00566A43"/>
    <w:rsid w:val="00571BA5"/>
    <w:rsid w:val="005762A7"/>
    <w:rsid w:val="0058676C"/>
    <w:rsid w:val="005877DE"/>
    <w:rsid w:val="005916D7"/>
    <w:rsid w:val="00593CF4"/>
    <w:rsid w:val="005A047A"/>
    <w:rsid w:val="005A2784"/>
    <w:rsid w:val="005A698C"/>
    <w:rsid w:val="005C1AF8"/>
    <w:rsid w:val="005C5EF8"/>
    <w:rsid w:val="005D1BCF"/>
    <w:rsid w:val="005D1C04"/>
    <w:rsid w:val="005D470D"/>
    <w:rsid w:val="005E0799"/>
    <w:rsid w:val="005E2757"/>
    <w:rsid w:val="005E782A"/>
    <w:rsid w:val="005F4399"/>
    <w:rsid w:val="005F5A80"/>
    <w:rsid w:val="006044FF"/>
    <w:rsid w:val="00607CC5"/>
    <w:rsid w:val="00612A16"/>
    <w:rsid w:val="006149F0"/>
    <w:rsid w:val="00615A26"/>
    <w:rsid w:val="006233B9"/>
    <w:rsid w:val="00631666"/>
    <w:rsid w:val="00631DAD"/>
    <w:rsid w:val="00633014"/>
    <w:rsid w:val="0063437B"/>
    <w:rsid w:val="00635568"/>
    <w:rsid w:val="00643286"/>
    <w:rsid w:val="006476FF"/>
    <w:rsid w:val="0066542B"/>
    <w:rsid w:val="0066616C"/>
    <w:rsid w:val="006673CA"/>
    <w:rsid w:val="006715EE"/>
    <w:rsid w:val="00673C26"/>
    <w:rsid w:val="0067430E"/>
    <w:rsid w:val="00674A8B"/>
    <w:rsid w:val="006812AF"/>
    <w:rsid w:val="00682537"/>
    <w:rsid w:val="00682B23"/>
    <w:rsid w:val="0068327D"/>
    <w:rsid w:val="00683EDE"/>
    <w:rsid w:val="00685123"/>
    <w:rsid w:val="006900F6"/>
    <w:rsid w:val="00691225"/>
    <w:rsid w:val="00694AF0"/>
    <w:rsid w:val="0069687E"/>
    <w:rsid w:val="0069693F"/>
    <w:rsid w:val="0069739D"/>
    <w:rsid w:val="006A4251"/>
    <w:rsid w:val="006A4686"/>
    <w:rsid w:val="006B0E9E"/>
    <w:rsid w:val="006B208D"/>
    <w:rsid w:val="006B20B4"/>
    <w:rsid w:val="006B5AE4"/>
    <w:rsid w:val="006B7686"/>
    <w:rsid w:val="006C1539"/>
    <w:rsid w:val="006D086E"/>
    <w:rsid w:val="006D1507"/>
    <w:rsid w:val="006D37E6"/>
    <w:rsid w:val="006D4054"/>
    <w:rsid w:val="006D6B72"/>
    <w:rsid w:val="006E02EC"/>
    <w:rsid w:val="006E0402"/>
    <w:rsid w:val="006E1F27"/>
    <w:rsid w:val="00701C5E"/>
    <w:rsid w:val="007034D7"/>
    <w:rsid w:val="00704D66"/>
    <w:rsid w:val="007059D5"/>
    <w:rsid w:val="007162EB"/>
    <w:rsid w:val="007211B1"/>
    <w:rsid w:val="0072400B"/>
    <w:rsid w:val="00724688"/>
    <w:rsid w:val="00724DBD"/>
    <w:rsid w:val="00732168"/>
    <w:rsid w:val="0073223D"/>
    <w:rsid w:val="007324DB"/>
    <w:rsid w:val="00733D55"/>
    <w:rsid w:val="007364D7"/>
    <w:rsid w:val="00746187"/>
    <w:rsid w:val="00751D7D"/>
    <w:rsid w:val="00752A67"/>
    <w:rsid w:val="00761070"/>
    <w:rsid w:val="007624DC"/>
    <w:rsid w:val="0076254F"/>
    <w:rsid w:val="00777CA3"/>
    <w:rsid w:val="007801F5"/>
    <w:rsid w:val="00783B68"/>
    <w:rsid w:val="00783CA4"/>
    <w:rsid w:val="007842FB"/>
    <w:rsid w:val="00786124"/>
    <w:rsid w:val="0078756B"/>
    <w:rsid w:val="00792E24"/>
    <w:rsid w:val="0079514B"/>
    <w:rsid w:val="007A2DC1"/>
    <w:rsid w:val="007B2CB7"/>
    <w:rsid w:val="007B3BF3"/>
    <w:rsid w:val="007B4A2D"/>
    <w:rsid w:val="007B74D8"/>
    <w:rsid w:val="007C161B"/>
    <w:rsid w:val="007D3319"/>
    <w:rsid w:val="007D335D"/>
    <w:rsid w:val="007E184E"/>
    <w:rsid w:val="007E1C44"/>
    <w:rsid w:val="007E3314"/>
    <w:rsid w:val="007E4B03"/>
    <w:rsid w:val="007F324B"/>
    <w:rsid w:val="007F4D36"/>
    <w:rsid w:val="00802A9A"/>
    <w:rsid w:val="0080551D"/>
    <w:rsid w:val="0080553C"/>
    <w:rsid w:val="00805B46"/>
    <w:rsid w:val="008153B3"/>
    <w:rsid w:val="00820461"/>
    <w:rsid w:val="00820B10"/>
    <w:rsid w:val="0082498D"/>
    <w:rsid w:val="00825DC2"/>
    <w:rsid w:val="00831172"/>
    <w:rsid w:val="00834AD3"/>
    <w:rsid w:val="008362A4"/>
    <w:rsid w:val="008378E7"/>
    <w:rsid w:val="0083798B"/>
    <w:rsid w:val="008434BA"/>
    <w:rsid w:val="00843795"/>
    <w:rsid w:val="0084421C"/>
    <w:rsid w:val="00847F0F"/>
    <w:rsid w:val="00852448"/>
    <w:rsid w:val="00854143"/>
    <w:rsid w:val="008544D0"/>
    <w:rsid w:val="008552EE"/>
    <w:rsid w:val="00874A1E"/>
    <w:rsid w:val="0088258A"/>
    <w:rsid w:val="008832C4"/>
    <w:rsid w:val="00883763"/>
    <w:rsid w:val="008850FF"/>
    <w:rsid w:val="00886332"/>
    <w:rsid w:val="00891A48"/>
    <w:rsid w:val="00897D11"/>
    <w:rsid w:val="008A26D9"/>
    <w:rsid w:val="008A78B9"/>
    <w:rsid w:val="008A7FA1"/>
    <w:rsid w:val="008B0AF7"/>
    <w:rsid w:val="008B22DF"/>
    <w:rsid w:val="008B4AE0"/>
    <w:rsid w:val="008B7301"/>
    <w:rsid w:val="008C0C29"/>
    <w:rsid w:val="008C7A01"/>
    <w:rsid w:val="008D368B"/>
    <w:rsid w:val="008D6D8B"/>
    <w:rsid w:val="008E5CBF"/>
    <w:rsid w:val="008F07F6"/>
    <w:rsid w:val="008F3638"/>
    <w:rsid w:val="008F4441"/>
    <w:rsid w:val="008F557F"/>
    <w:rsid w:val="008F6F31"/>
    <w:rsid w:val="008F74DF"/>
    <w:rsid w:val="008F7D3F"/>
    <w:rsid w:val="009011AC"/>
    <w:rsid w:val="00905229"/>
    <w:rsid w:val="009127BA"/>
    <w:rsid w:val="00916782"/>
    <w:rsid w:val="00917264"/>
    <w:rsid w:val="00917CCF"/>
    <w:rsid w:val="009227A6"/>
    <w:rsid w:val="00930ED9"/>
    <w:rsid w:val="00933B26"/>
    <w:rsid w:val="00933EC1"/>
    <w:rsid w:val="00934246"/>
    <w:rsid w:val="00942DCA"/>
    <w:rsid w:val="0094377F"/>
    <w:rsid w:val="009530DB"/>
    <w:rsid w:val="009535EE"/>
    <w:rsid w:val="00953676"/>
    <w:rsid w:val="00953726"/>
    <w:rsid w:val="009555D4"/>
    <w:rsid w:val="009630F7"/>
    <w:rsid w:val="00964D8C"/>
    <w:rsid w:val="009661AB"/>
    <w:rsid w:val="009705EE"/>
    <w:rsid w:val="00971217"/>
    <w:rsid w:val="00977927"/>
    <w:rsid w:val="0098135C"/>
    <w:rsid w:val="0098156A"/>
    <w:rsid w:val="00984363"/>
    <w:rsid w:val="0098788B"/>
    <w:rsid w:val="00990133"/>
    <w:rsid w:val="00991BAC"/>
    <w:rsid w:val="009927CE"/>
    <w:rsid w:val="009963D7"/>
    <w:rsid w:val="009A1431"/>
    <w:rsid w:val="009A3154"/>
    <w:rsid w:val="009A4F1C"/>
    <w:rsid w:val="009A6EA0"/>
    <w:rsid w:val="009B1399"/>
    <w:rsid w:val="009B2E0E"/>
    <w:rsid w:val="009B746F"/>
    <w:rsid w:val="009B76FA"/>
    <w:rsid w:val="009C1335"/>
    <w:rsid w:val="009C1AB2"/>
    <w:rsid w:val="009C2037"/>
    <w:rsid w:val="009C3469"/>
    <w:rsid w:val="009C375D"/>
    <w:rsid w:val="009C50CF"/>
    <w:rsid w:val="009C5407"/>
    <w:rsid w:val="009C55D4"/>
    <w:rsid w:val="009C7251"/>
    <w:rsid w:val="009E1FE1"/>
    <w:rsid w:val="009E2E91"/>
    <w:rsid w:val="009E3BF4"/>
    <w:rsid w:val="009E3F12"/>
    <w:rsid w:val="009E3FA7"/>
    <w:rsid w:val="009E410D"/>
    <w:rsid w:val="009E79F7"/>
    <w:rsid w:val="009F0CD2"/>
    <w:rsid w:val="009F5461"/>
    <w:rsid w:val="009F5815"/>
    <w:rsid w:val="009F5CBC"/>
    <w:rsid w:val="00A03DB9"/>
    <w:rsid w:val="00A04E4F"/>
    <w:rsid w:val="00A07F00"/>
    <w:rsid w:val="00A12435"/>
    <w:rsid w:val="00A139F5"/>
    <w:rsid w:val="00A14D69"/>
    <w:rsid w:val="00A2136A"/>
    <w:rsid w:val="00A34A25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224E"/>
    <w:rsid w:val="00A53132"/>
    <w:rsid w:val="00A55B73"/>
    <w:rsid w:val="00A563F2"/>
    <w:rsid w:val="00A566E8"/>
    <w:rsid w:val="00A62DE9"/>
    <w:rsid w:val="00A70EBF"/>
    <w:rsid w:val="00A712C4"/>
    <w:rsid w:val="00A810F9"/>
    <w:rsid w:val="00A86ECC"/>
    <w:rsid w:val="00A86FCC"/>
    <w:rsid w:val="00A93892"/>
    <w:rsid w:val="00AA0891"/>
    <w:rsid w:val="00AA13BD"/>
    <w:rsid w:val="00AA451B"/>
    <w:rsid w:val="00AA710D"/>
    <w:rsid w:val="00AB6D25"/>
    <w:rsid w:val="00AC3E42"/>
    <w:rsid w:val="00AD0B46"/>
    <w:rsid w:val="00AD4947"/>
    <w:rsid w:val="00AE20FD"/>
    <w:rsid w:val="00AE2D4B"/>
    <w:rsid w:val="00AE3075"/>
    <w:rsid w:val="00AE4D5B"/>
    <w:rsid w:val="00AE4F99"/>
    <w:rsid w:val="00AE6B84"/>
    <w:rsid w:val="00AE6BE7"/>
    <w:rsid w:val="00AE751C"/>
    <w:rsid w:val="00AF6AEA"/>
    <w:rsid w:val="00AF7617"/>
    <w:rsid w:val="00B05BC8"/>
    <w:rsid w:val="00B06265"/>
    <w:rsid w:val="00B11B69"/>
    <w:rsid w:val="00B14952"/>
    <w:rsid w:val="00B210CA"/>
    <w:rsid w:val="00B25DCD"/>
    <w:rsid w:val="00B31E5A"/>
    <w:rsid w:val="00B322EC"/>
    <w:rsid w:val="00B32730"/>
    <w:rsid w:val="00B37F5A"/>
    <w:rsid w:val="00B40DD0"/>
    <w:rsid w:val="00B5056F"/>
    <w:rsid w:val="00B50A80"/>
    <w:rsid w:val="00B609CE"/>
    <w:rsid w:val="00B63C9E"/>
    <w:rsid w:val="00B653AB"/>
    <w:rsid w:val="00B65F9E"/>
    <w:rsid w:val="00B66B19"/>
    <w:rsid w:val="00B70FDA"/>
    <w:rsid w:val="00B74022"/>
    <w:rsid w:val="00B853EC"/>
    <w:rsid w:val="00B86E2F"/>
    <w:rsid w:val="00B914E9"/>
    <w:rsid w:val="00B93713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A7A76"/>
    <w:rsid w:val="00BB4773"/>
    <w:rsid w:val="00BB4F09"/>
    <w:rsid w:val="00BB63A9"/>
    <w:rsid w:val="00BC1505"/>
    <w:rsid w:val="00BC17C7"/>
    <w:rsid w:val="00BC50F0"/>
    <w:rsid w:val="00BD4CA6"/>
    <w:rsid w:val="00BD4E33"/>
    <w:rsid w:val="00BD71BA"/>
    <w:rsid w:val="00BE09A5"/>
    <w:rsid w:val="00BE4B65"/>
    <w:rsid w:val="00C00EDA"/>
    <w:rsid w:val="00C030DE"/>
    <w:rsid w:val="00C07C7D"/>
    <w:rsid w:val="00C11EFD"/>
    <w:rsid w:val="00C22105"/>
    <w:rsid w:val="00C23F3B"/>
    <w:rsid w:val="00C244B6"/>
    <w:rsid w:val="00C27D75"/>
    <w:rsid w:val="00C3702F"/>
    <w:rsid w:val="00C4500A"/>
    <w:rsid w:val="00C45479"/>
    <w:rsid w:val="00C55C91"/>
    <w:rsid w:val="00C56E95"/>
    <w:rsid w:val="00C62E44"/>
    <w:rsid w:val="00C64A37"/>
    <w:rsid w:val="00C64C70"/>
    <w:rsid w:val="00C662A5"/>
    <w:rsid w:val="00C7158E"/>
    <w:rsid w:val="00C72186"/>
    <w:rsid w:val="00C7218F"/>
    <w:rsid w:val="00C7250B"/>
    <w:rsid w:val="00C7346B"/>
    <w:rsid w:val="00C73B5E"/>
    <w:rsid w:val="00C77C0E"/>
    <w:rsid w:val="00C8000E"/>
    <w:rsid w:val="00C83D7C"/>
    <w:rsid w:val="00C91687"/>
    <w:rsid w:val="00C924A8"/>
    <w:rsid w:val="00C92AF8"/>
    <w:rsid w:val="00C945FE"/>
    <w:rsid w:val="00C950B4"/>
    <w:rsid w:val="00C96FAA"/>
    <w:rsid w:val="00C97A04"/>
    <w:rsid w:val="00CA107B"/>
    <w:rsid w:val="00CA37A0"/>
    <w:rsid w:val="00CA484D"/>
    <w:rsid w:val="00CA4FB6"/>
    <w:rsid w:val="00CA5FC4"/>
    <w:rsid w:val="00CB565C"/>
    <w:rsid w:val="00CC739E"/>
    <w:rsid w:val="00CD1E2E"/>
    <w:rsid w:val="00CD2371"/>
    <w:rsid w:val="00CD32D0"/>
    <w:rsid w:val="00CD58B7"/>
    <w:rsid w:val="00CD77D9"/>
    <w:rsid w:val="00CD7CB6"/>
    <w:rsid w:val="00CE019A"/>
    <w:rsid w:val="00CE52F0"/>
    <w:rsid w:val="00CF031B"/>
    <w:rsid w:val="00CF08EF"/>
    <w:rsid w:val="00CF4099"/>
    <w:rsid w:val="00CF4349"/>
    <w:rsid w:val="00CF4C96"/>
    <w:rsid w:val="00D00796"/>
    <w:rsid w:val="00D02D2C"/>
    <w:rsid w:val="00D03342"/>
    <w:rsid w:val="00D066F3"/>
    <w:rsid w:val="00D076D6"/>
    <w:rsid w:val="00D11CF3"/>
    <w:rsid w:val="00D20C21"/>
    <w:rsid w:val="00D23F61"/>
    <w:rsid w:val="00D261A2"/>
    <w:rsid w:val="00D27CD4"/>
    <w:rsid w:val="00D329DC"/>
    <w:rsid w:val="00D3418B"/>
    <w:rsid w:val="00D372FB"/>
    <w:rsid w:val="00D37A41"/>
    <w:rsid w:val="00D4654D"/>
    <w:rsid w:val="00D538E4"/>
    <w:rsid w:val="00D616D2"/>
    <w:rsid w:val="00D63B5F"/>
    <w:rsid w:val="00D7066F"/>
    <w:rsid w:val="00D70EF7"/>
    <w:rsid w:val="00D815F5"/>
    <w:rsid w:val="00D8397C"/>
    <w:rsid w:val="00D83D64"/>
    <w:rsid w:val="00D83F2F"/>
    <w:rsid w:val="00D84DE7"/>
    <w:rsid w:val="00D94EED"/>
    <w:rsid w:val="00D96026"/>
    <w:rsid w:val="00DA0243"/>
    <w:rsid w:val="00DA2264"/>
    <w:rsid w:val="00DA433C"/>
    <w:rsid w:val="00DA4531"/>
    <w:rsid w:val="00DA5DA2"/>
    <w:rsid w:val="00DA7C1C"/>
    <w:rsid w:val="00DB147A"/>
    <w:rsid w:val="00DB1B7A"/>
    <w:rsid w:val="00DB51F0"/>
    <w:rsid w:val="00DB5680"/>
    <w:rsid w:val="00DB78DA"/>
    <w:rsid w:val="00DC226C"/>
    <w:rsid w:val="00DC6708"/>
    <w:rsid w:val="00DC7CFA"/>
    <w:rsid w:val="00DD4A41"/>
    <w:rsid w:val="00DE0AFD"/>
    <w:rsid w:val="00DE1402"/>
    <w:rsid w:val="00DE775D"/>
    <w:rsid w:val="00DF5C74"/>
    <w:rsid w:val="00DF712D"/>
    <w:rsid w:val="00E01436"/>
    <w:rsid w:val="00E01E27"/>
    <w:rsid w:val="00E045BD"/>
    <w:rsid w:val="00E17A9F"/>
    <w:rsid w:val="00E17B77"/>
    <w:rsid w:val="00E22635"/>
    <w:rsid w:val="00E23337"/>
    <w:rsid w:val="00E23761"/>
    <w:rsid w:val="00E259EA"/>
    <w:rsid w:val="00E27E85"/>
    <w:rsid w:val="00E303FF"/>
    <w:rsid w:val="00E30793"/>
    <w:rsid w:val="00E32061"/>
    <w:rsid w:val="00E37F13"/>
    <w:rsid w:val="00E4151F"/>
    <w:rsid w:val="00E41FCF"/>
    <w:rsid w:val="00E42FF9"/>
    <w:rsid w:val="00E4714C"/>
    <w:rsid w:val="00E51AEB"/>
    <w:rsid w:val="00E522A7"/>
    <w:rsid w:val="00E54452"/>
    <w:rsid w:val="00E616DF"/>
    <w:rsid w:val="00E664C5"/>
    <w:rsid w:val="00E66A5B"/>
    <w:rsid w:val="00E671A2"/>
    <w:rsid w:val="00E67C66"/>
    <w:rsid w:val="00E70563"/>
    <w:rsid w:val="00E70D5C"/>
    <w:rsid w:val="00E76D26"/>
    <w:rsid w:val="00E87FB4"/>
    <w:rsid w:val="00E95BE5"/>
    <w:rsid w:val="00EB02C9"/>
    <w:rsid w:val="00EB0AF7"/>
    <w:rsid w:val="00EB1390"/>
    <w:rsid w:val="00EB2C71"/>
    <w:rsid w:val="00EB4340"/>
    <w:rsid w:val="00EB485C"/>
    <w:rsid w:val="00EB5222"/>
    <w:rsid w:val="00EB556D"/>
    <w:rsid w:val="00EB5A7D"/>
    <w:rsid w:val="00ED24F1"/>
    <w:rsid w:val="00ED55C0"/>
    <w:rsid w:val="00ED63E8"/>
    <w:rsid w:val="00ED682B"/>
    <w:rsid w:val="00EE41D5"/>
    <w:rsid w:val="00EE696D"/>
    <w:rsid w:val="00EF6301"/>
    <w:rsid w:val="00EF7B36"/>
    <w:rsid w:val="00F027A2"/>
    <w:rsid w:val="00F037A4"/>
    <w:rsid w:val="00F04C11"/>
    <w:rsid w:val="00F0593C"/>
    <w:rsid w:val="00F06F36"/>
    <w:rsid w:val="00F07B22"/>
    <w:rsid w:val="00F12FEC"/>
    <w:rsid w:val="00F161AC"/>
    <w:rsid w:val="00F1770E"/>
    <w:rsid w:val="00F20A4B"/>
    <w:rsid w:val="00F26013"/>
    <w:rsid w:val="00F27C8F"/>
    <w:rsid w:val="00F30A0C"/>
    <w:rsid w:val="00F32749"/>
    <w:rsid w:val="00F3314D"/>
    <w:rsid w:val="00F34A33"/>
    <w:rsid w:val="00F37172"/>
    <w:rsid w:val="00F42DB8"/>
    <w:rsid w:val="00F4477E"/>
    <w:rsid w:val="00F455A2"/>
    <w:rsid w:val="00F45717"/>
    <w:rsid w:val="00F479EB"/>
    <w:rsid w:val="00F52335"/>
    <w:rsid w:val="00F65EEC"/>
    <w:rsid w:val="00F6637E"/>
    <w:rsid w:val="00F67D8F"/>
    <w:rsid w:val="00F70C4A"/>
    <w:rsid w:val="00F739B3"/>
    <w:rsid w:val="00F7414E"/>
    <w:rsid w:val="00F74897"/>
    <w:rsid w:val="00F74B10"/>
    <w:rsid w:val="00F74FFC"/>
    <w:rsid w:val="00F75C6D"/>
    <w:rsid w:val="00F80247"/>
    <w:rsid w:val="00F802BE"/>
    <w:rsid w:val="00F80E93"/>
    <w:rsid w:val="00F81CC7"/>
    <w:rsid w:val="00F823A8"/>
    <w:rsid w:val="00F86024"/>
    <w:rsid w:val="00F8611A"/>
    <w:rsid w:val="00F86C02"/>
    <w:rsid w:val="00F90A0D"/>
    <w:rsid w:val="00F90BB1"/>
    <w:rsid w:val="00F92824"/>
    <w:rsid w:val="00F93CA3"/>
    <w:rsid w:val="00F96C68"/>
    <w:rsid w:val="00FA4663"/>
    <w:rsid w:val="00FA4EC6"/>
    <w:rsid w:val="00FA5128"/>
    <w:rsid w:val="00FB42D4"/>
    <w:rsid w:val="00FB5906"/>
    <w:rsid w:val="00FB762F"/>
    <w:rsid w:val="00FC0106"/>
    <w:rsid w:val="00FC143D"/>
    <w:rsid w:val="00FC2AED"/>
    <w:rsid w:val="00FC303F"/>
    <w:rsid w:val="00FC6885"/>
    <w:rsid w:val="00FD11D4"/>
    <w:rsid w:val="00FD5EA7"/>
    <w:rsid w:val="00FD665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56EAD-2D4E-4FBD-B0FE-BA5421C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26" Type="http://schemas.openxmlformats.org/officeDocument/2006/relationships/hyperlink" Target="http://stat.gov.pl/sygnalne/informacje-sygnalne/" TargetMode="External"/><Relationship Id="rId39" Type="http://schemas.openxmlformats.org/officeDocument/2006/relationships/hyperlink" Target="http://stat.gov.pl/obszary-tematyczne/ceny-handel/wskazniki-cen/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sygnalne/komunikaty-i-obwieszczenia/" TargetMode="External"/><Relationship Id="rId42" Type="http://schemas.openxmlformats.org/officeDocument/2006/relationships/hyperlink" Target="http://stat.gov.pl/metainformacje/slownik-pojec/pojecia-stosowane-w-statystyce-publicznej/32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9" Type="http://schemas.openxmlformats.org/officeDocument/2006/relationships/hyperlink" Target="https://bdl.stat.gov.pl/BDL/star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711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obszary-tematyczne/ceny-handel/ceny/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image" Target="media/image6.png"/><Relationship Id="rId28" Type="http://schemas.openxmlformats.org/officeDocument/2006/relationships/hyperlink" Target="http://bdm.stat.gov.pl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hyperlink" Target="http://stat.gov.pl/obszary-tematyczne/ceny-handel/ceny/" TargetMode="External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5" Type="http://schemas.openxmlformats.org/officeDocument/2006/relationships/hyperlink" Target="http://stat.gov.pl/sygnalne/komunikaty-i-obwieszczenia/" TargetMode="External"/><Relationship Id="rId33" Type="http://schemas.openxmlformats.org/officeDocument/2006/relationships/hyperlink" Target="http://stat.gov.pl/metainformacje/slownik-pojec/pojecia-stosowane-w-statystyce-publicznej/32,pojecie.html" TargetMode="External"/><Relationship Id="rId38" Type="http://schemas.openxmlformats.org/officeDocument/2006/relationships/hyperlink" Target="https://bdl.stat.gov.pl/BDL/start" TargetMode="External"/><Relationship Id="rId46" Type="http://schemas.openxmlformats.org/officeDocument/2006/relationships/theme" Target="theme/theme1.xm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71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573497194536257"/>
          <c:y val="5.3855356053736994E-2"/>
          <c:w val="0.52658061332077077"/>
          <c:h val="0.83029665572246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93-4434-BF1D-AC3108B7EEF4}"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93-4434-BF1D-AC3108B7EEF4}"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93-4434-BF1D-AC3108B7EEF4}"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93-4434-BF1D-AC3108B7EEF4}"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93-4434-BF1D-AC3108B7EEF4}"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93-4434-BF1D-AC3108B7EEF4}"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93-4434-BF1D-AC3108B7EEF4}"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93-4434-BF1D-AC3108B7EEF4}"/>
                </c:ext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93-4434-BF1D-AC3108B7EEF4}"/>
                </c:ext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93-4434-BF1D-AC3108B7EEF4}"/>
                </c:ext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D93-4434-BF1D-AC3108B7E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WPŁYWY!$A$4:$A$13</c:f>
              <c:strCache>
                <c:ptCount val="10"/>
                <c:pt idx="0">
                  <c:v>Warzywa</c:v>
                </c:pt>
                <c:pt idx="1">
                  <c:v>Meble do mieszkania lub domu</c:v>
                </c:pt>
                <c:pt idx="2">
                  <c:v>Odzież</c:v>
                </c:pt>
                <c:pt idx="3">
                  <c:v>Mięso</c:v>
                </c:pt>
                <c:pt idx="4">
                  <c:v>Ubezpieczenia</c:v>
                </c:pt>
                <c:pt idx="5">
                  <c:v>Pieczywo i produkty zbożowe</c:v>
                </c:pt>
                <c:pt idx="6">
                  <c:v>Gastronomia</c:v>
                </c:pt>
                <c:pt idx="7">
                  <c:v>Usługi telekomunikacyjne</c:v>
                </c:pt>
                <c:pt idx="8">
                  <c:v>Paliwa do prywatnych środków transportu</c:v>
                </c:pt>
                <c:pt idx="9">
                  <c:v>Nośniki energii</c:v>
                </c:pt>
              </c:strCache>
            </c:strRef>
          </c:cat>
          <c:val>
            <c:numRef>
              <c:f>WPŁYWY!$C$4:$C$13</c:f>
              <c:numCache>
                <c:formatCode>0.00</c:formatCode>
                <c:ptCount val="10"/>
                <c:pt idx="0">
                  <c:v>-0.13</c:v>
                </c:pt>
                <c:pt idx="1">
                  <c:v>-0.03</c:v>
                </c:pt>
                <c:pt idx="2">
                  <c:v>-0.03</c:v>
                </c:pt>
                <c:pt idx="3">
                  <c:v>-0.02</c:v>
                </c:pt>
                <c:pt idx="4">
                  <c:v>0.02</c:v>
                </c:pt>
                <c:pt idx="5">
                  <c:v>0.02</c:v>
                </c:pt>
                <c:pt idx="6">
                  <c:v>0.03</c:v>
                </c:pt>
                <c:pt idx="7">
                  <c:v>0.04</c:v>
                </c:pt>
                <c:pt idx="8">
                  <c:v>0.11</c:v>
                </c:pt>
                <c:pt idx="9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D93-4434-BF1D-AC3108B7E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739136"/>
        <c:axId val="123741696"/>
      </c:barChart>
      <c:catAx>
        <c:axId val="123739136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 rot="0"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23741696"/>
        <c:crossesAt val="0"/>
        <c:auto val="1"/>
        <c:lblAlgn val="ctr"/>
        <c:lblOffset val="300"/>
        <c:tickMarkSkip val="1"/>
        <c:noMultiLvlLbl val="0"/>
      </c:catAx>
      <c:valAx>
        <c:axId val="123741696"/>
        <c:scaling>
          <c:orientation val="minMax"/>
          <c:max val="0.15000000000000002"/>
          <c:min val="-0.1500000000000000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23739136"/>
        <c:crosses val="autoZero"/>
        <c:crossBetween val="between"/>
        <c:majorUnit val="5.000000000000001E-2"/>
        <c:min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720807723504626"/>
          <c:y val="0"/>
          <c:w val="0.58530647639467726"/>
          <c:h val="0.937636677326124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WAG'!$I$2:$I$13</c:f>
              <c:numCache>
                <c:formatCode>0.00</c:formatCode>
                <c:ptCount val="12"/>
                <c:pt idx="0">
                  <c:v>5.51</c:v>
                </c:pt>
                <c:pt idx="1">
                  <c:v>4.5599999999999996</c:v>
                </c:pt>
                <c:pt idx="2">
                  <c:v>1.02</c:v>
                </c:pt>
                <c:pt idx="3">
                  <c:v>5.78</c:v>
                </c:pt>
                <c:pt idx="4">
                  <c:v>5</c:v>
                </c:pt>
                <c:pt idx="5">
                  <c:v>8.8800000000000008</c:v>
                </c:pt>
                <c:pt idx="6">
                  <c:v>5.39</c:v>
                </c:pt>
                <c:pt idx="7">
                  <c:v>5.83</c:v>
                </c:pt>
                <c:pt idx="8">
                  <c:v>19.14</c:v>
                </c:pt>
                <c:pt idx="9">
                  <c:v>4.21</c:v>
                </c:pt>
                <c:pt idx="10">
                  <c:v>6.91</c:v>
                </c:pt>
                <c:pt idx="11">
                  <c:v>27.77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4-48DE-9A4A-DA79211FE8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795840"/>
        <c:axId val="117815168"/>
      </c:barChart>
      <c:catAx>
        <c:axId val="117795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117815168"/>
        <c:crosses val="autoZero"/>
        <c:auto val="0"/>
        <c:lblAlgn val="ctr"/>
        <c:lblOffset val="100"/>
        <c:noMultiLvlLbl val="0"/>
      </c:catAx>
      <c:valAx>
        <c:axId val="117815168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5317083774494438"/>
              <c:y val="0.94758159647872409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17795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  <c:extLst>
              <c:ext xmlns:c16="http://schemas.microsoft.com/office/drawing/2014/chart" uri="{C3380CC4-5D6E-409C-BE32-E72D297353CC}">
                <c16:uniqueId val="{00000000-8615-493D-A9B9-8CC6BD2E9721}"/>
              </c:ext>
            </c:extLst>
          </c:dPt>
          <c:dPt>
            <c:idx val="25"/>
            <c:bubble3D val="0"/>
            <c:extLst>
              <c:ext xmlns:c16="http://schemas.microsoft.com/office/drawing/2014/chart" uri="{C3380CC4-5D6E-409C-BE32-E72D297353CC}">
                <c16:uniqueId val="{00000001-8615-493D-A9B9-8CC6BD2E9721}"/>
              </c:ext>
            </c:extLst>
          </c:dPt>
          <c:dLbls>
            <c:dLbl>
              <c:idx val="0"/>
              <c:layout>
                <c:manualLayout>
                  <c:x val="-5.5294194584918237E-2"/>
                  <c:y val="-1.3542433739770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15-493D-A9B9-8CC6BD2E9721}"/>
                </c:ext>
              </c:extLst>
            </c:dLbl>
            <c:dLbl>
              <c:idx val="1"/>
              <c:layout>
                <c:manualLayout>
                  <c:x val="-9.0496726356592751E-3"/>
                  <c:y val="-6.89600262344764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15-493D-A9B9-8CC6BD2E9721}"/>
                </c:ext>
              </c:extLst>
            </c:dLbl>
            <c:dLbl>
              <c:idx val="2"/>
              <c:layout>
                <c:manualLayout>
                  <c:x val="-1.2615621595355434E-2"/>
                  <c:y val="-1.599990402020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15-493D-A9B9-8CC6BD2E9721}"/>
                </c:ext>
              </c:extLst>
            </c:dLbl>
            <c:dLbl>
              <c:idx val="3"/>
              <c:layout>
                <c:manualLayout>
                  <c:x val="-6.2299306301848011E-2"/>
                  <c:y val="2.5140082848857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15-493D-A9B9-8CC6BD2E9721}"/>
                </c:ext>
              </c:extLst>
            </c:dLbl>
            <c:dLbl>
              <c:idx val="4"/>
              <c:layout>
                <c:manualLayout>
                  <c:x val="-2.2328926164153794E-2"/>
                  <c:y val="3.0088574078403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15-493D-A9B9-8CC6BD2E9721}"/>
                </c:ext>
              </c:extLst>
            </c:dLbl>
            <c:dLbl>
              <c:idx val="5"/>
              <c:layout>
                <c:manualLayout>
                  <c:x val="-1.7650070743307097E-2"/>
                  <c:y val="-3.1897284171805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15-493D-A9B9-8CC6BD2E9721}"/>
                </c:ext>
              </c:extLst>
            </c:dLbl>
            <c:dLbl>
              <c:idx val="6"/>
              <c:layout>
                <c:manualLayout>
                  <c:x val="-3.5056988274383187E-2"/>
                  <c:y val="3.6881040235485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615-493D-A9B9-8CC6BD2E9721}"/>
                </c:ext>
              </c:extLst>
            </c:dLbl>
            <c:dLbl>
              <c:idx val="7"/>
              <c:layout>
                <c:manualLayout>
                  <c:x val="-1.8334441174356775E-2"/>
                  <c:y val="1.8459386187417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15-493D-A9B9-8CC6BD2E9721}"/>
                </c:ext>
              </c:extLst>
            </c:dLbl>
            <c:dLbl>
              <c:idx val="8"/>
              <c:layout>
                <c:manualLayout>
                  <c:x val="-1.7703347229318801E-2"/>
                  <c:y val="-2.475369731245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615-493D-A9B9-8CC6BD2E9721}"/>
                </c:ext>
              </c:extLst>
            </c:dLbl>
            <c:dLbl>
              <c:idx val="9"/>
              <c:layout>
                <c:manualLayout>
                  <c:x val="-3.0938332410940263E-2"/>
                  <c:y val="-3.4976747140285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615-493D-A9B9-8CC6BD2E9721}"/>
                </c:ext>
              </c:extLst>
            </c:dLbl>
            <c:dLbl>
              <c:idx val="10"/>
              <c:layout>
                <c:manualLayout>
                  <c:x val="-6.8120436228477181E-3"/>
                  <c:y val="-3.4434875121325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615-493D-A9B9-8CC6BD2E9721}"/>
                </c:ext>
              </c:extLst>
            </c:dLbl>
            <c:dLbl>
              <c:idx val="11"/>
              <c:layout>
                <c:manualLayout>
                  <c:x val="-8.2248179371777114E-2"/>
                  <c:y val="-3.65313045221503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615-493D-A9B9-8CC6BD2E9721}"/>
                </c:ext>
              </c:extLst>
            </c:dLbl>
            <c:dLbl>
              <c:idx val="12"/>
              <c:layout>
                <c:manualLayout>
                  <c:x val="-2.8884079305446252E-2"/>
                  <c:y val="-3.4242972116052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615-493D-A9B9-8CC6BD2E9721}"/>
                </c:ext>
              </c:extLst>
            </c:dLbl>
            <c:dLbl>
              <c:idx val="13"/>
              <c:layout>
                <c:manualLayout>
                  <c:x val="-1.2715023361202775E-2"/>
                  <c:y val="8.859589199219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615-493D-A9B9-8CC6BD2E9721}"/>
                </c:ext>
              </c:extLst>
            </c:dLbl>
            <c:dLbl>
              <c:idx val="14"/>
              <c:layout>
                <c:manualLayout>
                  <c:x val="-2.0793570383471498E-2"/>
                  <c:y val="-2.618055652042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615-493D-A9B9-8CC6BD2E9721}"/>
                </c:ext>
              </c:extLst>
            </c:dLbl>
            <c:dLbl>
              <c:idx val="15"/>
              <c:layout>
                <c:manualLayout>
                  <c:x val="-1.0273601572693263E-2"/>
                  <c:y val="5.074931496241336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615-493D-A9B9-8CC6BD2E9721}"/>
                </c:ext>
              </c:extLst>
            </c:dLbl>
            <c:dLbl>
              <c:idx val="16"/>
              <c:layout>
                <c:manualLayout>
                  <c:x val="-1.1032801515540902E-2"/>
                  <c:y val="-8.673552832525133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615-493D-A9B9-8CC6BD2E9721}"/>
                </c:ext>
              </c:extLst>
            </c:dLbl>
            <c:dLbl>
              <c:idx val="17"/>
              <c:layout>
                <c:manualLayout>
                  <c:x val="-1.1023362332995482E-2"/>
                  <c:y val="1.203981600074117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615-493D-A9B9-8CC6BD2E9721}"/>
                </c:ext>
              </c:extLst>
            </c:dLbl>
            <c:dLbl>
              <c:idx val="18"/>
              <c:layout>
                <c:manualLayout>
                  <c:x val="-1.4226561377294949E-2"/>
                  <c:y val="-2.351321290446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615-493D-A9B9-8CC6BD2E9721}"/>
                </c:ext>
              </c:extLst>
            </c:dLbl>
            <c:dLbl>
              <c:idx val="19"/>
              <c:layout>
                <c:manualLayout>
                  <c:x val="-1.2040664618799757E-2"/>
                  <c:y val="-2.025391744792641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615-493D-A9B9-8CC6BD2E9721}"/>
                </c:ext>
              </c:extLst>
            </c:dLbl>
            <c:dLbl>
              <c:idx val="20"/>
              <c:layout>
                <c:manualLayout>
                  <c:x val="-3.2935119678364398E-2"/>
                  <c:y val="-4.4550295292670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615-493D-A9B9-8CC6BD2E9721}"/>
                </c:ext>
              </c:extLst>
            </c:dLbl>
            <c:dLbl>
              <c:idx val="21"/>
              <c:layout>
                <c:manualLayout>
                  <c:x val="-5.0197574164179297E-2"/>
                  <c:y val="2.5940173123091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615-493D-A9B9-8CC6BD2E9721}"/>
                </c:ext>
              </c:extLst>
            </c:dLbl>
            <c:dLbl>
              <c:idx val="22"/>
              <c:layout>
                <c:manualLayout>
                  <c:x val="-3.5099401505062335E-2"/>
                  <c:y val="2.7965705439271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46740856278519E-2"/>
                      <c:h val="5.79873523648778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8615-493D-A9B9-8CC6BD2E9721}"/>
                </c:ext>
              </c:extLst>
            </c:dLbl>
            <c:dLbl>
              <c:idx val="23"/>
              <c:layout>
                <c:manualLayout>
                  <c:x val="-2.0207080109406424E-2"/>
                  <c:y val="2.4581435829328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615-493D-A9B9-8CC6BD2E9721}"/>
                </c:ext>
              </c:extLst>
            </c:dLbl>
            <c:dLbl>
              <c:idx val="24"/>
              <c:layout>
                <c:manualLayout>
                  <c:x val="-1.2706263649173445E-2"/>
                  <c:y val="-1.1793070563663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15-493D-A9B9-8CC6BD2E9721}"/>
                </c:ext>
              </c:extLst>
            </c:dLbl>
            <c:dLbl>
              <c:idx val="25"/>
              <c:layout>
                <c:manualLayout>
                  <c:x val="-1.0805536778012678E-2"/>
                  <c:y val="3.5187216772928874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0,5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15-493D-A9B9-8CC6BD2E9721}"/>
                </c:ext>
              </c:extLst>
            </c:dLbl>
            <c:dLbl>
              <c:idx val="26"/>
              <c:layout>
                <c:manualLayout>
                  <c:x val="-8.6797997334896321E-3"/>
                  <c:y val="-7.46619438453005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615-493D-A9B9-8CC6BD2E97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'M-1'!$B$50:$B$69</c:f>
              <c:strCache>
                <c:ptCount val="20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'M-1'!$C$50:$C$69</c:f>
              <c:numCache>
                <c:formatCode>0.0</c:formatCode>
                <c:ptCount val="20"/>
                <c:pt idx="0">
                  <c:v>0.9</c:v>
                </c:pt>
                <c:pt idx="1">
                  <c:v>0.7</c:v>
                </c:pt>
                <c:pt idx="2">
                  <c:v>0.2</c:v>
                </c:pt>
                <c:pt idx="3">
                  <c:v>-0.1</c:v>
                </c:pt>
                <c:pt idx="4">
                  <c:v>-0.2</c:v>
                </c:pt>
                <c:pt idx="5">
                  <c:v>0.6</c:v>
                </c:pt>
                <c:pt idx="6">
                  <c:v>-0.2</c:v>
                </c:pt>
                <c:pt idx="7">
                  <c:v>-0.1</c:v>
                </c:pt>
                <c:pt idx="8">
                  <c:v>0.2</c:v>
                </c:pt>
                <c:pt idx="9">
                  <c:v>0.1</c:v>
                </c:pt>
                <c:pt idx="10">
                  <c:v>0.1</c:v>
                </c:pt>
                <c:pt idx="11">
                  <c:v>0.1</c:v>
                </c:pt>
                <c:pt idx="12">
                  <c:v>1.3</c:v>
                </c:pt>
                <c:pt idx="13">
                  <c:v>0.5</c:v>
                </c:pt>
                <c:pt idx="14">
                  <c:v>1</c:v>
                </c:pt>
                <c:pt idx="15">
                  <c:v>0.8</c:v>
                </c:pt>
                <c:pt idx="16">
                  <c:v>0.3</c:v>
                </c:pt>
                <c:pt idx="17">
                  <c:v>0.1</c:v>
                </c:pt>
                <c:pt idx="18">
                  <c:v>0.4</c:v>
                </c:pt>
                <c:pt idx="19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8615-493D-A9B9-8CC6BD2E9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868800"/>
        <c:axId val="117874688"/>
      </c:lineChart>
      <c:dateAx>
        <c:axId val="11786880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7874688"/>
        <c:crossesAt val="0"/>
        <c:auto val="0"/>
        <c:lblOffset val="100"/>
        <c:baseTimeUnit val="days"/>
      </c:dateAx>
      <c:valAx>
        <c:axId val="117874688"/>
        <c:scaling>
          <c:orientation val="minMax"/>
          <c:max val="1.6"/>
          <c:min val="-0.60000000000000009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7868800"/>
        <c:crossesAt val="1"/>
        <c:crossBetween val="between"/>
        <c:majorUnit val="0.2"/>
        <c:minorUnit val="0.1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00-A172-41A1-8D96-9FB99A4DD254}"/>
              </c:ext>
            </c:extLst>
          </c:dPt>
          <c:dPt>
            <c:idx val="24"/>
            <c:bubble3D val="0"/>
            <c:extLst>
              <c:ext xmlns:c16="http://schemas.microsoft.com/office/drawing/2014/chart" uri="{C3380CC4-5D6E-409C-BE32-E72D297353CC}">
                <c16:uniqueId val="{00000001-A172-41A1-8D96-9FB99A4DD254}"/>
              </c:ext>
            </c:extLst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A172-41A1-8D96-9FB99A4DD254}"/>
              </c:ext>
            </c:extLst>
          </c:dPt>
          <c:dLbls>
            <c:dLbl>
              <c:idx val="0"/>
              <c:layout>
                <c:manualLayout>
                  <c:x val="-4.6651811350132272E-2"/>
                  <c:y val="-3.5542308054522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72-41A1-8D96-9FB99A4DD254}"/>
                </c:ext>
              </c:extLst>
            </c:dLbl>
            <c:dLbl>
              <c:idx val="1"/>
              <c:layout>
                <c:manualLayout>
                  <c:x val="-4.3416289756542506E-2"/>
                  <c:y val="-3.5200096733800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72-41A1-8D96-9FB99A4DD254}"/>
                </c:ext>
              </c:extLst>
            </c:dLbl>
            <c:dLbl>
              <c:idx val="2"/>
              <c:layout>
                <c:manualLayout>
                  <c:x val="-3.4474730081350762E-2"/>
                  <c:y val="-4.013987645512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72-41A1-8D96-9FB99A4DD254}"/>
                </c:ext>
              </c:extLst>
            </c:dLbl>
            <c:dLbl>
              <c:idx val="3"/>
              <c:layout>
                <c:manualLayout>
                  <c:x val="-5.5053171767907236E-2"/>
                  <c:y val="2.85019786635310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172-41A1-8D96-9FB99A4DD254}"/>
                </c:ext>
              </c:extLst>
            </c:dLbl>
            <c:dLbl>
              <c:idx val="4"/>
              <c:layout>
                <c:manualLayout>
                  <c:x val="-5.4471102665837358E-2"/>
                  <c:y val="2.9016264532838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172-41A1-8D96-9FB99A4DD254}"/>
                </c:ext>
              </c:extLst>
            </c:dLbl>
            <c:dLbl>
              <c:idx val="5"/>
              <c:layout>
                <c:manualLayout>
                  <c:x val="-3.5129386624384647E-2"/>
                  <c:y val="4.3542224342580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172-41A1-8D96-9FB99A4DD254}"/>
                </c:ext>
              </c:extLst>
            </c:dLbl>
            <c:dLbl>
              <c:idx val="6"/>
              <c:layout>
                <c:manualLayout>
                  <c:x val="-3.6750767010553742E-2"/>
                  <c:y val="3.7341727264165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72-41A1-8D96-9FB99A4DD254}"/>
                </c:ext>
              </c:extLst>
            </c:dLbl>
            <c:dLbl>
              <c:idx val="7"/>
              <c:layout>
                <c:manualLayout>
                  <c:x val="-4.9063240487278906E-2"/>
                  <c:y val="3.2489922593582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172-41A1-8D96-9FB99A4DD254}"/>
                </c:ext>
              </c:extLst>
            </c:dLbl>
            <c:dLbl>
              <c:idx val="8"/>
              <c:layout>
                <c:manualLayout>
                  <c:x val="-3.3284178657453214E-2"/>
                  <c:y val="4.0758027142047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172-41A1-8D96-9FB99A4DD254}"/>
                </c:ext>
              </c:extLst>
            </c:dLbl>
            <c:dLbl>
              <c:idx val="9"/>
              <c:layout>
                <c:manualLayout>
                  <c:x val="-3.5197669688795528E-2"/>
                  <c:y val="3.74424916394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172-41A1-8D96-9FB99A4DD254}"/>
                </c:ext>
              </c:extLst>
            </c:dLbl>
            <c:dLbl>
              <c:idx val="10"/>
              <c:layout>
                <c:manualLayout>
                  <c:x val="-4.7217641213388097E-2"/>
                  <c:y val="3.8095134747160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172-41A1-8D96-9FB99A4DD254}"/>
                </c:ext>
              </c:extLst>
            </c:dLbl>
            <c:dLbl>
              <c:idx val="11"/>
              <c:layout>
                <c:manualLayout>
                  <c:x val="-3.733244480566425E-2"/>
                  <c:y val="3.708361544128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172-41A1-8D96-9FB99A4DD254}"/>
                </c:ext>
              </c:extLst>
            </c:dLbl>
            <c:dLbl>
              <c:idx val="12"/>
              <c:layout>
                <c:manualLayout>
                  <c:x val="-3.7908252996384034E-2"/>
                  <c:y val="-4.0667339204279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172-41A1-8D96-9FB99A4DD254}"/>
                </c:ext>
              </c:extLst>
            </c:dLbl>
            <c:dLbl>
              <c:idx val="13"/>
              <c:layout>
                <c:manualLayout>
                  <c:x val="-3.7736273587738942E-2"/>
                  <c:y val="3.75951884235684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172-41A1-8D96-9FB99A4DD254}"/>
                </c:ext>
              </c:extLst>
            </c:dLbl>
            <c:dLbl>
              <c:idx val="14"/>
              <c:layout>
                <c:manualLayout>
                  <c:x val="-1.3713743698245986E-2"/>
                  <c:y val="1.4519371369818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A172-41A1-8D96-9FB99A4DD254}"/>
                </c:ext>
              </c:extLst>
            </c:dLbl>
            <c:dLbl>
              <c:idx val="15"/>
              <c:layout>
                <c:manualLayout>
                  <c:x val="-2.0570224240409603E-2"/>
                  <c:y val="2.9009288537625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172-41A1-8D96-9FB99A4DD254}"/>
                </c:ext>
              </c:extLst>
            </c:dLbl>
            <c:dLbl>
              <c:idx val="16"/>
              <c:layout>
                <c:manualLayout>
                  <c:x val="-3.7794773978165462E-2"/>
                  <c:y val="-3.6474766081316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A172-41A1-8D96-9FB99A4DD254}"/>
                </c:ext>
              </c:extLst>
            </c:dLbl>
            <c:dLbl>
              <c:idx val="17"/>
              <c:layout>
                <c:manualLayout>
                  <c:x val="-9.5341940651647392E-3"/>
                  <c:y val="5.327722566220580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72-41A1-8D96-9FB99A4DD254}"/>
                </c:ext>
              </c:extLst>
            </c:dLbl>
            <c:dLbl>
              <c:idx val="18"/>
              <c:layout>
                <c:manualLayout>
                  <c:x val="-6.9233489842188802E-3"/>
                  <c:y val="4.0146653317769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172-41A1-8D96-9FB99A4DD254}"/>
                </c:ext>
              </c:extLst>
            </c:dLbl>
            <c:dLbl>
              <c:idx val="19"/>
              <c:layout>
                <c:manualLayout>
                  <c:x val="-1.1154693414722814E-2"/>
                  <c:y val="-1.869288311991030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172-41A1-8D96-9FB99A4DD254}"/>
                </c:ext>
              </c:extLst>
            </c:dLbl>
            <c:dLbl>
              <c:idx val="20"/>
              <c:layout>
                <c:manualLayout>
                  <c:x val="-5.5437716817087035E-2"/>
                  <c:y val="-1.5700344191211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172-41A1-8D96-9FB99A4DD254}"/>
                </c:ext>
              </c:extLst>
            </c:dLbl>
            <c:dLbl>
              <c:idx val="21"/>
              <c:layout>
                <c:manualLayout>
                  <c:x val="-1.7889132778578794E-2"/>
                  <c:y val="-2.5197401542957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172-41A1-8D96-9FB99A4DD254}"/>
                </c:ext>
              </c:extLst>
            </c:dLbl>
            <c:dLbl>
              <c:idx val="22"/>
              <c:layout>
                <c:manualLayout>
                  <c:x val="-9.2118029703970143E-3"/>
                  <c:y val="-5.64460888253878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40024231140017E-2"/>
                      <c:h val="6.23146128584930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A172-41A1-8D96-9FB99A4DD254}"/>
                </c:ext>
              </c:extLst>
            </c:dLbl>
            <c:dLbl>
              <c:idx val="23"/>
              <c:layout>
                <c:manualLayout>
                  <c:x val="-2.5182942264628565E-2"/>
                  <c:y val="3.658704549031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172-41A1-8D96-9FB99A4DD254}"/>
                </c:ext>
              </c:extLst>
            </c:dLbl>
            <c:dLbl>
              <c:idx val="24"/>
              <c:layout>
                <c:manualLayout>
                  <c:x val="-2.0220578893524733E-2"/>
                  <c:y val="-3.5661391992567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72-41A1-8D96-9FB99A4DD254}"/>
                </c:ext>
              </c:extLst>
            </c:dLbl>
            <c:dLbl>
              <c:idx val="25"/>
              <c:layout>
                <c:manualLayout>
                  <c:x val="-2.31383842691824E-2"/>
                  <c:y val="3.68244736832944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A172-41A1-8D96-9FB99A4DD254}"/>
                </c:ext>
              </c:extLst>
            </c:dLbl>
            <c:dLbl>
              <c:idx val="26"/>
              <c:layout>
                <c:manualLayout>
                  <c:x val="-9.049228508449669E-3"/>
                  <c:y val="-1.1456499348996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172-41A1-8D96-9FB99A4DD254}"/>
                </c:ext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72-41A1-8D96-9FB99A4DD2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(+FE)'!$B$50:$B$69</c:f>
              <c:strCache>
                <c:ptCount val="20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'M-12 (+FE)'!$C$50:$C$69</c:f>
              <c:numCache>
                <c:formatCode>0.0</c:formatCode>
                <c:ptCount val="20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A172-41A1-8D96-9FB99A4DD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906176"/>
        <c:axId val="131912064"/>
      </c:lineChart>
      <c:dateAx>
        <c:axId val="13190617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31912064"/>
        <c:crossesAt val="0"/>
        <c:auto val="0"/>
        <c:lblOffset val="100"/>
        <c:baseTimeUnit val="days"/>
      </c:dateAx>
      <c:valAx>
        <c:axId val="131912064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3190617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m-12'!$B$51:$B$70</c:f>
              <c:strCache>
                <c:ptCount val="20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'CPI_HICP m-12'!$C$51:$C$70</c:f>
              <c:numCache>
                <c:formatCode>0.0</c:formatCode>
                <c:ptCount val="20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35-4D64-B645-2C4E9DC32A13}"/>
            </c:ext>
          </c:extLst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m-12'!$B$51:$B$70</c:f>
              <c:strCache>
                <c:ptCount val="20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'CPI_HICP m-12'!$E$51:$E$69</c:f>
              <c:numCache>
                <c:formatCode>0.0</c:formatCode>
                <c:ptCount val="19"/>
                <c:pt idx="0">
                  <c:v>3.8</c:v>
                </c:pt>
                <c:pt idx="1">
                  <c:v>4.0999999999999996</c:v>
                </c:pt>
                <c:pt idx="2">
                  <c:v>3.9</c:v>
                </c:pt>
                <c:pt idx="3">
                  <c:v>2.9</c:v>
                </c:pt>
                <c:pt idx="4">
                  <c:v>3.4</c:v>
                </c:pt>
                <c:pt idx="5">
                  <c:v>3.8</c:v>
                </c:pt>
                <c:pt idx="6">
                  <c:v>3.7</c:v>
                </c:pt>
                <c:pt idx="7">
                  <c:v>3.7</c:v>
                </c:pt>
                <c:pt idx="8">
                  <c:v>3.8</c:v>
                </c:pt>
                <c:pt idx="9">
                  <c:v>3.8</c:v>
                </c:pt>
                <c:pt idx="10">
                  <c:v>3.7</c:v>
                </c:pt>
                <c:pt idx="11">
                  <c:v>3.4</c:v>
                </c:pt>
                <c:pt idx="12">
                  <c:v>3.6</c:v>
                </c:pt>
                <c:pt idx="13">
                  <c:v>3.6</c:v>
                </c:pt>
                <c:pt idx="14">
                  <c:v>4.4000000000000004</c:v>
                </c:pt>
                <c:pt idx="15">
                  <c:v>5.0999999999999996</c:v>
                </c:pt>
                <c:pt idx="16">
                  <c:v>4.5999999999999996</c:v>
                </c:pt>
                <c:pt idx="17">
                  <c:v>4.0999999999999996</c:v>
                </c:pt>
                <c:pt idx="18">
                  <c:v>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35-4D64-B645-2C4E9DC32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096768"/>
        <c:axId val="132098304"/>
      </c:lineChart>
      <c:catAx>
        <c:axId val="132096768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3209830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32098304"/>
        <c:scaling>
          <c:orientation val="minMax"/>
          <c:max val="6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32096768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024149155839112"/>
          <c:y val="0.64419119372668343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0.06933</cdr:x>
      <cdr:y>0.92803</cdr:y>
    </cdr:from>
    <cdr:to>
      <cdr:x>0.58435</cdr:x>
      <cdr:y>0.99212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355146" y="2337759"/>
          <a:ext cx="2638220" cy="161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0.58208</cdr:x>
      <cdr:y>0.92803</cdr:y>
    </cdr:from>
    <cdr:to>
      <cdr:x>0.93126</cdr:x>
      <cdr:y>0.99136</cdr:y>
    </cdr:to>
    <cdr:sp macro="" textlink="">
      <cdr:nvSpPr>
        <cdr:cNvPr id="9" name="pole tekstowe 1"/>
        <cdr:cNvSpPr txBox="1"/>
      </cdr:nvSpPr>
      <cdr:spPr>
        <a:xfrm xmlns:a="http://schemas.openxmlformats.org/drawingml/2006/main">
          <a:off x="2981739" y="2337759"/>
          <a:ext cx="1788668" cy="1595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0.58399</cdr:x>
      <cdr:y>0.86568</cdr:y>
    </cdr:from>
    <cdr:to>
      <cdr:x>0.58399</cdr:x>
      <cdr:y>0.93585</cdr:y>
    </cdr:to>
    <cdr:cxnSp macro="">
      <cdr:nvCxnSpPr>
        <cdr:cNvPr id="7" name="Łącznik prosty 6"/>
        <cdr:cNvCxnSpPr/>
      </cdr:nvCxnSpPr>
      <cdr:spPr>
        <a:xfrm xmlns:a="http://schemas.openxmlformats.org/drawingml/2006/main">
          <a:off x="2991494" y="2180698"/>
          <a:ext cx="0" cy="176762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0.06835</cdr:x>
      <cdr:y>0.52474</cdr:y>
    </cdr:from>
    <cdr:to>
      <cdr:x>0.9289</cdr:x>
      <cdr:y>0.52638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228" y="1347509"/>
          <a:ext cx="4422242" cy="420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0" y="0"/>
          <a:ext cx="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0.06735</cdr:x>
      <cdr:y>0.38777</cdr:y>
    </cdr:from>
    <cdr:to>
      <cdr:x>0.9278</cdr:x>
      <cdr:y>0.38846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44067" y="1013548"/>
          <a:ext cx="4395404" cy="1803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0.06978</cdr:x>
      <cdr:y>0.93048</cdr:y>
    </cdr:from>
    <cdr:to>
      <cdr:x>0.58565</cdr:x>
      <cdr:y>0.99947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7451" y="2458559"/>
          <a:ext cx="2642567" cy="1822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0.38085</cdr:x>
      <cdr:y>0.31792</cdr:y>
    </cdr:from>
    <cdr:to>
      <cdr:x>0.68189</cdr:x>
      <cdr:y>0.41558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946569" y="820329"/>
          <a:ext cx="1538639" cy="2519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0.3807</cdr:x>
      <cdr:y>0.66151</cdr:y>
    </cdr:from>
    <cdr:to>
      <cdr:x>0.68165</cdr:x>
      <cdr:y>0.75917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950171" y="1747865"/>
          <a:ext cx="1541630" cy="2580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0.72237</cdr:x>
      <cdr:y>0.51935</cdr:y>
    </cdr:from>
    <cdr:to>
      <cdr:x>0.91388</cdr:x>
      <cdr:y>0.6002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00370" y="1372245"/>
          <a:ext cx="981019" cy="2136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0.58689</cdr:x>
      <cdr:y>0.93048</cdr:y>
    </cdr:from>
    <cdr:to>
      <cdr:x>0.92863</cdr:x>
      <cdr:y>0.99947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3006370" y="2458559"/>
          <a:ext cx="1750579" cy="1822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0.06937</cdr:x>
      <cdr:y>0.65934</cdr:y>
    </cdr:from>
    <cdr:to>
      <cdr:x>0.92721</cdr:x>
      <cdr:y>0.66098</cdr:y>
    </cdr:to>
    <cdr:sp macro="" textlink="">
      <cdr:nvSpPr>
        <cdr:cNvPr id="12" name="Łącznik prosty 11"/>
        <cdr:cNvSpPr/>
      </cdr:nvSpPr>
      <cdr:spPr bwMode="auto">
        <a:xfrm xmlns:a="http://schemas.openxmlformats.org/drawingml/2006/main">
          <a:off x="355359" y="1742127"/>
          <a:ext cx="4394321" cy="433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0.06514</cdr:x>
      <cdr:y>0.91945</cdr:y>
    </cdr:from>
    <cdr:to>
      <cdr:x>0.5848</cdr:x>
      <cdr:y>0.99952</cdr:y>
    </cdr:to>
    <cdr:sp macro="" textlink="">
      <cdr:nvSpPr>
        <cdr:cNvPr id="11" name="pole tekstowe 1"/>
        <cdr:cNvSpPr txBox="1"/>
      </cdr:nvSpPr>
      <cdr:spPr>
        <a:xfrm xmlns:a="http://schemas.openxmlformats.org/drawingml/2006/main">
          <a:off x="333683" y="2272352"/>
          <a:ext cx="2661981" cy="1978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0.58512</cdr:x>
      <cdr:y>0.85154</cdr:y>
    </cdr:from>
    <cdr:to>
      <cdr:x>0.58512</cdr:x>
      <cdr:y>0.92578</cdr:y>
    </cdr:to>
    <cdr:cxnSp macro="">
      <cdr:nvCxnSpPr>
        <cdr:cNvPr id="3" name="Łącznik prosty 2"/>
        <cdr:cNvCxnSpPr/>
      </cdr:nvCxnSpPr>
      <cdr:spPr bwMode="auto">
        <a:xfrm xmlns:a="http://schemas.openxmlformats.org/drawingml/2006/main">
          <a:off x="2997325" y="2104513"/>
          <a:ext cx="0" cy="183478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  <cdr:relSizeAnchor xmlns:cdr="http://schemas.openxmlformats.org/drawingml/2006/chartDrawing">
    <cdr:from>
      <cdr:x>0.17479</cdr:x>
      <cdr:y>0.6128</cdr:y>
    </cdr:from>
    <cdr:to>
      <cdr:x>0.4444</cdr:x>
      <cdr:y>0.70144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895350" y="1514475"/>
          <a:ext cx="13811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0.58347</cdr:x>
      <cdr:y>0.92221</cdr:y>
    </cdr:from>
    <cdr:to>
      <cdr:x>0.93249</cdr:x>
      <cdr:y>0.99952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988851" y="2279176"/>
          <a:ext cx="1787871" cy="1910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2021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CPI_08_2021.docx.docx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STAT\POCIASKB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0988614C-C79C-4EB0-AA19-761209718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09B3D-C365-4E2C-9B86-CDEAAB28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2021-06-14T12:53:00Z</cp:lastPrinted>
  <dcterms:created xsi:type="dcterms:W3CDTF">2021-09-15T06:25:00Z</dcterms:created>
  <dcterms:modified xsi:type="dcterms:W3CDTF">2021-09-15T06:25:00Z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