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23" w:rsidRPr="006E1DCF" w:rsidRDefault="00685123" w:rsidP="00685123">
      <w:pPr>
        <w:pStyle w:val="tytuinformacji"/>
        <w:rPr>
          <w:shd w:val="clear" w:color="auto" w:fill="FFFFFF"/>
        </w:rPr>
      </w:pPr>
      <w:bookmarkStart w:id="0" w:name="_GoBack"/>
      <w:bookmarkEnd w:id="0"/>
      <w:r w:rsidRPr="006E1DCF">
        <w:t>Wskaźniki cen towarów i usł</w:t>
      </w:r>
      <w:r w:rsidR="00083159">
        <w:t>u</w:t>
      </w:r>
      <w:r w:rsidR="00203B13">
        <w:t>g konsumpcyjnych w styczniu 2021</w:t>
      </w:r>
      <w:r w:rsidRPr="006E1DCF">
        <w:t xml:space="preserve"> r. (dane wstępne</w:t>
      </w:r>
      <w:r w:rsidR="00A54FF9" w:rsidRPr="00072E75">
        <w:rPr>
          <w:vertAlign w:val="superscript"/>
        </w:rPr>
        <w:footnoteReference w:id="1"/>
      </w:r>
      <w:r w:rsidRPr="006E1DCF">
        <w:t>)</w:t>
      </w:r>
    </w:p>
    <w:p w:rsidR="00393761" w:rsidRPr="00FF39EB" w:rsidRDefault="00393761" w:rsidP="00074DD8">
      <w:pPr>
        <w:pStyle w:val="tytuinformacji"/>
        <w:rPr>
          <w:sz w:val="32"/>
          <w:highlight w:val="yellow"/>
        </w:rPr>
      </w:pPr>
    </w:p>
    <w:p w:rsidR="00083159" w:rsidRPr="004A6115" w:rsidRDefault="00ED3F9E" w:rsidP="00685123">
      <w:pPr>
        <w:pStyle w:val="LID"/>
        <w:contextualSpacing/>
      </w:pPr>
      <w:r w:rsidRPr="004A6115">
        <w:t xml:space="preserve">Według wstępnych </w:t>
      </w:r>
      <w:r w:rsidR="00F7780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44" type="#_x0000_t202" style="position:absolute;margin-left:0;margin-top:5.45pt;width:2in;height:94.5pt;z-index:251748352;visibility:visible;mso-wrap-distance-top:3.6pt;mso-wrap-distance-bottom:3.6pt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<v:textbox style="mso-next-textbox:#Pole tekstowe 2">
              <w:txbxContent>
                <w:p w:rsidR="00083159" w:rsidRPr="00D538E4" w:rsidRDefault="00083159" w:rsidP="00083159">
                  <w:pPr>
                    <w:spacing w:after="0" w:line="240" w:lineRule="auto"/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</w:pPr>
                  <w:r w:rsidRPr="00C61795">
                    <w:rPr>
                      <w:rFonts w:asciiTheme="minorHAnsi" w:hAnsiTheme="minorHAnsi"/>
                      <w:b/>
                      <w:noProof/>
                      <w:color w:val="001D77"/>
                      <w:sz w:val="22"/>
                      <w:lang w:eastAsia="pl-PL"/>
                    </w:rPr>
                    <w:drawing>
                      <wp:inline distT="0" distB="0" distL="0" distR="0" wp14:anchorId="7B0A8D4D" wp14:editId="5EDBC592">
                        <wp:extent cx="334645" cy="334645"/>
                        <wp:effectExtent l="0" t="0" r="8255" b="8255"/>
                        <wp:docPr id="2" name="Obraz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645" cy="334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61795">
                    <w:rPr>
                      <w:noProof/>
                      <w:color w:val="001D77"/>
                      <w:lang w:eastAsia="pl-PL"/>
                    </w:rPr>
                    <w:t xml:space="preserve"> </w:t>
                  </w:r>
                  <w:r w:rsidR="006B3D0D"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2</w:t>
                  </w:r>
                  <w:r w:rsidRPr="002829B6"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,</w:t>
                  </w:r>
                  <w:r w:rsidR="006B3D0D"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7</w:t>
                  </w:r>
                  <w:r w:rsidRPr="002829B6"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%</w:t>
                  </w:r>
                </w:p>
                <w:p w:rsidR="00083159" w:rsidRDefault="00083159" w:rsidP="00083159">
                  <w:pPr>
                    <w:pStyle w:val="tekstnaniebieskimtle"/>
                  </w:pPr>
                  <w:r>
                    <w:t xml:space="preserve">wzrost w porównaniu </w:t>
                  </w:r>
                </w:p>
                <w:p w:rsidR="00083159" w:rsidRDefault="00083159" w:rsidP="00083159">
                  <w:pPr>
                    <w:pStyle w:val="tekstnaniebieskimtle"/>
                  </w:pPr>
                  <w:r>
                    <w:t xml:space="preserve">z analogicznym miesiącem </w:t>
                  </w:r>
                </w:p>
                <w:p w:rsidR="00083159" w:rsidRPr="00D538E4" w:rsidRDefault="00083159" w:rsidP="00083159">
                  <w:pPr>
                    <w:pStyle w:val="tekstnaniebieskimtle"/>
                    <w:rPr>
                      <w:color w:val="FFFFFF" w:themeColor="background1"/>
                      <w:sz w:val="18"/>
                      <w:szCs w:val="20"/>
                    </w:rPr>
                  </w:pPr>
                  <w:r>
                    <w:t>poprzedniego roku</w:t>
                  </w:r>
                </w:p>
              </w:txbxContent>
            </v:textbox>
            <w10:wrap type="square" anchorx="margin"/>
          </v:shape>
        </w:pict>
      </w:r>
      <w:r w:rsidRPr="004A6115">
        <w:t>danych w</w:t>
      </w:r>
      <w:r w:rsidR="000A2CAA" w:rsidRPr="004A6115">
        <w:t xml:space="preserve"> styczniu 2021</w:t>
      </w:r>
      <w:r w:rsidR="00685123" w:rsidRPr="004A6115">
        <w:t> r.</w:t>
      </w:r>
      <w:r w:rsidR="00B035BE" w:rsidRPr="00B035BE">
        <w:t xml:space="preserve"> </w:t>
      </w:r>
      <w:r w:rsidR="00B035BE" w:rsidRPr="004A6115">
        <w:t>ceny towarów i usług konsumpcyjnych wzrosły o 2,7%</w:t>
      </w:r>
      <w:r w:rsidR="00B035BE">
        <w:t xml:space="preserve"> </w:t>
      </w:r>
      <w:r w:rsidR="000A2CAA" w:rsidRPr="004A6115">
        <w:t>w porównaniu z analogicznym miesiącem ub. roku</w:t>
      </w:r>
      <w:r w:rsidR="00B035BE">
        <w:t>.</w:t>
      </w:r>
    </w:p>
    <w:p w:rsidR="00685123" w:rsidRPr="006E1DCF" w:rsidRDefault="00083159" w:rsidP="00685123">
      <w:pPr>
        <w:pStyle w:val="LID"/>
        <w:contextualSpacing/>
        <w:rPr>
          <w:shd w:val="clear" w:color="auto" w:fill="FFFFFF"/>
        </w:rPr>
      </w:pPr>
      <w:r w:rsidRPr="004A6115">
        <w:t xml:space="preserve">W stosunku do poprzedniego miesiąca ceny towarów i usług wzrosły o </w:t>
      </w:r>
      <w:r w:rsidR="004A6115" w:rsidRPr="004A6115">
        <w:t>1,2</w:t>
      </w:r>
      <w:r w:rsidRPr="004A6115">
        <w:t>%.</w:t>
      </w:r>
    </w:p>
    <w:p w:rsidR="00685123" w:rsidRPr="00FF39EB" w:rsidRDefault="00685123" w:rsidP="00685123">
      <w:pPr>
        <w:pStyle w:val="LID"/>
        <w:contextualSpacing/>
        <w:rPr>
          <w:highlight w:val="yellow"/>
        </w:rPr>
      </w:pPr>
    </w:p>
    <w:p w:rsidR="00685123" w:rsidRPr="00FF39EB" w:rsidRDefault="00685123" w:rsidP="00685123">
      <w:pPr>
        <w:pStyle w:val="LID"/>
        <w:contextualSpacing/>
        <w:rPr>
          <w:highlight w:val="yellow"/>
        </w:rPr>
      </w:pPr>
    </w:p>
    <w:p w:rsidR="00685123" w:rsidRPr="00FF39EB" w:rsidRDefault="00685123" w:rsidP="00685123">
      <w:pPr>
        <w:pStyle w:val="LID"/>
        <w:contextualSpacing/>
        <w:rPr>
          <w:highlight w:val="yellow"/>
        </w:rPr>
      </w:pPr>
    </w:p>
    <w:p w:rsidR="00685123" w:rsidRPr="00FF39EB" w:rsidRDefault="00685123" w:rsidP="0006476D">
      <w:pPr>
        <w:pStyle w:val="LID"/>
        <w:spacing w:line="220" w:lineRule="exact"/>
        <w:rPr>
          <w:highlight w:val="yellow"/>
        </w:rPr>
      </w:pPr>
    </w:p>
    <w:tbl>
      <w:tblPr>
        <w:tblStyle w:val="Siatkatabelijasna11"/>
        <w:tblpPr w:leftFromText="142" w:rightFromText="142" w:vertAnchor="text" w:horzAnchor="margin" w:tblpXSpec="center" w:tblpY="341"/>
        <w:tblW w:w="8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571"/>
        <w:gridCol w:w="2251"/>
        <w:gridCol w:w="2246"/>
      </w:tblGrid>
      <w:tr w:rsidR="00685123" w:rsidRPr="00FF39EB" w:rsidTr="00685123">
        <w:trPr>
          <w:trHeight w:val="57"/>
        </w:trPr>
        <w:tc>
          <w:tcPr>
            <w:tcW w:w="3571" w:type="dxa"/>
            <w:vMerge w:val="restart"/>
            <w:vAlign w:val="center"/>
          </w:tcPr>
          <w:p w:rsidR="00685123" w:rsidRPr="006E1DCF" w:rsidRDefault="00685123" w:rsidP="0006476D">
            <w:pPr>
              <w:pStyle w:val="Nagwek1"/>
              <w:tabs>
                <w:tab w:val="right" w:leader="dot" w:pos="4139"/>
              </w:tabs>
              <w:spacing w:line="220" w:lineRule="exact"/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6E1DCF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4497" w:type="dxa"/>
            <w:gridSpan w:val="2"/>
            <w:vAlign w:val="center"/>
          </w:tcPr>
          <w:p w:rsidR="00685123" w:rsidRPr="006E1DCF" w:rsidRDefault="00D95A3B" w:rsidP="0006476D">
            <w:pPr>
              <w:pStyle w:val="Nagwek3"/>
              <w:spacing w:before="0" w:line="220" w:lineRule="exact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I 2021</w:t>
            </w:r>
          </w:p>
        </w:tc>
      </w:tr>
      <w:tr w:rsidR="00685123" w:rsidRPr="00FF39EB" w:rsidTr="00685123">
        <w:trPr>
          <w:trHeight w:val="57"/>
        </w:trPr>
        <w:tc>
          <w:tcPr>
            <w:tcW w:w="3571" w:type="dxa"/>
            <w:vMerge/>
            <w:tcBorders>
              <w:bottom w:val="single" w:sz="12" w:space="0" w:color="212492"/>
            </w:tcBorders>
            <w:vAlign w:val="center"/>
          </w:tcPr>
          <w:p w:rsidR="00685123" w:rsidRPr="006E1DCF" w:rsidRDefault="00685123" w:rsidP="0006476D">
            <w:pPr>
              <w:pStyle w:val="Nagwek1"/>
              <w:tabs>
                <w:tab w:val="right" w:leader="dot" w:pos="4139"/>
              </w:tabs>
              <w:spacing w:line="220" w:lineRule="exact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51" w:type="dxa"/>
            <w:tcBorders>
              <w:bottom w:val="single" w:sz="12" w:space="0" w:color="212492"/>
            </w:tcBorders>
            <w:vAlign w:val="center"/>
          </w:tcPr>
          <w:p w:rsidR="00685123" w:rsidRPr="006E1DCF" w:rsidRDefault="00325696" w:rsidP="00083159">
            <w:pPr>
              <w:spacing w:line="22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 2020</w:t>
            </w:r>
            <w:r w:rsidR="00685123" w:rsidRPr="006E1DCF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2246" w:type="dxa"/>
            <w:tcBorders>
              <w:bottom w:val="single" w:sz="12" w:space="0" w:color="212492"/>
            </w:tcBorders>
            <w:vAlign w:val="center"/>
          </w:tcPr>
          <w:p w:rsidR="00685123" w:rsidRPr="006E1DCF" w:rsidRDefault="00325696" w:rsidP="0006476D">
            <w:pPr>
              <w:spacing w:line="22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XII 2020</w:t>
            </w:r>
            <w:r w:rsidR="00685123" w:rsidRPr="006E1DCF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685123" w:rsidRPr="00FF39EB" w:rsidTr="00685123">
        <w:trPr>
          <w:trHeight w:val="57"/>
        </w:trPr>
        <w:tc>
          <w:tcPr>
            <w:tcW w:w="3571" w:type="dxa"/>
            <w:tcBorders>
              <w:top w:val="single" w:sz="12" w:space="0" w:color="212492"/>
            </w:tcBorders>
            <w:vAlign w:val="center"/>
          </w:tcPr>
          <w:p w:rsidR="00685123" w:rsidRPr="00072E75" w:rsidRDefault="00685123" w:rsidP="0006476D">
            <w:pPr>
              <w:pStyle w:val="Nagwek5"/>
              <w:tabs>
                <w:tab w:val="right" w:leader="dot" w:pos="4156"/>
              </w:tabs>
              <w:spacing w:before="0" w:line="22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072E75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2251" w:type="dxa"/>
            <w:tcBorders>
              <w:top w:val="single" w:sz="12" w:space="0" w:color="212492"/>
            </w:tcBorders>
            <w:vAlign w:val="center"/>
          </w:tcPr>
          <w:p w:rsidR="00685123" w:rsidRPr="00FC1289" w:rsidRDefault="00EF5FF9" w:rsidP="0006476D">
            <w:pPr>
              <w:spacing w:line="220" w:lineRule="exact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EF5FF9">
              <w:rPr>
                <w:rFonts w:cs="Arial"/>
                <w:b/>
                <w:color w:val="000000" w:themeColor="text1"/>
                <w:sz w:val="16"/>
                <w:szCs w:val="16"/>
              </w:rPr>
              <w:t>102,7</w:t>
            </w:r>
          </w:p>
        </w:tc>
        <w:tc>
          <w:tcPr>
            <w:tcW w:w="2246" w:type="dxa"/>
            <w:tcBorders>
              <w:top w:val="single" w:sz="12" w:space="0" w:color="212492"/>
            </w:tcBorders>
            <w:vAlign w:val="center"/>
          </w:tcPr>
          <w:p w:rsidR="00685123" w:rsidRPr="00FC1289" w:rsidRDefault="00EF5FF9" w:rsidP="0006476D">
            <w:pPr>
              <w:spacing w:line="220" w:lineRule="exact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EF5FF9">
              <w:rPr>
                <w:rFonts w:cs="Arial"/>
                <w:b/>
                <w:color w:val="000000" w:themeColor="text1"/>
                <w:sz w:val="16"/>
                <w:szCs w:val="16"/>
              </w:rPr>
              <w:t>101,2</w:t>
            </w:r>
          </w:p>
        </w:tc>
      </w:tr>
      <w:tr w:rsidR="00685123" w:rsidRPr="00FF39EB" w:rsidTr="00685123">
        <w:trPr>
          <w:trHeight w:val="57"/>
        </w:trPr>
        <w:tc>
          <w:tcPr>
            <w:tcW w:w="3571" w:type="dxa"/>
            <w:vAlign w:val="center"/>
          </w:tcPr>
          <w:p w:rsidR="00685123" w:rsidRPr="00072E75" w:rsidRDefault="00685123" w:rsidP="0006476D">
            <w:pPr>
              <w:pStyle w:val="Nagwek8"/>
              <w:tabs>
                <w:tab w:val="right" w:leader="dot" w:pos="4156"/>
              </w:tabs>
              <w:spacing w:before="0" w:line="220" w:lineRule="exact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072E75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Żywność, napoje bezalkoholowe </w:t>
            </w:r>
            <w:r w:rsidRPr="00072E75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i alkoholowe oraz wyroby tytoniowe</w:t>
            </w:r>
          </w:p>
        </w:tc>
        <w:tc>
          <w:tcPr>
            <w:tcW w:w="2251" w:type="dxa"/>
            <w:vAlign w:val="center"/>
          </w:tcPr>
          <w:p w:rsidR="00685123" w:rsidRPr="00FC1289" w:rsidRDefault="00EF5FF9" w:rsidP="0006476D">
            <w:pPr>
              <w:spacing w:line="22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F5FF9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2246" w:type="dxa"/>
            <w:vAlign w:val="center"/>
          </w:tcPr>
          <w:p w:rsidR="00685123" w:rsidRPr="00FC1289" w:rsidRDefault="00EF5FF9" w:rsidP="0006476D">
            <w:pPr>
              <w:spacing w:line="22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F5FF9">
              <w:rPr>
                <w:rFonts w:cs="Arial"/>
                <w:color w:val="000000" w:themeColor="text1"/>
                <w:sz w:val="16"/>
                <w:szCs w:val="16"/>
              </w:rPr>
              <w:t>101,6</w:t>
            </w:r>
          </w:p>
        </w:tc>
      </w:tr>
      <w:tr w:rsidR="00685123" w:rsidRPr="00FF39EB" w:rsidTr="00685123">
        <w:trPr>
          <w:trHeight w:val="57"/>
        </w:trPr>
        <w:tc>
          <w:tcPr>
            <w:tcW w:w="3571" w:type="dxa"/>
            <w:vAlign w:val="center"/>
          </w:tcPr>
          <w:p w:rsidR="00685123" w:rsidRPr="00764E44" w:rsidRDefault="00685123" w:rsidP="00C1320A">
            <w:pPr>
              <w:tabs>
                <w:tab w:val="right" w:leader="dot" w:pos="4156"/>
              </w:tabs>
              <w:spacing w:line="220" w:lineRule="exact"/>
              <w:contextualSpacing/>
              <w:rPr>
                <w:color w:val="000000" w:themeColor="text1"/>
                <w:sz w:val="16"/>
                <w:szCs w:val="16"/>
                <w:lang w:val="en-US"/>
              </w:rPr>
            </w:pPr>
            <w:r w:rsidRPr="00072E75">
              <w:rPr>
                <w:rFonts w:cstheme="majorBidi"/>
                <w:bCs/>
                <w:color w:val="000000" w:themeColor="text1"/>
                <w:sz w:val="16"/>
                <w:szCs w:val="16"/>
              </w:rPr>
              <w:t>Mieszkanie</w:t>
            </w:r>
          </w:p>
        </w:tc>
        <w:tc>
          <w:tcPr>
            <w:tcW w:w="2251" w:type="dxa"/>
            <w:vAlign w:val="center"/>
          </w:tcPr>
          <w:p w:rsidR="00685123" w:rsidRPr="00FC1289" w:rsidRDefault="00EF5FF9" w:rsidP="0006476D">
            <w:pPr>
              <w:spacing w:line="220" w:lineRule="exact"/>
              <w:jc w:val="right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EF5FF9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106,4</w:t>
            </w:r>
          </w:p>
        </w:tc>
        <w:tc>
          <w:tcPr>
            <w:tcW w:w="2246" w:type="dxa"/>
            <w:vAlign w:val="center"/>
          </w:tcPr>
          <w:p w:rsidR="00685123" w:rsidRPr="00FC1289" w:rsidRDefault="00EF5FF9" w:rsidP="0006476D">
            <w:pPr>
              <w:spacing w:line="220" w:lineRule="exact"/>
              <w:jc w:val="right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EF5FF9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102,5</w:t>
            </w:r>
          </w:p>
        </w:tc>
      </w:tr>
      <w:tr w:rsidR="00685123" w:rsidRPr="00FF39EB" w:rsidTr="00685123">
        <w:trPr>
          <w:trHeight w:val="57"/>
        </w:trPr>
        <w:tc>
          <w:tcPr>
            <w:tcW w:w="3571" w:type="dxa"/>
            <w:vAlign w:val="center"/>
          </w:tcPr>
          <w:p w:rsidR="00685123" w:rsidRPr="00072E75" w:rsidRDefault="00685123" w:rsidP="0006476D">
            <w:pPr>
              <w:spacing w:line="220" w:lineRule="exact"/>
              <w:rPr>
                <w:rFonts w:cs="Arial"/>
                <w:color w:val="000000" w:themeColor="text1"/>
                <w:sz w:val="16"/>
                <w:szCs w:val="16"/>
              </w:rPr>
            </w:pPr>
            <w:r w:rsidRPr="00072E75">
              <w:rPr>
                <w:rFonts w:cs="Arial"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2251" w:type="dxa"/>
            <w:vAlign w:val="center"/>
          </w:tcPr>
          <w:p w:rsidR="00685123" w:rsidRPr="00FC1289" w:rsidRDefault="00EF5FF9" w:rsidP="0006476D">
            <w:pPr>
              <w:spacing w:line="22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F5FF9">
              <w:rPr>
                <w:rFonts w:cs="Arial"/>
                <w:color w:val="000000" w:themeColor="text1"/>
                <w:sz w:val="16"/>
                <w:szCs w:val="16"/>
              </w:rPr>
              <w:t>96,3</w:t>
            </w:r>
          </w:p>
        </w:tc>
        <w:tc>
          <w:tcPr>
            <w:tcW w:w="2246" w:type="dxa"/>
            <w:vAlign w:val="center"/>
          </w:tcPr>
          <w:p w:rsidR="00685123" w:rsidRPr="00FC1289" w:rsidRDefault="00EF5FF9" w:rsidP="0006476D">
            <w:pPr>
              <w:spacing w:line="22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F5FF9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</w:tr>
    </w:tbl>
    <w:p w:rsidR="00685123" w:rsidRPr="006E1DCF" w:rsidRDefault="00685123" w:rsidP="00685123">
      <w:pPr>
        <w:pStyle w:val="LID"/>
        <w:spacing w:before="0" w:after="0"/>
        <w:rPr>
          <w:shd w:val="clear" w:color="auto" w:fill="FFFFFF"/>
        </w:rPr>
      </w:pPr>
      <w:r w:rsidRPr="006E1DCF">
        <w:t>Tablica 1.</w:t>
      </w:r>
      <w:r w:rsidRPr="006E1DCF">
        <w:rPr>
          <w:shd w:val="clear" w:color="auto" w:fill="FFFFFF"/>
        </w:rPr>
        <w:t xml:space="preserve"> </w:t>
      </w:r>
      <w:r w:rsidRPr="006E1DCF">
        <w:rPr>
          <w:bCs/>
          <w:shd w:val="clear" w:color="auto" w:fill="FFFFFF"/>
        </w:rPr>
        <w:t>Wskaźniki cen towarów i usł</w:t>
      </w:r>
      <w:r w:rsidR="00083159">
        <w:rPr>
          <w:bCs/>
          <w:shd w:val="clear" w:color="auto" w:fill="FFFFFF"/>
        </w:rPr>
        <w:t xml:space="preserve">ug konsumpcyjnych w </w:t>
      </w:r>
      <w:r w:rsidR="00B035BE">
        <w:rPr>
          <w:bCs/>
          <w:shd w:val="clear" w:color="auto" w:fill="FFFFFF"/>
        </w:rPr>
        <w:t>styczniu 2021</w:t>
      </w:r>
      <w:r w:rsidRPr="006E1DCF">
        <w:rPr>
          <w:bCs/>
          <w:shd w:val="clear" w:color="auto" w:fill="FFFFFF"/>
        </w:rPr>
        <w:t xml:space="preserve"> r.</w:t>
      </w:r>
    </w:p>
    <w:p w:rsidR="00685123" w:rsidRPr="0006476D" w:rsidRDefault="00685123" w:rsidP="0006476D">
      <w:pPr>
        <w:pStyle w:val="tytuwykresu"/>
        <w:spacing w:before="0" w:after="0"/>
        <w:rPr>
          <w:sz w:val="19"/>
          <w:szCs w:val="19"/>
          <w:highlight w:val="yellow"/>
        </w:rPr>
      </w:pPr>
    </w:p>
    <w:p w:rsidR="00685123" w:rsidRDefault="00685123" w:rsidP="00685123">
      <w:pPr>
        <w:pStyle w:val="tytuwykresu"/>
        <w:spacing w:before="0"/>
        <w:rPr>
          <w:noProof/>
          <w:lang w:eastAsia="pl-PL"/>
        </w:rPr>
      </w:pPr>
      <w:r w:rsidRPr="00764E44">
        <w:rPr>
          <w:noProof/>
          <w:lang w:eastAsia="pl-PL"/>
        </w:rPr>
        <w:t xml:space="preserve">Wykres 1. Ceny towarów i usług </w:t>
      </w:r>
      <w:r w:rsidRPr="0006476D">
        <w:rPr>
          <w:noProof/>
          <w:lang w:eastAsia="pl-PL"/>
        </w:rPr>
        <w:t>konsumpcyjnych</w:t>
      </w:r>
      <w:r w:rsidR="00764E44" w:rsidRPr="0006476D">
        <w:rPr>
          <w:noProof/>
          <w:color w:val="000000" w:themeColor="text1"/>
          <w:lang w:eastAsia="pl-PL"/>
        </w:rPr>
        <w:t>*</w:t>
      </w:r>
      <w:r w:rsidRPr="0006476D">
        <w:rPr>
          <w:noProof/>
          <w:lang w:eastAsia="pl-PL"/>
        </w:rPr>
        <w:t xml:space="preserve"> (</w:t>
      </w:r>
      <w:r w:rsidRPr="00764E44">
        <w:rPr>
          <w:noProof/>
          <w:lang w:eastAsia="pl-PL"/>
        </w:rPr>
        <w:t xml:space="preserve">zmiana w % do </w:t>
      </w:r>
      <w:r w:rsidRPr="00C54089">
        <w:rPr>
          <w:noProof/>
          <w:lang w:eastAsia="pl-PL"/>
        </w:rPr>
        <w:t>okresu poprzedniego)</w:t>
      </w:r>
    </w:p>
    <w:p w:rsidR="00C54089" w:rsidRDefault="003F78AC" w:rsidP="003F78AC">
      <w:pPr>
        <w:pStyle w:val="tytuwykresu"/>
        <w:spacing w:before="0"/>
        <w:rPr>
          <w:noProof/>
          <w:color w:val="000000" w:themeColor="text1"/>
          <w:sz w:val="20"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52448" behindDoc="0" locked="0" layoutInCell="1" allowOverlap="1" wp14:anchorId="763C70DB" wp14:editId="07C284B0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5110480" cy="2544445"/>
            <wp:effectExtent l="0" t="0" r="0" b="8255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E44" w:rsidRPr="0006476D" w:rsidRDefault="00764E44" w:rsidP="0006476D">
      <w:pPr>
        <w:spacing w:before="0" w:line="200" w:lineRule="exact"/>
        <w:rPr>
          <w:noProof/>
          <w:color w:val="000000" w:themeColor="text1"/>
          <w:sz w:val="16"/>
          <w:szCs w:val="19"/>
          <w:lang w:eastAsia="pl-PL"/>
        </w:rPr>
      </w:pPr>
      <w:r w:rsidRPr="0006476D">
        <w:rPr>
          <w:noProof/>
          <w:color w:val="000000" w:themeColor="text1"/>
          <w:sz w:val="20"/>
          <w:szCs w:val="20"/>
          <w:lang w:eastAsia="pl-PL"/>
        </w:rPr>
        <w:t xml:space="preserve">* </w:t>
      </w:r>
      <w:r w:rsidR="0006476D" w:rsidRPr="0006476D">
        <w:rPr>
          <w:noProof/>
          <w:color w:val="000000" w:themeColor="text1"/>
          <w:sz w:val="16"/>
          <w:szCs w:val="19"/>
          <w:lang w:eastAsia="pl-PL"/>
        </w:rPr>
        <w:t xml:space="preserve">Dane ostateczne z wyjątkiem </w:t>
      </w:r>
      <w:r w:rsidR="000555F3">
        <w:rPr>
          <w:noProof/>
          <w:color w:val="000000" w:themeColor="text1"/>
          <w:sz w:val="16"/>
          <w:szCs w:val="19"/>
          <w:lang w:eastAsia="pl-PL"/>
        </w:rPr>
        <w:t>danych wstępnych za styczeń 2021</w:t>
      </w:r>
      <w:r w:rsidR="0006476D" w:rsidRPr="0006476D">
        <w:rPr>
          <w:noProof/>
          <w:color w:val="000000" w:themeColor="text1"/>
          <w:sz w:val="16"/>
          <w:szCs w:val="19"/>
          <w:lang w:eastAsia="pl-PL"/>
        </w:rPr>
        <w:t xml:space="preserve"> r.</w:t>
      </w:r>
    </w:p>
    <w:p w:rsidR="006F4D05" w:rsidRDefault="006F4D05">
      <w:pPr>
        <w:spacing w:before="0" w:after="160" w:line="259" w:lineRule="auto"/>
        <w:rPr>
          <w:b/>
          <w:spacing w:val="-2"/>
          <w:sz w:val="18"/>
        </w:rPr>
      </w:pPr>
      <w:r>
        <w:br w:type="page"/>
      </w:r>
    </w:p>
    <w:p w:rsidR="00883763" w:rsidRDefault="00F7780F" w:rsidP="007D0C0B">
      <w:pPr>
        <w:pStyle w:val="tytuwykresu"/>
        <w:ind w:left="794" w:hanging="794"/>
        <w:rPr>
          <w:shd w:val="clear" w:color="auto" w:fill="FFFFFF"/>
        </w:rPr>
      </w:pPr>
      <w:r>
        <w:rPr>
          <w:noProof/>
          <w:lang w:eastAsia="pl-PL"/>
        </w:rPr>
        <w:lastRenderedPageBreak/>
        <w:pict>
          <v:shape id="_x0000_s1038" type="#_x0000_t202" style="position:absolute;left:0;text-align:left;margin-left:414.75pt;margin-top:34.25pt;width:135.85pt;height:103.25pt;z-index:-251574272;visibility:visible;mso-wrap-distance-top:3.6pt;mso-wrap-distance-bottom:3.6pt;mso-position-horizontal-relative:text;mso-position-vertical-relative:text;mso-width-relative:margin;mso-height-relative:margin" wrapcoords="0 0" filled="f" stroked="f">
            <v:textbox style="mso-next-textbox:#_x0000_s1038">
              <w:txbxContent>
                <w:p w:rsidR="008B3C98" w:rsidRPr="00BF2F65" w:rsidRDefault="008B3C98" w:rsidP="00767603">
                  <w:pPr>
                    <w:pStyle w:val="Tekstprzypisudolnego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 w:rsidRPr="00F8661E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W</w:t>
                  </w:r>
                  <w:r w:rsidR="001819B2" w:rsidRPr="00F8661E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edług wstępnych danych </w:t>
                  </w:r>
                  <w:r w:rsidR="001819B2" w:rsidRPr="00F8661E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>w</w:t>
                  </w:r>
                  <w:r w:rsidR="00F8661E" w:rsidRPr="00F8661E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 styczniu 2021</w:t>
                  </w:r>
                  <w:r w:rsidRPr="00F8661E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 r. wskaźnik cen towarów i usług konsumpcyjnych znalazł </w:t>
                  </w:r>
                  <w:r w:rsidRPr="00F8661E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 xml:space="preserve">się </w:t>
                  </w:r>
                  <w:r w:rsidR="00C1320A" w:rsidRPr="00F8661E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powyżej </w:t>
                  </w:r>
                  <w:r w:rsidRPr="00F8661E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celu inflacyjnego określonego przez Radę </w:t>
                  </w:r>
                  <w:r w:rsidRPr="00F8661E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 xml:space="preserve">Polityki Pieniężnej </w:t>
                  </w:r>
                  <w:r w:rsidRPr="00F8661E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>(2,5% +/- 1 p. proc.)</w:t>
                  </w:r>
                </w:p>
                <w:p w:rsidR="008B3C98" w:rsidRPr="00BF2F65" w:rsidRDefault="008B3C98" w:rsidP="00883763">
                  <w:pP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</w:p>
              </w:txbxContent>
            </v:textbox>
            <w10:wrap type="tight"/>
          </v:shape>
        </w:pict>
      </w:r>
      <w:r w:rsidR="00C1701E">
        <w:rPr>
          <w:noProof/>
          <w:lang w:eastAsia="pl-PL"/>
        </w:rPr>
        <w:drawing>
          <wp:anchor distT="0" distB="0" distL="114300" distR="114300" simplePos="0" relativeHeight="251753472" behindDoc="0" locked="0" layoutInCell="1" allowOverlap="1" wp14:anchorId="4C690278" wp14:editId="739087B6">
            <wp:simplePos x="0" y="0"/>
            <wp:positionH relativeFrom="column">
              <wp:posOffset>-43180</wp:posOffset>
            </wp:positionH>
            <wp:positionV relativeFrom="paragraph">
              <wp:posOffset>393065</wp:posOffset>
            </wp:positionV>
            <wp:extent cx="5122545" cy="2534285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763" w:rsidRPr="00767603">
        <w:t>Wykres 2.</w:t>
      </w:r>
      <w:r w:rsidR="00883763" w:rsidRPr="00767603">
        <w:rPr>
          <w:shd w:val="clear" w:color="auto" w:fill="FFFFFF"/>
        </w:rPr>
        <w:t xml:space="preserve"> C</w:t>
      </w:r>
      <w:r w:rsidR="00883763" w:rsidRPr="00767603">
        <w:rPr>
          <w:bCs/>
          <w:shd w:val="clear" w:color="auto" w:fill="FFFFFF"/>
        </w:rPr>
        <w:t xml:space="preserve">eny towarów i usług </w:t>
      </w:r>
      <w:r w:rsidR="00883763" w:rsidRPr="00764E44">
        <w:rPr>
          <w:bCs/>
          <w:shd w:val="clear" w:color="auto" w:fill="FFFFFF"/>
        </w:rPr>
        <w:t>konsumpcyjnych</w:t>
      </w:r>
      <w:r w:rsidR="00B600A6" w:rsidRPr="00764E44">
        <w:rPr>
          <w:bCs/>
          <w:shd w:val="clear" w:color="auto" w:fill="FFFFFF"/>
        </w:rPr>
        <w:t>*</w:t>
      </w:r>
      <w:r w:rsidR="0006476D">
        <w:rPr>
          <w:bCs/>
          <w:shd w:val="clear" w:color="auto" w:fill="FFFFFF"/>
        </w:rPr>
        <w:t xml:space="preserve"> </w:t>
      </w:r>
      <w:r w:rsidR="00883763" w:rsidRPr="00764E44">
        <w:rPr>
          <w:shd w:val="clear" w:color="auto" w:fill="FFFFFF"/>
        </w:rPr>
        <w:t>(zmiana</w:t>
      </w:r>
      <w:r w:rsidR="00883763" w:rsidRPr="00767603">
        <w:rPr>
          <w:shd w:val="clear" w:color="auto" w:fill="FFFFFF"/>
        </w:rPr>
        <w:t xml:space="preserve"> w % do analogicznego okresu roku </w:t>
      </w:r>
      <w:r w:rsidR="00F8661E">
        <w:rPr>
          <w:shd w:val="clear" w:color="auto" w:fill="FFFFFF"/>
        </w:rPr>
        <w:br/>
      </w:r>
      <w:r w:rsidR="00883763" w:rsidRPr="00767603">
        <w:rPr>
          <w:shd w:val="clear" w:color="auto" w:fill="FFFFFF"/>
        </w:rPr>
        <w:t>poprzedniego)</w:t>
      </w:r>
    </w:p>
    <w:p w:rsidR="00B600A6" w:rsidRPr="00CE0E7C" w:rsidRDefault="00B600A6" w:rsidP="00FD1B12">
      <w:pPr>
        <w:spacing w:before="240" w:line="200" w:lineRule="exact"/>
        <w:rPr>
          <w:noProof/>
          <w:sz w:val="16"/>
          <w:szCs w:val="19"/>
          <w:lang w:eastAsia="pl-PL"/>
        </w:rPr>
      </w:pPr>
      <w:r w:rsidRPr="0006476D">
        <w:rPr>
          <w:noProof/>
          <w:sz w:val="20"/>
          <w:szCs w:val="20"/>
          <w:lang w:eastAsia="pl-PL"/>
        </w:rPr>
        <w:t xml:space="preserve">* </w:t>
      </w:r>
      <w:r w:rsidRPr="00764E44">
        <w:rPr>
          <w:noProof/>
          <w:sz w:val="16"/>
          <w:szCs w:val="19"/>
          <w:lang w:eastAsia="pl-PL"/>
        </w:rPr>
        <w:t xml:space="preserve">Dane ostateczne z wyjątkiem danych </w:t>
      </w:r>
      <w:r w:rsidR="0006476D">
        <w:rPr>
          <w:noProof/>
          <w:sz w:val="16"/>
          <w:szCs w:val="19"/>
          <w:lang w:eastAsia="pl-PL"/>
        </w:rPr>
        <w:t xml:space="preserve">wstępnych </w:t>
      </w:r>
      <w:r w:rsidRPr="00764E44">
        <w:rPr>
          <w:noProof/>
          <w:sz w:val="16"/>
          <w:szCs w:val="19"/>
          <w:lang w:eastAsia="pl-PL"/>
        </w:rPr>
        <w:t xml:space="preserve">za styczeń </w:t>
      </w:r>
      <w:r w:rsidR="00C1320A">
        <w:rPr>
          <w:noProof/>
          <w:sz w:val="16"/>
          <w:szCs w:val="19"/>
          <w:lang w:eastAsia="pl-PL"/>
        </w:rPr>
        <w:t>202</w:t>
      </w:r>
      <w:r w:rsidR="000555F3">
        <w:rPr>
          <w:noProof/>
          <w:sz w:val="16"/>
          <w:szCs w:val="19"/>
          <w:lang w:eastAsia="pl-PL"/>
        </w:rPr>
        <w:t>1</w:t>
      </w:r>
      <w:r w:rsidR="008F190C" w:rsidRPr="00764E44">
        <w:rPr>
          <w:noProof/>
          <w:sz w:val="16"/>
          <w:szCs w:val="19"/>
          <w:lang w:eastAsia="pl-PL"/>
        </w:rPr>
        <w:t xml:space="preserve"> r.</w:t>
      </w:r>
    </w:p>
    <w:p w:rsidR="00883763" w:rsidRDefault="00883763" w:rsidP="00883763">
      <w:pPr>
        <w:spacing w:before="0" w:after="160" w:line="259" w:lineRule="auto"/>
        <w:rPr>
          <w:highlight w:val="yellow"/>
        </w:rPr>
      </w:pPr>
    </w:p>
    <w:p w:rsidR="00883763" w:rsidRDefault="00883763" w:rsidP="007D0C0B">
      <w:pPr>
        <w:pStyle w:val="tytuwykresu"/>
        <w:ind w:left="794" w:hanging="794"/>
        <w:rPr>
          <w:bCs/>
          <w:i/>
          <w:iCs/>
          <w:shd w:val="clear" w:color="auto" w:fill="FFFFFF"/>
        </w:rPr>
      </w:pPr>
      <w:r w:rsidRPr="00FF39EB">
        <w:t>Wykres 3.</w:t>
      </w:r>
      <w:r w:rsidRPr="00FF39EB">
        <w:rPr>
          <w:shd w:val="clear" w:color="auto" w:fill="FFFFFF"/>
        </w:rPr>
        <w:t xml:space="preserve"> </w:t>
      </w:r>
      <w:r w:rsidRPr="00FF39EB">
        <w:rPr>
          <w:bCs/>
          <w:shd w:val="clear" w:color="auto" w:fill="FFFFFF"/>
        </w:rPr>
        <w:t>System wag stosowany w obliczeniach wskaźników cen towarów i usług ko</w:t>
      </w:r>
      <w:r w:rsidRPr="005D1FC5">
        <w:rPr>
          <w:bCs/>
          <w:shd w:val="clear" w:color="auto" w:fill="FFFFFF"/>
        </w:rPr>
        <w:t>nsumpcyjny</w:t>
      </w:r>
      <w:r w:rsidRPr="00FF39EB">
        <w:rPr>
          <w:bCs/>
          <w:shd w:val="clear" w:color="auto" w:fill="FFFFFF"/>
        </w:rPr>
        <w:t xml:space="preserve">ch w </w:t>
      </w:r>
      <w:r w:rsidR="00007345">
        <w:rPr>
          <w:bCs/>
          <w:shd w:val="clear" w:color="auto" w:fill="FFFFFF"/>
        </w:rPr>
        <w:t>2020</w:t>
      </w:r>
      <w:r w:rsidRPr="00C73761">
        <w:rPr>
          <w:bCs/>
          <w:shd w:val="clear" w:color="auto" w:fill="FFFFFF"/>
        </w:rPr>
        <w:t xml:space="preserve"> r</w:t>
      </w:r>
      <w:r w:rsidRPr="00C73761">
        <w:rPr>
          <w:bCs/>
          <w:i/>
          <w:iCs/>
          <w:shd w:val="clear" w:color="auto" w:fill="FFFFFF"/>
        </w:rPr>
        <w:t>.</w:t>
      </w:r>
      <w:r w:rsidR="00460E1A" w:rsidRPr="0006476D">
        <w:rPr>
          <w:rStyle w:val="Odwoanieprzypisudolnego"/>
          <w:bCs/>
          <w:iCs/>
          <w:sz w:val="20"/>
          <w:szCs w:val="20"/>
          <w:shd w:val="clear" w:color="auto" w:fill="FFFFFF"/>
        </w:rPr>
        <w:footnoteReference w:id="2"/>
      </w:r>
    </w:p>
    <w:p w:rsidR="00FD1B12" w:rsidRDefault="006216AE" w:rsidP="0081452A">
      <w:pPr>
        <w:pStyle w:val="NormalnyWeb"/>
        <w:spacing w:before="0" w:beforeAutospacing="0" w:after="0" w:afterAutospacing="0"/>
        <w:rPr>
          <w:rFonts w:ascii="Fira Sans" w:hAnsi="Fira Sans"/>
          <w:color w:val="222222"/>
          <w:sz w:val="16"/>
          <w:szCs w:val="16"/>
        </w:rPr>
      </w:pPr>
      <w:r>
        <w:rPr>
          <w:noProof/>
        </w:rPr>
        <w:drawing>
          <wp:inline distT="0" distB="0" distL="0" distR="0" wp14:anchorId="0AB35452" wp14:editId="1CB6835E">
            <wp:extent cx="5120640" cy="3180522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D1B12" w:rsidRDefault="00FD1B12" w:rsidP="0081452A">
      <w:pPr>
        <w:pStyle w:val="NormalnyWeb"/>
        <w:spacing w:before="0" w:beforeAutospacing="0" w:after="0" w:afterAutospacing="0"/>
        <w:rPr>
          <w:rFonts w:ascii="Fira Sans" w:hAnsi="Fira Sans"/>
          <w:color w:val="222222"/>
          <w:sz w:val="16"/>
          <w:szCs w:val="16"/>
        </w:rPr>
      </w:pPr>
    </w:p>
    <w:p w:rsidR="000D6A4A" w:rsidRDefault="000D6A4A" w:rsidP="0081452A">
      <w:pPr>
        <w:pStyle w:val="NormalnyWeb"/>
        <w:spacing w:before="0" w:beforeAutospacing="0" w:after="0" w:afterAutospacing="0"/>
        <w:rPr>
          <w:rFonts w:ascii="Fira Sans" w:hAnsi="Fira Sans"/>
          <w:color w:val="222222"/>
          <w:sz w:val="16"/>
          <w:szCs w:val="16"/>
        </w:rPr>
      </w:pPr>
    </w:p>
    <w:p w:rsidR="0081452A" w:rsidRPr="00B24B6C" w:rsidRDefault="0081452A" w:rsidP="000D6A4A">
      <w:pPr>
        <w:pStyle w:val="NormalnyWeb"/>
        <w:spacing w:before="120" w:beforeAutospacing="0" w:after="0" w:afterAutospacing="0"/>
        <w:rPr>
          <w:rStyle w:val="Hipercze"/>
          <w:rFonts w:ascii="Fira Sans" w:hAnsi="Fira Sans"/>
          <w:sz w:val="16"/>
          <w:szCs w:val="16"/>
        </w:rPr>
      </w:pPr>
      <w:r w:rsidRPr="00B24B6C">
        <w:rPr>
          <w:rFonts w:ascii="Fira Sans" w:hAnsi="Fira Sans"/>
          <w:color w:val="222222"/>
          <w:sz w:val="16"/>
          <w:szCs w:val="16"/>
        </w:rPr>
        <w:t xml:space="preserve">Zalecenia rekomendowane przez Eurostat dotyczące wskaźników cen konsumpcyjnych prezentowane są pod linkiem </w:t>
      </w:r>
      <w:hyperlink r:id="rId15" w:history="1">
        <w:r w:rsidRPr="001F69BA">
          <w:rPr>
            <w:rStyle w:val="Hipercze"/>
            <w:rFonts w:ascii="Fira Sans" w:hAnsi="Fira Sans"/>
            <w:color w:val="002060"/>
            <w:sz w:val="16"/>
            <w:szCs w:val="16"/>
          </w:rPr>
          <w:t>https://stat.gov.pl/obszary-tematyczne/ceny-handel/wskazniki-cen/wytyczne-dotyczace-opracowania-hicp-w-kontekscie-kryzysu-zwiazanego-z-covid-19,19,1.html</w:t>
        </w:r>
      </w:hyperlink>
    </w:p>
    <w:p w:rsidR="0081452A" w:rsidRPr="0081452A" w:rsidRDefault="0081452A" w:rsidP="000D6A4A">
      <w:pPr>
        <w:spacing w:after="160" w:line="259" w:lineRule="auto"/>
        <w:rPr>
          <w:color w:val="222222"/>
          <w:sz w:val="16"/>
          <w:szCs w:val="16"/>
          <w:lang w:val="en-GB"/>
        </w:rPr>
      </w:pPr>
      <w:r w:rsidRPr="0081452A">
        <w:rPr>
          <w:color w:val="222222"/>
          <w:sz w:val="16"/>
          <w:szCs w:val="16"/>
          <w:lang w:val="en-GB"/>
        </w:rPr>
        <w:t>Dokumenty „</w:t>
      </w:r>
      <w:r w:rsidRPr="0081452A">
        <w:rPr>
          <w:i/>
          <w:color w:val="222222"/>
          <w:sz w:val="16"/>
          <w:szCs w:val="16"/>
          <w:lang w:val="en-GB"/>
        </w:rPr>
        <w:t>Guidance on the compilation of the HICP in the context of the COVID-19 crisis</w:t>
      </w:r>
      <w:r w:rsidRPr="0081452A">
        <w:rPr>
          <w:color w:val="222222"/>
          <w:sz w:val="16"/>
          <w:szCs w:val="16"/>
          <w:lang w:val="en-GB"/>
        </w:rPr>
        <w:t>” oraz “</w:t>
      </w:r>
      <w:r w:rsidRPr="0081452A">
        <w:rPr>
          <w:i/>
          <w:color w:val="222222"/>
          <w:sz w:val="16"/>
          <w:szCs w:val="16"/>
          <w:lang w:val="en-GB"/>
        </w:rPr>
        <w:t>Guidance note on HICP issues emerging from the lifting of lockdown measures</w:t>
      </w:r>
      <w:r w:rsidRPr="0081452A">
        <w:rPr>
          <w:color w:val="222222"/>
          <w:sz w:val="16"/>
          <w:szCs w:val="16"/>
          <w:lang w:val="en-GB"/>
        </w:rPr>
        <w:t xml:space="preserve">” zamieszczone zostały przez Eurostat pod następującymi linkami </w:t>
      </w:r>
      <w:hyperlink r:id="rId16" w:history="1">
        <w:r w:rsidRPr="001F69BA">
          <w:rPr>
            <w:rStyle w:val="Hipercze"/>
            <w:color w:val="002060"/>
            <w:sz w:val="16"/>
            <w:szCs w:val="16"/>
            <w:lang w:val="en-GB"/>
          </w:rPr>
          <w:t>https://ec.europa.eu/eurostat/documents/10186/10693286/HICP_guidance.pdf</w:t>
        </w:r>
      </w:hyperlink>
      <w:r w:rsidRPr="001F69BA">
        <w:rPr>
          <w:color w:val="002060"/>
          <w:sz w:val="16"/>
          <w:szCs w:val="16"/>
          <w:lang w:val="en-GB"/>
        </w:rPr>
        <w:t xml:space="preserve">, </w:t>
      </w:r>
      <w:hyperlink r:id="rId17" w:history="1">
        <w:r w:rsidRPr="001F69BA">
          <w:rPr>
            <w:rStyle w:val="Hipercze"/>
            <w:color w:val="002060"/>
            <w:sz w:val="16"/>
            <w:szCs w:val="16"/>
            <w:lang w:val="en-GB"/>
          </w:rPr>
          <w:t>https://ec.europa.eu/eurostat/documents/10186/10693286/HICP_lifting_lockdown_measures_guidance.pdf</w:t>
        </w:r>
      </w:hyperlink>
    </w:p>
    <w:p w:rsidR="00883763" w:rsidRPr="00FF39EB" w:rsidRDefault="00D44416" w:rsidP="000D6A4A">
      <w:pPr>
        <w:spacing w:before="360" w:after="160" w:line="259" w:lineRule="auto"/>
        <w:rPr>
          <w:highlight w:val="yellow"/>
        </w:rPr>
      </w:pPr>
      <w:r w:rsidRPr="00B24B6C">
        <w:rPr>
          <w:color w:val="222222"/>
          <w:szCs w:val="19"/>
        </w:rPr>
        <w:t>W przypadku cytowania danych Głównego Urzędu Statystycznego prosimy o zamieszczenie informacji: „Źródło danych GUS”, a w przypadku publikowania obliczeń dokonanych na danych opublikowanych przez GUS prosimy o zamieszczenie informacji: „Opracowanie własne na podstawie danych GUS”.</w:t>
      </w:r>
    </w:p>
    <w:p w:rsidR="00685123" w:rsidRPr="00FF39EB" w:rsidRDefault="00685123" w:rsidP="00883763">
      <w:pPr>
        <w:spacing w:before="0" w:after="160" w:line="259" w:lineRule="auto"/>
        <w:rPr>
          <w:b/>
          <w:noProof/>
          <w:szCs w:val="19"/>
          <w:highlight w:val="yellow"/>
          <w:lang w:eastAsia="pl-PL"/>
        </w:rPr>
        <w:sectPr w:rsidR="00685123" w:rsidRPr="00FF39EB" w:rsidSect="0006476D">
          <w:headerReference w:type="default" r:id="rId18"/>
          <w:footerReference w:type="default" r:id="rId19"/>
          <w:headerReference w:type="first" r:id="rId20"/>
          <w:footerReference w:type="first" r:id="rId21"/>
          <w:footnotePr>
            <w:numFmt w:val="lowerLetter"/>
            <w:numRestart w:val="eachSect"/>
          </w:footnotePr>
          <w:type w:val="continuous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Pr="00FF39EB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6"/>
        <w:gridCol w:w="3927"/>
      </w:tblGrid>
      <w:tr w:rsidR="00883763" w:rsidRPr="00FF39EB" w:rsidTr="006E1DCF">
        <w:trPr>
          <w:trHeight w:val="1912"/>
        </w:trPr>
        <w:tc>
          <w:tcPr>
            <w:tcW w:w="4379" w:type="dxa"/>
          </w:tcPr>
          <w:p w:rsidR="00883763" w:rsidRPr="00FF39EB" w:rsidRDefault="00883763" w:rsidP="006E1DCF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FF39EB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C1320A" w:rsidRPr="00C604F4" w:rsidRDefault="00C1320A" w:rsidP="00C1320A">
            <w:pPr>
              <w:pStyle w:val="Nagwek3"/>
              <w:spacing w:before="0" w:line="240" w:lineRule="auto"/>
              <w:ind w:right="-104"/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</w:pPr>
            <w:r w:rsidRPr="00C604F4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>Departament Handlu i Usług</w:t>
            </w:r>
          </w:p>
          <w:p w:rsidR="00C1320A" w:rsidRPr="00C604F4" w:rsidRDefault="00C1320A" w:rsidP="00C1320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</w:pPr>
            <w:r w:rsidRPr="00C604F4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>Dyrektor Ewa Adach-Stankiewicz</w:t>
            </w:r>
          </w:p>
          <w:p w:rsidR="00883763" w:rsidRPr="00FF39EB" w:rsidRDefault="00C1320A" w:rsidP="00C1320A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C604F4">
              <w:rPr>
                <w:rFonts w:ascii="Fira Sans" w:hAnsi="Fira Sans" w:cs="Arial"/>
                <w:color w:val="000000" w:themeColor="text1"/>
                <w:sz w:val="20"/>
              </w:rPr>
              <w:t>Tel: 22 608 31 24</w:t>
            </w:r>
          </w:p>
        </w:tc>
        <w:tc>
          <w:tcPr>
            <w:tcW w:w="3942" w:type="dxa"/>
          </w:tcPr>
          <w:p w:rsidR="00883763" w:rsidRPr="00FF39EB" w:rsidRDefault="00883763" w:rsidP="006E1DCF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FF39EB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FF39EB">
              <w:rPr>
                <w:rFonts w:cs="Arial"/>
                <w:color w:val="000000" w:themeColor="text1"/>
                <w:sz w:val="20"/>
              </w:rPr>
              <w:br/>
            </w:r>
            <w:r w:rsidRPr="00FF39EB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FF39EB" w:rsidRDefault="00883763" w:rsidP="006E1DCF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FF39E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C1320A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883763" w:rsidRPr="00FF39EB" w:rsidRDefault="00883763" w:rsidP="006E1DCF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FF39E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C1320A" w:rsidRPr="00C1320A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:rsidR="00883763" w:rsidRPr="00FF39EB" w:rsidRDefault="00883763" w:rsidP="006E1DCF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470AA" w:rsidRPr="00FF39EB" w:rsidRDefault="000470AA" w:rsidP="000470AA">
      <w:pPr>
        <w:rPr>
          <w:sz w:val="18"/>
          <w:lang w:val="en-US"/>
        </w:rPr>
      </w:pP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FF39EB" w:rsidTr="00C1320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FF39EB" w:rsidRDefault="000470AA" w:rsidP="00C1320A">
            <w:pPr>
              <w:rPr>
                <w:b/>
                <w:sz w:val="20"/>
              </w:rPr>
            </w:pPr>
            <w:r w:rsidRPr="00FF39EB">
              <w:rPr>
                <w:b/>
                <w:sz w:val="20"/>
              </w:rPr>
              <w:t xml:space="preserve">Wydział Współpracy z Mediami </w:t>
            </w:r>
          </w:p>
          <w:p w:rsidR="00BB0BE8" w:rsidRPr="00BB0BE8" w:rsidRDefault="00BB0BE8" w:rsidP="00C1320A">
            <w:pPr>
              <w:rPr>
                <w:sz w:val="20"/>
              </w:rPr>
            </w:pPr>
            <w:r w:rsidRPr="00BB0BE8">
              <w:rPr>
                <w:sz w:val="20"/>
              </w:rPr>
              <w:t xml:space="preserve">Tel: 22 608 34 91, 22 608 38 04 </w:t>
            </w:r>
          </w:p>
          <w:p w:rsidR="000470AA" w:rsidRDefault="000470AA" w:rsidP="00C1320A">
            <w:pPr>
              <w:rPr>
                <w:sz w:val="20"/>
                <w:lang w:val="en-US"/>
              </w:rPr>
            </w:pPr>
            <w:r w:rsidRPr="00FF39EB">
              <w:rPr>
                <w:b/>
                <w:sz w:val="20"/>
                <w:lang w:val="en-US"/>
              </w:rPr>
              <w:t>e-mail:</w:t>
            </w:r>
            <w:r w:rsidRPr="00FF39EB">
              <w:rPr>
                <w:sz w:val="20"/>
                <w:lang w:val="en-US"/>
              </w:rPr>
              <w:t xml:space="preserve"> </w:t>
            </w:r>
            <w:hyperlink r:id="rId22" w:history="1">
              <w:r w:rsidR="00C1320A" w:rsidRPr="00BB0BE8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  <w:p w:rsidR="00C1320A" w:rsidRPr="00FF39EB" w:rsidRDefault="00C1320A" w:rsidP="00C1320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0470AA" w:rsidRPr="00FF39EB" w:rsidRDefault="000470AA" w:rsidP="00C1320A">
            <w:pPr>
              <w:rPr>
                <w:sz w:val="18"/>
                <w:lang w:val="en-US"/>
              </w:rPr>
            </w:pPr>
            <w:r w:rsidRPr="00FF39EB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20DA5BC2" wp14:editId="73FED43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FF39EB" w:rsidRDefault="000470AA" w:rsidP="00C1320A">
            <w:pPr>
              <w:rPr>
                <w:sz w:val="18"/>
              </w:rPr>
            </w:pPr>
            <w:r w:rsidRPr="00FF39EB">
              <w:rPr>
                <w:sz w:val="20"/>
              </w:rPr>
              <w:t>www.stat.gov.pl</w:t>
            </w:r>
          </w:p>
        </w:tc>
      </w:tr>
      <w:tr w:rsidR="000470AA" w:rsidRPr="00FF39EB" w:rsidTr="00C1320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FF39EB" w:rsidRDefault="000470AA" w:rsidP="00C1320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FF39EB" w:rsidRDefault="000470AA" w:rsidP="00C1320A">
            <w:pPr>
              <w:rPr>
                <w:sz w:val="18"/>
              </w:rPr>
            </w:pPr>
            <w:r w:rsidRPr="00FF39EB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121FA79C" wp14:editId="636DC18B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FF39EB" w:rsidRDefault="000470AA" w:rsidP="00C1320A">
            <w:pPr>
              <w:rPr>
                <w:sz w:val="18"/>
              </w:rPr>
            </w:pPr>
            <w:r w:rsidRPr="00FF39EB">
              <w:rPr>
                <w:sz w:val="20"/>
              </w:rPr>
              <w:t>@GUS_STAT</w:t>
            </w:r>
          </w:p>
        </w:tc>
      </w:tr>
      <w:tr w:rsidR="000470AA" w:rsidRPr="00FF39EB" w:rsidTr="00C1320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FF39EB" w:rsidRDefault="000470AA" w:rsidP="00C1320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FF39EB" w:rsidRDefault="000470AA" w:rsidP="00C1320A">
            <w:pPr>
              <w:rPr>
                <w:sz w:val="18"/>
              </w:rPr>
            </w:pPr>
            <w:r w:rsidRPr="00FF39EB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04A6E258" wp14:editId="1145EC3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FF39EB" w:rsidRDefault="000470AA" w:rsidP="00C1320A">
            <w:pPr>
              <w:rPr>
                <w:sz w:val="20"/>
              </w:rPr>
            </w:pPr>
            <w:r w:rsidRPr="00FF39EB">
              <w:rPr>
                <w:sz w:val="20"/>
              </w:rPr>
              <w:t>@GlownyUrzadStatystyczny</w:t>
            </w:r>
          </w:p>
        </w:tc>
      </w:tr>
    </w:tbl>
    <w:p w:rsidR="00D261A2" w:rsidRPr="00001C5B" w:rsidRDefault="00F7780F" w:rsidP="00E76D26">
      <w:pPr>
        <w:rPr>
          <w:sz w:val="18"/>
        </w:rPr>
      </w:pPr>
      <w:r>
        <w:rPr>
          <w:noProof/>
          <w:sz w:val="18"/>
          <w:highlight w:val="yellow"/>
          <w:lang w:eastAsia="pl-PL"/>
        </w:rPr>
        <w:pict>
          <v:shape id="_x0000_s1039" type="#_x0000_t202" style="position:absolute;margin-left:1.5pt;margin-top:119.6pt;width:516.5pt;height:349.85pt;z-index:251744256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4vgPgIAAHM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" fillcolor="#f2f2f2 [3052]" strokecolor="white [3212]">
            <v:textbox style="mso-next-textbox:#_x0000_s1039">
              <w:txbxContent>
                <w:p w:rsidR="008B3C98" w:rsidRDefault="008B3C98" w:rsidP="00883763">
                  <w:pPr>
                    <w:rPr>
                      <w:b/>
                    </w:rPr>
                  </w:pPr>
                </w:p>
                <w:p w:rsidR="008B3C98" w:rsidRPr="006761A7" w:rsidRDefault="008B3C98" w:rsidP="00883763">
                  <w:pPr>
                    <w:rPr>
                      <w:b/>
                    </w:rPr>
                  </w:pPr>
                  <w:r w:rsidRPr="006761A7">
                    <w:rPr>
                      <w:b/>
                    </w:rPr>
                    <w:t>Powiązane opracowania</w:t>
                  </w:r>
                </w:p>
                <w:p w:rsidR="008B3C98" w:rsidRPr="006761A7" w:rsidRDefault="00F7780F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6" w:history="1">
                    <w:r w:rsidR="008B3C98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Komunikaty i obwieszczenia Prezesa GUS</w:t>
                    </w:r>
                  </w:hyperlink>
                </w:p>
                <w:p w:rsidR="008B3C98" w:rsidRPr="006761A7" w:rsidRDefault="00F7780F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7" w:history="1">
                    <w:r w:rsidR="008B3C98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Informacje sygnalne</w:t>
                    </w:r>
                  </w:hyperlink>
                </w:p>
                <w:p w:rsidR="008B3C98" w:rsidRPr="00E233EA" w:rsidRDefault="008B3C98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8B3C98" w:rsidRPr="00E233EA" w:rsidRDefault="008B3C98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 w:rsidRPr="00E233EA">
                    <w:rPr>
                      <w:b/>
                      <w:color w:val="000000" w:themeColor="text1"/>
                      <w:szCs w:val="24"/>
                    </w:rPr>
                    <w:t>Temat dostępny w bazach danych</w:t>
                  </w:r>
                </w:p>
                <w:p w:rsidR="008B3C98" w:rsidRPr="006761A7" w:rsidRDefault="00F7780F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8" w:history="1">
                    <w:r w:rsidR="008B3C98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Dziedzinowa Baza Wiedzy (DBW) Ceny</w:t>
                    </w:r>
                  </w:hyperlink>
                </w:p>
                <w:p w:rsidR="008B3C98" w:rsidRPr="006761A7" w:rsidRDefault="00F7780F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9" w:history="1">
                    <w:r w:rsidR="008B3C98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Makroekonomicznych (BDM)</w:t>
                    </w:r>
                  </w:hyperlink>
                </w:p>
                <w:p w:rsidR="008B3C98" w:rsidRPr="006761A7" w:rsidRDefault="00F7780F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0" w:history="1">
                    <w:r w:rsidR="008B3C98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Lokalnych (BDL)</w:t>
                    </w:r>
                  </w:hyperlink>
                </w:p>
                <w:p w:rsidR="008B3C98" w:rsidRPr="006761A7" w:rsidRDefault="00F7780F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1" w:history="1">
                    <w:r w:rsidR="008B3C98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Wskaźniki cen (Obszary tematyczne: Ceny. Handel)</w:t>
                    </w:r>
                  </w:hyperlink>
                </w:p>
                <w:p w:rsidR="008B3C98" w:rsidRPr="006761A7" w:rsidRDefault="00F7780F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2" w:history="1">
                    <w:r w:rsidR="008B3C98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Ceny (Obszary tematyczne: Ceny. Handel)</w:t>
                    </w:r>
                  </w:hyperlink>
                </w:p>
                <w:p w:rsidR="008B3C98" w:rsidRPr="006761A7" w:rsidRDefault="008B3C98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8B3C98" w:rsidRDefault="008B3C98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Cs w:val="24"/>
                    </w:rPr>
                    <w:t>Ważniejsze</w:t>
                  </w:r>
                  <w:r w:rsidRPr="00505A92">
                    <w:rPr>
                      <w:b/>
                      <w:color w:val="000000" w:themeColor="text1"/>
                      <w:szCs w:val="24"/>
                    </w:rPr>
                    <w:t xml:space="preserve"> pojęcia dostępne w słowniku</w:t>
                  </w:r>
                </w:p>
                <w:p w:rsidR="008B3C98" w:rsidRPr="006761A7" w:rsidRDefault="00F7780F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3" w:history="1">
                    <w:r w:rsidR="008B3C98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 cen towarów i usług konsumpcyjnych</w:t>
                    </w:r>
                  </w:hyperlink>
                </w:p>
                <w:p w:rsidR="008B3C98" w:rsidRPr="00E233EA" w:rsidRDefault="00F7780F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  <w:lang w:val="en-US"/>
                    </w:rPr>
                  </w:pPr>
                  <w:hyperlink r:id="rId34" w:history="1">
                    <w:r w:rsidR="008B3C98" w:rsidRPr="00E233E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  <w:lang w:val="en-US"/>
                      </w:rPr>
                      <w:t>Cena detaliczna</w:t>
                    </w:r>
                  </w:hyperlink>
                </w:p>
              </w:txbxContent>
            </v:textbox>
            <w10:wrap type="square" anchorx="margin"/>
          </v:shape>
        </w:pict>
      </w:r>
      <w:r w:rsidR="00C1320A">
        <w:rPr>
          <w:noProof/>
          <w:sz w:val="18"/>
          <w:highlight w:val="yellow"/>
          <w:lang w:eastAsia="pl-PL"/>
        </w:rPr>
        <w:br w:type="textWrapping" w:clear="all"/>
      </w:r>
    </w:p>
    <w:sectPr w:rsidR="00D261A2" w:rsidRPr="00001C5B" w:rsidSect="00685123">
      <w:headerReference w:type="default" r:id="rId35"/>
      <w:footerReference w:type="default" r:id="rId36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80F" w:rsidRDefault="00F7780F" w:rsidP="000662E2">
      <w:pPr>
        <w:spacing w:after="0" w:line="240" w:lineRule="auto"/>
      </w:pPr>
      <w:r>
        <w:separator/>
      </w:r>
    </w:p>
  </w:endnote>
  <w:endnote w:type="continuationSeparator" w:id="0">
    <w:p w:rsidR="00F7780F" w:rsidRDefault="00F7780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7"/>
      <w:docPartObj>
        <w:docPartGallery w:val="Page Numbers (Bottom of Page)"/>
        <w:docPartUnique/>
      </w:docPartObj>
    </w:sdtPr>
    <w:sdtEndPr/>
    <w:sdtContent>
      <w:p w:rsidR="008B3C98" w:rsidRDefault="000847BA" w:rsidP="003B18B6">
        <w:pPr>
          <w:pStyle w:val="Stopka"/>
          <w:jc w:val="center"/>
        </w:pPr>
        <w:r>
          <w:fldChar w:fldCharType="begin"/>
        </w:r>
        <w:r w:rsidR="00C06882">
          <w:instrText>PAGE   \* MERGEFORMAT</w:instrText>
        </w:r>
        <w:r>
          <w:fldChar w:fldCharType="separate"/>
        </w:r>
        <w:r w:rsidR="00745B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8"/>
      <w:docPartObj>
        <w:docPartGallery w:val="Page Numbers (Bottom of Page)"/>
        <w:docPartUnique/>
      </w:docPartObj>
    </w:sdtPr>
    <w:sdtEndPr/>
    <w:sdtContent>
      <w:p w:rsidR="008B3C98" w:rsidRDefault="000847BA" w:rsidP="003B18B6">
        <w:pPr>
          <w:pStyle w:val="Stopka"/>
          <w:jc w:val="center"/>
        </w:pPr>
        <w:r>
          <w:fldChar w:fldCharType="begin"/>
        </w:r>
        <w:r w:rsidR="00C06882">
          <w:instrText>PAGE   \* MERGEFORMAT</w:instrText>
        </w:r>
        <w:r>
          <w:fldChar w:fldCharType="separate"/>
        </w:r>
        <w:r w:rsidR="00745B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8B3C98" w:rsidRDefault="000847BA" w:rsidP="003B18B6">
        <w:pPr>
          <w:pStyle w:val="Stopka"/>
          <w:jc w:val="center"/>
        </w:pPr>
        <w:r>
          <w:fldChar w:fldCharType="begin"/>
        </w:r>
        <w:r w:rsidR="00C06882">
          <w:instrText>PAGE   \* MERGEFORMAT</w:instrText>
        </w:r>
        <w:r>
          <w:fldChar w:fldCharType="separate"/>
        </w:r>
        <w:r w:rsidR="00745B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80F" w:rsidRDefault="00F7780F" w:rsidP="000662E2">
      <w:pPr>
        <w:spacing w:after="0" w:line="240" w:lineRule="auto"/>
      </w:pPr>
      <w:r>
        <w:separator/>
      </w:r>
    </w:p>
  </w:footnote>
  <w:footnote w:type="continuationSeparator" w:id="0">
    <w:p w:rsidR="00F7780F" w:rsidRDefault="00F7780F" w:rsidP="000662E2">
      <w:pPr>
        <w:spacing w:after="0" w:line="240" w:lineRule="auto"/>
      </w:pPr>
      <w:r>
        <w:continuationSeparator/>
      </w:r>
    </w:p>
  </w:footnote>
  <w:footnote w:id="1">
    <w:p w:rsidR="00A54FF9" w:rsidRPr="00CE3847" w:rsidRDefault="00A54FF9" w:rsidP="00A54FF9">
      <w:pPr>
        <w:pStyle w:val="Tekstprzypisudolnego"/>
        <w:spacing w:before="0"/>
        <w:rPr>
          <w:bCs/>
          <w:sz w:val="16"/>
          <w:szCs w:val="16"/>
        </w:rPr>
      </w:pPr>
      <w:r w:rsidRPr="00C06882">
        <w:rPr>
          <w:rStyle w:val="Odwoanieprzypisudolnego"/>
        </w:rPr>
        <w:footnoteRef/>
      </w:r>
      <w:r w:rsidRPr="00C06882">
        <w:t xml:space="preserve"> </w:t>
      </w:r>
      <w:r w:rsidRPr="00CE3847">
        <w:rPr>
          <w:bCs/>
          <w:sz w:val="16"/>
          <w:szCs w:val="16"/>
        </w:rPr>
        <w:t xml:space="preserve">Dane mają charakter wstępny i prezentowane są w zawężonym zakresie. Obliczone są na strukturze wydatków gospodarstw domowych (bez </w:t>
      </w:r>
      <w:r w:rsidR="004533BD">
        <w:rPr>
          <w:bCs/>
          <w:sz w:val="16"/>
          <w:szCs w:val="16"/>
        </w:rPr>
        <w:t xml:space="preserve">spożycia </w:t>
      </w:r>
      <w:r w:rsidR="00D95A3B">
        <w:rPr>
          <w:bCs/>
          <w:sz w:val="16"/>
          <w:szCs w:val="16"/>
        </w:rPr>
        <w:t>naturalnego) z 2019</w:t>
      </w:r>
      <w:r w:rsidR="004533BD">
        <w:rPr>
          <w:bCs/>
          <w:sz w:val="16"/>
          <w:szCs w:val="16"/>
        </w:rPr>
        <w:t xml:space="preserve"> r.</w:t>
      </w:r>
    </w:p>
  </w:footnote>
  <w:footnote w:id="2">
    <w:p w:rsidR="008B3C98" w:rsidRPr="0006476D" w:rsidRDefault="0006476D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 w:rsidR="008B3C98" w:rsidRPr="00C73761">
        <w:t xml:space="preserve"> </w:t>
      </w:r>
      <w:r w:rsidR="008B3C98" w:rsidRPr="0006476D">
        <w:rPr>
          <w:sz w:val="16"/>
          <w:szCs w:val="16"/>
        </w:rPr>
        <w:t xml:space="preserve">Struktura wydatków gospodarstw domowych (bez </w:t>
      </w:r>
      <w:r w:rsidR="00C1320A">
        <w:rPr>
          <w:sz w:val="16"/>
          <w:szCs w:val="16"/>
        </w:rPr>
        <w:t>spożycia naturalnego) z 201</w:t>
      </w:r>
      <w:r w:rsidR="00007345">
        <w:rPr>
          <w:sz w:val="16"/>
          <w:szCs w:val="16"/>
        </w:rPr>
        <w:t>9</w:t>
      </w:r>
      <w:r w:rsidR="004533BD">
        <w:rPr>
          <w:sz w:val="16"/>
          <w:szCs w:val="16"/>
        </w:rPr>
        <w:t xml:space="preserve">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C98" w:rsidRDefault="00F7780F">
    <w:pPr>
      <w:pStyle w:val="Nagwek"/>
    </w:pPr>
    <w:r>
      <w:rPr>
        <w:noProof/>
        <w:lang w:eastAsia="pl-PL"/>
      </w:rPr>
      <w:pict>
        <v:rect id="Prostokąt 24" o:spid="_x0000_s2052" style="position:absolute;margin-left:410.6pt;margin-top:-14.05pt;width:147.6pt;height:1785.85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</w:pict>
    </w:r>
  </w:p>
  <w:p w:rsidR="008B3C98" w:rsidRDefault="008B3C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C98" w:rsidRDefault="00F7780F" w:rsidP="004A1AD2">
    <w:pPr>
      <w:pStyle w:val="Nagwek"/>
      <w:tabs>
        <w:tab w:val="clear" w:pos="4536"/>
        <w:tab w:val="clear" w:pos="9072"/>
        <w:tab w:val="left" w:pos="6417"/>
      </w:tabs>
      <w:rPr>
        <w:noProof/>
        <w:lang w:eastAsia="pl-PL"/>
      </w:rPr>
    </w:pPr>
    <w:r>
      <w:rPr>
        <w:noProof/>
        <w:lang w:eastAsia="pl-PL"/>
      </w:rPr>
      <w:pict>
        <v:shape id="Schemat blokowy: opóźnienie 6" o:spid="_x0000_s2051" style="position:absolute;margin-left:396.6pt;margin-top:15.65pt;width:162.25pt;height:28.15pt;flip:x;z-index:251668480;visibility:visible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 style="mso-next-textbox:#Schemat blokowy: opóźnienie 6">
            <w:txbxContent>
              <w:p w:rsidR="008B3C98" w:rsidRPr="003C6C8D" w:rsidRDefault="008B3C98" w:rsidP="00074DD8">
                <w:pPr>
                  <w:spacing w:before="0"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>
      <w:rPr>
        <w:noProof/>
        <w:lang w:eastAsia="pl-PL"/>
      </w:rPr>
      <w:pict>
        <v:rect id="Prostokąt 10" o:spid="_x0000_s2050" style="position:absolute;margin-left:410.95pt;margin-top:40.3pt;width:147.4pt;height:1803.55pt;z-index:-251650048;visibility:visible;mso-width-relative:margin;mso-height-relative:margin;v-text-anchor:middle" wrapcoords="-110 0 -110 21591 21600 21591 21600 0 -11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<w10:wrap type="tight"/>
        </v:rect>
      </w:pict>
    </w:r>
    <w:r w:rsidR="008B3C98">
      <w:rPr>
        <w:noProof/>
        <w:lang w:eastAsia="pl-PL"/>
      </w:rPr>
      <w:drawing>
        <wp:inline distT="0" distB="0" distL="0" distR="0" wp14:anchorId="7ED00086" wp14:editId="0CB11303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3C98">
      <w:rPr>
        <w:noProof/>
        <w:lang w:eastAsia="pl-PL"/>
      </w:rPr>
      <w:tab/>
    </w:r>
  </w:p>
  <w:p w:rsidR="008B3C98" w:rsidRDefault="00F7780F">
    <w:pPr>
      <w:pStyle w:val="Nagwek"/>
      <w:rPr>
        <w:noProof/>
        <w:lang w:eastAsia="pl-P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<v:textbox style="mso-next-textbox:#_x0000_s2049">
            <w:txbxContent>
              <w:p w:rsidR="008B3C98" w:rsidRPr="00C97596" w:rsidRDefault="00203B13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15.02.2021</w:t>
                </w:r>
                <w:r w:rsidR="008B3C98"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C98" w:rsidRDefault="008B3C98">
    <w:pPr>
      <w:pStyle w:val="Nagwek"/>
    </w:pPr>
  </w:p>
  <w:p w:rsidR="008B3C98" w:rsidRDefault="008B3C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5.25pt;visibility:visible" o:bullet="t">
        <v:imagedata r:id="rId1" o:title=""/>
      </v:shape>
    </w:pict>
  </w:numPicBullet>
  <w:numPicBullet w:numPicBulletId="1">
    <w:pict>
      <v:shape id="_x0000_i1029" type="#_x0000_t75" style="width:123.75pt;height:125.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3"/>
    <o:shapelayout v:ext="edit">
      <o:idmap v:ext="edit" data="2"/>
    </o:shapelayout>
  </w:hdrShapeDefaults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1C5B"/>
    <w:rsid w:val="00003437"/>
    <w:rsid w:val="0000709F"/>
    <w:rsid w:val="00007345"/>
    <w:rsid w:val="000108B8"/>
    <w:rsid w:val="000152F5"/>
    <w:rsid w:val="0004582E"/>
    <w:rsid w:val="000470AA"/>
    <w:rsid w:val="000555F3"/>
    <w:rsid w:val="00057CA1"/>
    <w:rsid w:val="0006476D"/>
    <w:rsid w:val="000662E2"/>
    <w:rsid w:val="00066883"/>
    <w:rsid w:val="00071352"/>
    <w:rsid w:val="00072E75"/>
    <w:rsid w:val="00074DD8"/>
    <w:rsid w:val="000806F7"/>
    <w:rsid w:val="00083159"/>
    <w:rsid w:val="000847BA"/>
    <w:rsid w:val="000909CA"/>
    <w:rsid w:val="00097840"/>
    <w:rsid w:val="000A2CAA"/>
    <w:rsid w:val="000B02C1"/>
    <w:rsid w:val="000B0727"/>
    <w:rsid w:val="000B6F62"/>
    <w:rsid w:val="000C135D"/>
    <w:rsid w:val="000D1D43"/>
    <w:rsid w:val="000D225C"/>
    <w:rsid w:val="000D2A5C"/>
    <w:rsid w:val="000D424E"/>
    <w:rsid w:val="000D6A4A"/>
    <w:rsid w:val="000E0918"/>
    <w:rsid w:val="001011C3"/>
    <w:rsid w:val="00110D87"/>
    <w:rsid w:val="00114DB9"/>
    <w:rsid w:val="00116087"/>
    <w:rsid w:val="00130296"/>
    <w:rsid w:val="001423B6"/>
    <w:rsid w:val="001448A7"/>
    <w:rsid w:val="00146621"/>
    <w:rsid w:val="001537B0"/>
    <w:rsid w:val="00162325"/>
    <w:rsid w:val="001819B2"/>
    <w:rsid w:val="00181BC4"/>
    <w:rsid w:val="001951DA"/>
    <w:rsid w:val="001C3269"/>
    <w:rsid w:val="001D1DB4"/>
    <w:rsid w:val="001F69BA"/>
    <w:rsid w:val="00203B13"/>
    <w:rsid w:val="0021152F"/>
    <w:rsid w:val="00221F22"/>
    <w:rsid w:val="002574F9"/>
    <w:rsid w:val="00262B61"/>
    <w:rsid w:val="00276811"/>
    <w:rsid w:val="00276DC7"/>
    <w:rsid w:val="00282699"/>
    <w:rsid w:val="002829B6"/>
    <w:rsid w:val="002926DF"/>
    <w:rsid w:val="00296697"/>
    <w:rsid w:val="002B0472"/>
    <w:rsid w:val="002B6B12"/>
    <w:rsid w:val="002E6140"/>
    <w:rsid w:val="002E6985"/>
    <w:rsid w:val="002E71B6"/>
    <w:rsid w:val="002F77C8"/>
    <w:rsid w:val="00304F22"/>
    <w:rsid w:val="00305F07"/>
    <w:rsid w:val="00306C7C"/>
    <w:rsid w:val="00322EDD"/>
    <w:rsid w:val="00325696"/>
    <w:rsid w:val="00332320"/>
    <w:rsid w:val="00347D72"/>
    <w:rsid w:val="00357611"/>
    <w:rsid w:val="00367237"/>
    <w:rsid w:val="0037077F"/>
    <w:rsid w:val="00372411"/>
    <w:rsid w:val="00373882"/>
    <w:rsid w:val="003843DB"/>
    <w:rsid w:val="00393761"/>
    <w:rsid w:val="00397D18"/>
    <w:rsid w:val="003A1B36"/>
    <w:rsid w:val="003B1454"/>
    <w:rsid w:val="003B18B6"/>
    <w:rsid w:val="003C59E0"/>
    <w:rsid w:val="003C6C8D"/>
    <w:rsid w:val="003D4F95"/>
    <w:rsid w:val="003D5F42"/>
    <w:rsid w:val="003D60A9"/>
    <w:rsid w:val="003F4C97"/>
    <w:rsid w:val="003F78AC"/>
    <w:rsid w:val="003F7FE6"/>
    <w:rsid w:val="00400193"/>
    <w:rsid w:val="00407E0E"/>
    <w:rsid w:val="004212E7"/>
    <w:rsid w:val="0042446D"/>
    <w:rsid w:val="00427BF8"/>
    <w:rsid w:val="00431C02"/>
    <w:rsid w:val="00437395"/>
    <w:rsid w:val="004423C0"/>
    <w:rsid w:val="00445047"/>
    <w:rsid w:val="004533BD"/>
    <w:rsid w:val="00460E1A"/>
    <w:rsid w:val="00463E39"/>
    <w:rsid w:val="004657FC"/>
    <w:rsid w:val="0047240F"/>
    <w:rsid w:val="004733F6"/>
    <w:rsid w:val="00474898"/>
    <w:rsid w:val="00474E69"/>
    <w:rsid w:val="0049621B"/>
    <w:rsid w:val="004A1AD2"/>
    <w:rsid w:val="004A6115"/>
    <w:rsid w:val="004C1895"/>
    <w:rsid w:val="004C6D40"/>
    <w:rsid w:val="004F0C3C"/>
    <w:rsid w:val="004F63FC"/>
    <w:rsid w:val="00505A92"/>
    <w:rsid w:val="005203F1"/>
    <w:rsid w:val="00521BC3"/>
    <w:rsid w:val="00533632"/>
    <w:rsid w:val="00541E6E"/>
    <w:rsid w:val="0054251F"/>
    <w:rsid w:val="005520D8"/>
    <w:rsid w:val="00556CF1"/>
    <w:rsid w:val="005762A7"/>
    <w:rsid w:val="005826EB"/>
    <w:rsid w:val="005916D7"/>
    <w:rsid w:val="005A698C"/>
    <w:rsid w:val="005D1B4C"/>
    <w:rsid w:val="005D1FC5"/>
    <w:rsid w:val="005E0799"/>
    <w:rsid w:val="005F5A80"/>
    <w:rsid w:val="006044FF"/>
    <w:rsid w:val="00607CC5"/>
    <w:rsid w:val="006216AE"/>
    <w:rsid w:val="00633014"/>
    <w:rsid w:val="0063437B"/>
    <w:rsid w:val="006673CA"/>
    <w:rsid w:val="00673C26"/>
    <w:rsid w:val="00680EFF"/>
    <w:rsid w:val="006812AF"/>
    <w:rsid w:val="0068327D"/>
    <w:rsid w:val="00685123"/>
    <w:rsid w:val="00694AF0"/>
    <w:rsid w:val="006A4686"/>
    <w:rsid w:val="006B0E9E"/>
    <w:rsid w:val="006B3D0D"/>
    <w:rsid w:val="006B5AE4"/>
    <w:rsid w:val="006D1507"/>
    <w:rsid w:val="006D4054"/>
    <w:rsid w:val="006E02EC"/>
    <w:rsid w:val="006E1DCF"/>
    <w:rsid w:val="006E514B"/>
    <w:rsid w:val="006F4D05"/>
    <w:rsid w:val="007211B1"/>
    <w:rsid w:val="00745B2E"/>
    <w:rsid w:val="00746187"/>
    <w:rsid w:val="0075496E"/>
    <w:rsid w:val="0076254F"/>
    <w:rsid w:val="00764E44"/>
    <w:rsid w:val="00767603"/>
    <w:rsid w:val="007801F5"/>
    <w:rsid w:val="00783CA4"/>
    <w:rsid w:val="007842FB"/>
    <w:rsid w:val="00786124"/>
    <w:rsid w:val="0079514B"/>
    <w:rsid w:val="007A2DC1"/>
    <w:rsid w:val="007A506F"/>
    <w:rsid w:val="007D0C0B"/>
    <w:rsid w:val="007D3319"/>
    <w:rsid w:val="007D335D"/>
    <w:rsid w:val="007E3314"/>
    <w:rsid w:val="007E4B03"/>
    <w:rsid w:val="007F324B"/>
    <w:rsid w:val="0080553C"/>
    <w:rsid w:val="00805B46"/>
    <w:rsid w:val="0081452A"/>
    <w:rsid w:val="00825DC2"/>
    <w:rsid w:val="00834AD3"/>
    <w:rsid w:val="00843795"/>
    <w:rsid w:val="00847F0F"/>
    <w:rsid w:val="00852115"/>
    <w:rsid w:val="00852448"/>
    <w:rsid w:val="0088258A"/>
    <w:rsid w:val="00883763"/>
    <w:rsid w:val="00886332"/>
    <w:rsid w:val="008A26D9"/>
    <w:rsid w:val="008B3C98"/>
    <w:rsid w:val="008C0C29"/>
    <w:rsid w:val="008C1886"/>
    <w:rsid w:val="008F190C"/>
    <w:rsid w:val="008F3638"/>
    <w:rsid w:val="008F4441"/>
    <w:rsid w:val="008F6F31"/>
    <w:rsid w:val="008F74DF"/>
    <w:rsid w:val="009127BA"/>
    <w:rsid w:val="009227A6"/>
    <w:rsid w:val="00933EC1"/>
    <w:rsid w:val="009530DB"/>
    <w:rsid w:val="00953676"/>
    <w:rsid w:val="009705EE"/>
    <w:rsid w:val="00977927"/>
    <w:rsid w:val="0098135C"/>
    <w:rsid w:val="0098156A"/>
    <w:rsid w:val="00991AFA"/>
    <w:rsid w:val="00991BAC"/>
    <w:rsid w:val="009A6EA0"/>
    <w:rsid w:val="009C1335"/>
    <w:rsid w:val="009C1AB2"/>
    <w:rsid w:val="009C7251"/>
    <w:rsid w:val="009E2E91"/>
    <w:rsid w:val="00A139F5"/>
    <w:rsid w:val="00A13E5E"/>
    <w:rsid w:val="00A34C24"/>
    <w:rsid w:val="00A365F4"/>
    <w:rsid w:val="00A47D80"/>
    <w:rsid w:val="00A53132"/>
    <w:rsid w:val="00A54FF9"/>
    <w:rsid w:val="00A563F2"/>
    <w:rsid w:val="00A566E8"/>
    <w:rsid w:val="00A810F9"/>
    <w:rsid w:val="00A82877"/>
    <w:rsid w:val="00A86ECC"/>
    <w:rsid w:val="00A86FCC"/>
    <w:rsid w:val="00A90643"/>
    <w:rsid w:val="00AA710D"/>
    <w:rsid w:val="00AB6D25"/>
    <w:rsid w:val="00AC39D6"/>
    <w:rsid w:val="00AE2D4B"/>
    <w:rsid w:val="00AE4F99"/>
    <w:rsid w:val="00AF2DEA"/>
    <w:rsid w:val="00B035BE"/>
    <w:rsid w:val="00B11B69"/>
    <w:rsid w:val="00B14952"/>
    <w:rsid w:val="00B31E5A"/>
    <w:rsid w:val="00B600A6"/>
    <w:rsid w:val="00B653AB"/>
    <w:rsid w:val="00B65F9E"/>
    <w:rsid w:val="00B66B19"/>
    <w:rsid w:val="00B914E9"/>
    <w:rsid w:val="00B956EE"/>
    <w:rsid w:val="00BA2BA1"/>
    <w:rsid w:val="00BA3562"/>
    <w:rsid w:val="00BB0BE8"/>
    <w:rsid w:val="00BB4F09"/>
    <w:rsid w:val="00BC03AA"/>
    <w:rsid w:val="00BD4E33"/>
    <w:rsid w:val="00C030DE"/>
    <w:rsid w:val="00C06882"/>
    <w:rsid w:val="00C1320A"/>
    <w:rsid w:val="00C1701E"/>
    <w:rsid w:val="00C22105"/>
    <w:rsid w:val="00C244B6"/>
    <w:rsid w:val="00C3702F"/>
    <w:rsid w:val="00C4500A"/>
    <w:rsid w:val="00C54089"/>
    <w:rsid w:val="00C604F4"/>
    <w:rsid w:val="00C64A37"/>
    <w:rsid w:val="00C7158E"/>
    <w:rsid w:val="00C7250B"/>
    <w:rsid w:val="00C7346B"/>
    <w:rsid w:val="00C73761"/>
    <w:rsid w:val="00C77C0E"/>
    <w:rsid w:val="00C91687"/>
    <w:rsid w:val="00C924A8"/>
    <w:rsid w:val="00C945FE"/>
    <w:rsid w:val="00C950B4"/>
    <w:rsid w:val="00C96FAA"/>
    <w:rsid w:val="00C97A04"/>
    <w:rsid w:val="00CA107B"/>
    <w:rsid w:val="00CA484D"/>
    <w:rsid w:val="00CA4FB6"/>
    <w:rsid w:val="00CC739E"/>
    <w:rsid w:val="00CD58B7"/>
    <w:rsid w:val="00CE3847"/>
    <w:rsid w:val="00CF4099"/>
    <w:rsid w:val="00CF4441"/>
    <w:rsid w:val="00D00796"/>
    <w:rsid w:val="00D261A2"/>
    <w:rsid w:val="00D44416"/>
    <w:rsid w:val="00D616D2"/>
    <w:rsid w:val="00D63B5F"/>
    <w:rsid w:val="00D70EF7"/>
    <w:rsid w:val="00D72C69"/>
    <w:rsid w:val="00D763B9"/>
    <w:rsid w:val="00D8397C"/>
    <w:rsid w:val="00D94EED"/>
    <w:rsid w:val="00D95A3B"/>
    <w:rsid w:val="00D96026"/>
    <w:rsid w:val="00DA7C1C"/>
    <w:rsid w:val="00DB147A"/>
    <w:rsid w:val="00DB1B7A"/>
    <w:rsid w:val="00DC6708"/>
    <w:rsid w:val="00E01436"/>
    <w:rsid w:val="00E045BD"/>
    <w:rsid w:val="00E17B77"/>
    <w:rsid w:val="00E23337"/>
    <w:rsid w:val="00E259EA"/>
    <w:rsid w:val="00E26AA3"/>
    <w:rsid w:val="00E2705A"/>
    <w:rsid w:val="00E32061"/>
    <w:rsid w:val="00E42FF9"/>
    <w:rsid w:val="00E4714C"/>
    <w:rsid w:val="00E51AEB"/>
    <w:rsid w:val="00E522A7"/>
    <w:rsid w:val="00E54452"/>
    <w:rsid w:val="00E664C5"/>
    <w:rsid w:val="00E671A2"/>
    <w:rsid w:val="00E76D26"/>
    <w:rsid w:val="00EB1390"/>
    <w:rsid w:val="00EB2C71"/>
    <w:rsid w:val="00EB4340"/>
    <w:rsid w:val="00EB556D"/>
    <w:rsid w:val="00EB5A7D"/>
    <w:rsid w:val="00EB5AED"/>
    <w:rsid w:val="00ED3F9E"/>
    <w:rsid w:val="00ED55C0"/>
    <w:rsid w:val="00ED682B"/>
    <w:rsid w:val="00EE41D5"/>
    <w:rsid w:val="00EF5FF9"/>
    <w:rsid w:val="00F037A4"/>
    <w:rsid w:val="00F15E50"/>
    <w:rsid w:val="00F2018B"/>
    <w:rsid w:val="00F27C8F"/>
    <w:rsid w:val="00F32749"/>
    <w:rsid w:val="00F37172"/>
    <w:rsid w:val="00F4477E"/>
    <w:rsid w:val="00F65543"/>
    <w:rsid w:val="00F668A2"/>
    <w:rsid w:val="00F67D8F"/>
    <w:rsid w:val="00F739B3"/>
    <w:rsid w:val="00F7780F"/>
    <w:rsid w:val="00F802BE"/>
    <w:rsid w:val="00F80E93"/>
    <w:rsid w:val="00F86024"/>
    <w:rsid w:val="00F8611A"/>
    <w:rsid w:val="00F8661E"/>
    <w:rsid w:val="00FA5128"/>
    <w:rsid w:val="00FB42D4"/>
    <w:rsid w:val="00FB5906"/>
    <w:rsid w:val="00FB762F"/>
    <w:rsid w:val="00FC1289"/>
    <w:rsid w:val="00FC2AED"/>
    <w:rsid w:val="00FD0F08"/>
    <w:rsid w:val="00FD1B12"/>
    <w:rsid w:val="00FD5EA7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A4FDBBFC-4600-40F2-9C32-2D5DAD5D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nyWeb">
    <w:name w:val="Normal (Web)"/>
    <w:basedOn w:val="Normalny"/>
    <w:uiPriority w:val="99"/>
    <w:unhideWhenUsed/>
    <w:rsid w:val="00680E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header" Target="header1.xml"/><Relationship Id="rId26" Type="http://schemas.openxmlformats.org/officeDocument/2006/relationships/hyperlink" Target="http://stat.gov.pl/sygnalne/komunikaty-i-obwieszczenia/" TargetMode="External"/><Relationship Id="rId21" Type="http://schemas.openxmlformats.org/officeDocument/2006/relationships/footer" Target="footer2.xml"/><Relationship Id="rId34" Type="http://schemas.openxmlformats.org/officeDocument/2006/relationships/hyperlink" Target="http://stat.gov.pl/metainformacje/slownik-pojec/pojecia-stosowane-w-statystyce-publicznej/32,pojecie.html" TargetMode="Externa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yperlink" Target="https://ec.europa.eu/eurostat/documents/10186/10693286/HICP_lifting_lockdown_measures_guidance.pdf" TargetMode="External"/><Relationship Id="rId25" Type="http://schemas.openxmlformats.org/officeDocument/2006/relationships/image" Target="media/image7.png"/><Relationship Id="rId33" Type="http://schemas.openxmlformats.org/officeDocument/2006/relationships/hyperlink" Target="http://stat.gov.pl/metainformacje/slownik-pojec/pojecia-stosowane-w-statystyce-publicznej/711,pojecie.html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eurostat/documents/10186/10693286/HICP_guidance.pdf" TargetMode="External"/><Relationship Id="rId20" Type="http://schemas.openxmlformats.org/officeDocument/2006/relationships/header" Target="header2.xml"/><Relationship Id="rId29" Type="http://schemas.openxmlformats.org/officeDocument/2006/relationships/hyperlink" Target="http://bdm.stat.gov.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6.png"/><Relationship Id="rId32" Type="http://schemas.openxmlformats.org/officeDocument/2006/relationships/hyperlink" Target="http://stat.gov.pl/obszary-tematyczne/ceny-handel/ceny/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tat.gov.pl/obszary-tematyczne/ceny-handel/wskazniki-cen/wytyczne-dotyczace-opracowania-hicp-w-kontekscie-kryzysu-zwiazanego-z-covid-19,19,1.html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://swaid.stat.gov.pl/SitePagesDBW/Ceny.aspx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hyperlink" Target="http://stat.gov.pl/obszary-tematyczne/ceny-handel/wskazniki-ce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hyperlink" Target="mailto:obslugaprasowa@stat.gov.pl" TargetMode="External"/><Relationship Id="rId27" Type="http://schemas.openxmlformats.org/officeDocument/2006/relationships/hyperlink" Target="http://stat.gov.pl/sygnalne/informacje-sygnalne/" TargetMode="External"/><Relationship Id="rId30" Type="http://schemas.openxmlformats.org/officeDocument/2006/relationships/hyperlink" Target="https://bdl.stat.gov.pl/BDL/start" TargetMode="External"/><Relationship Id="rId35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4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Pt>
            <c:idx val="25"/>
            <c:bubble3D val="0"/>
          </c:dPt>
          <c:dLbls>
            <c:dLbl>
              <c:idx val="0"/>
              <c:layout>
                <c:manualLayout>
                  <c:x val="-4.1462322130901709E-2"/>
                  <c:y val="4.18640666664079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8082859766814122E-2"/>
                  <c:y val="2.54245248233005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4886190088169113E-2"/>
                  <c:y val="2.09377310480579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2573981114021586E-2"/>
                  <c:y val="-4.45422697249251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4599079354789142E-2"/>
                  <c:y val="3.00884539841499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7650145085820135E-2"/>
                  <c:y val="-2.72799371794595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47716857724923E-2"/>
                  <c:y val="4.10739180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4227975323367521E-2"/>
                  <c:y val="4.15453579364312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5867348435223836E-2"/>
                  <c:y val="3.98871606608057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5270582150507206E-2"/>
                  <c:y val="-4.42110518987949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7129501773629281E-2"/>
                  <c:y val="2.5589322579096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6.6771994710827676E-2"/>
                  <c:y val="9.640789284171107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7965913138518742E-2"/>
                  <c:y val="-4.34774593115367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1.0444456371647304E-2"/>
                  <c:y val="-2.34607518363819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3773249047039556E-2"/>
                  <c:y val="-2.19875718538586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6.7036273874512248E-2"/>
                  <c:y val="1.89267236192997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5976911103846362E-2"/>
                  <c:y val="4.175601325075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2.9118164432355619E-2"/>
                  <c:y val="-4.3755173873754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9165316280444451E-2"/>
                  <c:y val="4.0945321792603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1.8852143131304185E-2"/>
                  <c:y val="2.56779782720917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3.2935119678364398E-2"/>
                  <c:y val="-4.45502952926702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5.0197574164179297E-2"/>
                  <c:y val="2.59401731230918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5099401505062335E-2"/>
                  <c:y val="2.79657054392713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9046740856278519E-2"/>
                      <c:h val="5.7987352364877884E-2"/>
                    </c:manualLayout>
                  </c15:layout>
                </c:ext>
              </c:extLst>
            </c:dLbl>
            <c:dLbl>
              <c:idx val="23"/>
              <c:layout>
                <c:manualLayout>
                  <c:x val="-2.0207080109406424E-2"/>
                  <c:y val="2.45814358293287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1.0228185734194361E-2"/>
                  <c:y val="-7.093095901391350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2.5674301071814804E-2"/>
                  <c:y val="-6.5556993778651609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0,7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2.3522786084724048E-2"/>
                  <c:y val="2.7183200707218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'M-1'!$B$38:$B$62</c:f>
              <c:strCache>
                <c:ptCount val="25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</c:strCache>
            </c:strRef>
          </c:cat>
          <c:val>
            <c:numRef>
              <c:f>'M-1'!$C$38:$C$62</c:f>
              <c:numCache>
                <c:formatCode>0.0</c:formatCode>
                <c:ptCount val="25"/>
                <c:pt idx="0">
                  <c:v>-0.2</c:v>
                </c:pt>
                <c:pt idx="1">
                  <c:v>0.4</c:v>
                </c:pt>
                <c:pt idx="2">
                  <c:v>0.3</c:v>
                </c:pt>
                <c:pt idx="3">
                  <c:v>1.1000000000000001</c:v>
                </c:pt>
                <c:pt idx="4">
                  <c:v>0.2</c:v>
                </c:pt>
                <c:pt idx="5">
                  <c:v>0.3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0.2</c:v>
                </c:pt>
                <c:pt idx="10">
                  <c:v>0.1</c:v>
                </c:pt>
                <c:pt idx="11">
                  <c:v>0.8</c:v>
                </c:pt>
                <c:pt idx="12">
                  <c:v>0.9</c:v>
                </c:pt>
                <c:pt idx="13">
                  <c:v>0.7</c:v>
                </c:pt>
                <c:pt idx="14">
                  <c:v>0.2</c:v>
                </c:pt>
                <c:pt idx="15">
                  <c:v>-0.1</c:v>
                </c:pt>
                <c:pt idx="16">
                  <c:v>-0.2</c:v>
                </c:pt>
                <c:pt idx="17">
                  <c:v>0.6</c:v>
                </c:pt>
                <c:pt idx="18">
                  <c:v>-0.2</c:v>
                </c:pt>
                <c:pt idx="19">
                  <c:v>-0.1</c:v>
                </c:pt>
                <c:pt idx="20">
                  <c:v>0.2</c:v>
                </c:pt>
                <c:pt idx="21">
                  <c:v>0.1</c:v>
                </c:pt>
                <c:pt idx="22">
                  <c:v>0.1</c:v>
                </c:pt>
                <c:pt idx="23">
                  <c:v>0.1</c:v>
                </c:pt>
                <c:pt idx="24">
                  <c:v>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17106528"/>
        <c:axId val="-617104352"/>
      </c:lineChart>
      <c:dateAx>
        <c:axId val="-617106528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617104352"/>
        <c:crossesAt val="0"/>
        <c:auto val="0"/>
        <c:lblOffset val="100"/>
        <c:baseTimeUnit val="days"/>
      </c:dateAx>
      <c:valAx>
        <c:axId val="-617104352"/>
        <c:scaling>
          <c:orientation val="minMax"/>
          <c:max val="1.4"/>
          <c:min val="-0.60000000000000009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617106528"/>
        <c:crossesAt val="1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4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3.6712576468564982E-2"/>
                  <c:y val="-5.0308122147017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8385861817637717E-2"/>
                  <c:y val="-2.53561086090868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868407881250148E-2"/>
                  <c:y val="-3.52178772341580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083590846914286E-2"/>
                  <c:y val="-3.0561633815515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2107876545614117E-2"/>
                  <c:y val="-3.9890996379663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7613921579997982E-2"/>
                  <c:y val="-4.01310468286410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65991626910811E-2"/>
                  <c:y val="-4.14095702817566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9124135916658552E-2"/>
                  <c:y val="-4.13391311191563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0799351293540451E-2"/>
                  <c:y val="-4.29146042134211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5197722914833453E-2"/>
                  <c:y val="-4.13088981398906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2248120674167937E-2"/>
                  <c:y val="-4.06559207514777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2484229051433112E-2"/>
                  <c:y val="1.73959386648639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5.7786713153240278E-2"/>
                  <c:y val="-2.59016570311630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4.0220935206238491E-2"/>
                  <c:y val="-4.11558625449589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8683374165693573E-2"/>
                  <c:y val="-2.97780486507808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889246059500914E-2"/>
                      <c:h val="5.7450489075958532E-2"/>
                    </c:manualLayout>
                  </c15:layout>
                </c:ext>
              </c:extLst>
            </c:dLbl>
            <c:dLbl>
              <c:idx val="15"/>
              <c:layout>
                <c:manualLayout>
                  <c:x val="-5.5357354447323932E-2"/>
                  <c:y val="1.9165486738470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5.3240754319135199E-2"/>
                  <c:y val="2.75105431884186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5.6745413967879209E-2"/>
                  <c:y val="-4.516224361791500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5.1570155566687668E-2"/>
                  <c:y val="2.83571210412107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1.8602916634447766E-2"/>
                  <c:y val="2.78930327102106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5.5437716817087035E-2"/>
                  <c:y val="-1.57003441912115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1.7889132778578794E-2"/>
                  <c:y val="-2.51974015429576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9.2118029703970143E-3"/>
                  <c:y val="-5.644608882538784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2940024231140017E-2"/>
                      <c:h val="6.2314612858493025E-2"/>
                    </c:manualLayout>
                  </c15:layout>
                </c:ext>
              </c:extLst>
            </c:dLbl>
            <c:dLbl>
              <c:idx val="23"/>
              <c:layout>
                <c:manualLayout>
                  <c:x val="-2.5182942264628565E-2"/>
                  <c:y val="3.65870454903195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1.0291305617758739E-2"/>
                  <c:y val="-1.11002675901149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7.2784826812853837E-2"/>
                  <c:y val="-2.212248497510038E-2"/>
                </c:manualLayout>
              </c:layout>
              <c:spPr/>
              <c:txPr>
                <a:bodyPr anchor="t" anchorCtr="0"/>
                <a:lstStyle/>
                <a:p>
                  <a:pPr algn="ctr" rtl="0">
                    <a:defRPr lang="en-US" sz="800" b="0" i="0" u="none" strike="noStrike" kern="1200" baseline="0">
                      <a:solidFill>
                        <a:sysClr val="windowText" lastClr="000000"/>
                      </a:solidFill>
                      <a:latin typeface="Fira Sans" pitchFamily="34" charset="0"/>
                      <a:ea typeface="Fira Sans" pitchFamily="34" charset="0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961411244358282E-2"/>
                      <c:h val="5.713281828994788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2.8956234871554618E-2"/>
                  <c:y val="-3.61361882716049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(+FE)'!$B$38:$B$62</c:f>
              <c:strCache>
                <c:ptCount val="25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</c:strCache>
            </c:strRef>
          </c:cat>
          <c:val>
            <c:numRef>
              <c:f>'M-12 (+FE)'!$D$38:$D$62</c:f>
              <c:numCache>
                <c:formatCode>0.0</c:formatCode>
                <c:ptCount val="25"/>
                <c:pt idx="0">
                  <c:v>0.7</c:v>
                </c:pt>
                <c:pt idx="1">
                  <c:v>1.2</c:v>
                </c:pt>
                <c:pt idx="2">
                  <c:v>1.7</c:v>
                </c:pt>
                <c:pt idx="3">
                  <c:v>2.2000000000000002</c:v>
                </c:pt>
                <c:pt idx="4">
                  <c:v>2.4</c:v>
                </c:pt>
                <c:pt idx="5">
                  <c:v>2.6</c:v>
                </c:pt>
                <c:pt idx="6">
                  <c:v>2.9</c:v>
                </c:pt>
                <c:pt idx="7">
                  <c:v>2.9</c:v>
                </c:pt>
                <c:pt idx="8">
                  <c:v>2.6</c:v>
                </c:pt>
                <c:pt idx="9">
                  <c:v>2.5</c:v>
                </c:pt>
                <c:pt idx="10">
                  <c:v>2.6</c:v>
                </c:pt>
                <c:pt idx="11">
                  <c:v>3.4</c:v>
                </c:pt>
                <c:pt idx="12">
                  <c:v>4.3</c:v>
                </c:pt>
                <c:pt idx="13">
                  <c:v>4.7</c:v>
                </c:pt>
                <c:pt idx="14">
                  <c:v>4.5999999999999996</c:v>
                </c:pt>
                <c:pt idx="15">
                  <c:v>3.4</c:v>
                </c:pt>
                <c:pt idx="16">
                  <c:v>2.9</c:v>
                </c:pt>
                <c:pt idx="17">
                  <c:v>3.3</c:v>
                </c:pt>
                <c:pt idx="18">
                  <c:v>3</c:v>
                </c:pt>
                <c:pt idx="19">
                  <c:v>2.9</c:v>
                </c:pt>
                <c:pt idx="20">
                  <c:v>3.2</c:v>
                </c:pt>
                <c:pt idx="21">
                  <c:v>3.1</c:v>
                </c:pt>
                <c:pt idx="22">
                  <c:v>3</c:v>
                </c:pt>
                <c:pt idx="23">
                  <c:v>2.4</c:v>
                </c:pt>
                <c:pt idx="24">
                  <c:v>2.7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17108160"/>
        <c:axId val="-617105984"/>
      </c:lineChart>
      <c:dateAx>
        <c:axId val="-617108160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617105984"/>
        <c:crossesAt val="0"/>
        <c:auto val="0"/>
        <c:lblOffset val="100"/>
        <c:baseTimeUnit val="days"/>
      </c:dateAx>
      <c:valAx>
        <c:axId val="-617105984"/>
        <c:scaling>
          <c:orientation val="minMax"/>
          <c:max val="5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617108160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013502218472691"/>
          <c:y val="4.7627282267604047E-3"/>
          <c:w val="0.54848241626046745"/>
          <c:h val="0.9304786015440001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'SYSTEM WAG'!$B$2:$B$13</c:f>
              <c:strCache>
                <c:ptCount val="12"/>
                <c:pt idx="0">
                  <c:v>Inne towary i usługi</c:v>
                </c:pt>
                <c:pt idx="1">
                  <c:v>Restauracje i hotele</c:v>
                </c:pt>
                <c:pt idx="2">
                  <c:v>Edukacja</c:v>
                </c:pt>
                <c:pt idx="3">
                  <c:v>Rekreacja i kultura</c:v>
                </c:pt>
                <c:pt idx="4">
                  <c:v>Łączność</c:v>
                </c:pt>
                <c:pt idx="5">
                  <c:v>Transport</c:v>
                </c:pt>
                <c:pt idx="6">
                  <c:v>Zdrowie</c:v>
                </c:pt>
                <c:pt idx="7">
                  <c:v>Wyposażenie mieszkania 
i prowadzenie gospodarstwa domowego</c:v>
                </c:pt>
                <c:pt idx="8">
                  <c:v>Użytkowanie mieszkania 
lub domu i nośniki energii</c:v>
                </c:pt>
                <c:pt idx="9">
                  <c:v>Odzież i obuwie</c:v>
                </c:pt>
                <c:pt idx="10">
                  <c:v>Napoje alkoholowe 
i wyroby tytoniowe</c:v>
                </c:pt>
                <c:pt idx="11">
                  <c:v>Żywność i napoje bezalkoholowe</c:v>
                </c:pt>
              </c:strCache>
            </c:strRef>
          </c:cat>
          <c:val>
            <c:numRef>
              <c:f>'SYSTEM WAG'!$H$2:$H$13</c:f>
              <c:numCache>
                <c:formatCode>0.00</c:formatCode>
                <c:ptCount val="12"/>
                <c:pt idx="0">
                  <c:v>5.72</c:v>
                </c:pt>
                <c:pt idx="1">
                  <c:v>6.12</c:v>
                </c:pt>
                <c:pt idx="2">
                  <c:v>1.1499999999999999</c:v>
                </c:pt>
                <c:pt idx="3">
                  <c:v>6.62</c:v>
                </c:pt>
                <c:pt idx="4">
                  <c:v>4.54</c:v>
                </c:pt>
                <c:pt idx="5">
                  <c:v>9.89</c:v>
                </c:pt>
                <c:pt idx="6">
                  <c:v>5.29</c:v>
                </c:pt>
                <c:pt idx="7">
                  <c:v>5.8</c:v>
                </c:pt>
                <c:pt idx="8">
                  <c:v>18.440000000000001</c:v>
                </c:pt>
                <c:pt idx="9">
                  <c:v>4.9400000000000004</c:v>
                </c:pt>
                <c:pt idx="10">
                  <c:v>6.25</c:v>
                </c:pt>
                <c:pt idx="11">
                  <c:v>25.24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617102720"/>
        <c:axId val="-617104896"/>
      </c:barChart>
      <c:catAx>
        <c:axId val="-617102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 algn="r">
              <a:defRPr sz="800"/>
            </a:pPr>
            <a:endParaRPr lang="pl-PL"/>
          </a:p>
        </c:txPr>
        <c:crossAx val="-617104896"/>
        <c:crosses val="autoZero"/>
        <c:auto val="0"/>
        <c:lblAlgn val="ctr"/>
        <c:lblOffset val="100"/>
        <c:noMultiLvlLbl val="0"/>
      </c:catAx>
      <c:valAx>
        <c:axId val="-617104896"/>
        <c:scaling>
          <c:orientation val="minMax"/>
        </c:scaling>
        <c:delete val="0"/>
        <c:axPos val="b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title>
          <c:tx>
            <c:rich>
              <a:bodyPr anchor="b" anchorCtr="1"/>
              <a:lstStyle/>
              <a:p>
                <a:pPr algn="r">
                  <a:defRPr/>
                </a:pPr>
                <a:r>
                  <a:rPr lang="pl-PL" b="0"/>
                  <a:t>%</a:t>
                </a:r>
              </a:p>
            </c:rich>
          </c:tx>
          <c:layout>
            <c:manualLayout>
              <c:xMode val="edge"/>
              <c:yMode val="edge"/>
              <c:x val="0.96046216879140112"/>
              <c:y val="0.94792646725868535"/>
            </c:manualLayout>
          </c:layout>
          <c:overlay val="0"/>
          <c:spPr>
            <a:noFill/>
            <a:ln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noFill/>
          <a:ln w="6350">
            <a:noFill/>
            <a:prstDash val="sysDot"/>
          </a:ln>
        </c:spPr>
        <c:crossAx val="-6171027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Fira Sans" pitchFamily="34" charset="0"/>
          <a:ea typeface="Fira Sans" pitchFamily="34" charset="0"/>
        </a:defRPr>
      </a:pPr>
      <a:endParaRPr lang="pl-PL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0.48272</cdr:x>
      <cdr:y>0.86532</cdr:y>
    </cdr:from>
    <cdr:to>
      <cdr:x>0.48315</cdr:x>
      <cdr:y>0.94179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H="1" flipV="1">
          <a:off x="2466942" y="2202251"/>
          <a:ext cx="2198" cy="194617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endParaRPr lang="pl-PL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0.06988</cdr:x>
      <cdr:y>0.93898</cdr:y>
    </cdr:from>
    <cdr:to>
      <cdr:x>0.64722</cdr:x>
      <cdr:y>0.99323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58042" y="2444751"/>
          <a:ext cx="2958124" cy="1412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0.06721</cdr:x>
      <cdr:y>0.9279</cdr:y>
    </cdr:from>
    <cdr:to>
      <cdr:x>0.48735</cdr:x>
      <cdr:y>0.99268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4362" y="2371725"/>
          <a:ext cx="2152654" cy="1655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0.06738</cdr:x>
      <cdr:y>0.9299</cdr:y>
    </cdr:from>
    <cdr:to>
      <cdr:x>0.48316</cdr:x>
      <cdr:y>0.99126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344367" y="2366596"/>
          <a:ext cx="2124808" cy="1561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0.47708</cdr:x>
      <cdr:y>0.92702</cdr:y>
    </cdr:from>
    <cdr:to>
      <cdr:x>0.8932</cdr:x>
      <cdr:y>0.98786</cdr:y>
    </cdr:to>
    <cdr:sp macro="" textlink="">
      <cdr:nvSpPr>
        <cdr:cNvPr id="56" name="pole tekstowe 1"/>
        <cdr:cNvSpPr txBox="1"/>
      </cdr:nvSpPr>
      <cdr:spPr>
        <a:xfrm xmlns:a="http://schemas.openxmlformats.org/drawingml/2006/main">
          <a:off x="2438097" y="2359268"/>
          <a:ext cx="2126578" cy="1548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0.89597</cdr:x>
      <cdr:y>0.86637</cdr:y>
    </cdr:from>
    <cdr:to>
      <cdr:x>0.8964</cdr:x>
      <cdr:y>0.94284</cdr:y>
    </cdr:to>
    <cdr:sp macro="" textlink="">
      <cdr:nvSpPr>
        <cdr:cNvPr id="8" name="Łącznik prosty 6"/>
        <cdr:cNvSpPr/>
      </cdr:nvSpPr>
      <cdr:spPr bwMode="auto">
        <a:xfrm xmlns:a="http://schemas.openxmlformats.org/drawingml/2006/main" flipH="1" flipV="1">
          <a:off x="4578838" y="2204915"/>
          <a:ext cx="2198" cy="194617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0.8975</cdr:x>
      <cdr:y>0.92414</cdr:y>
    </cdr:from>
    <cdr:to>
      <cdr:x>0.95915</cdr:x>
      <cdr:y>0.99136</cdr:y>
    </cdr:to>
    <cdr:sp macro="" textlink="">
      <cdr:nvSpPr>
        <cdr:cNvPr id="9" name="pole tekstowe 1"/>
        <cdr:cNvSpPr txBox="1"/>
      </cdr:nvSpPr>
      <cdr:spPr>
        <a:xfrm xmlns:a="http://schemas.openxmlformats.org/drawingml/2006/main">
          <a:off x="4586653" y="2351942"/>
          <a:ext cx="315059" cy="1710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pl-PL" sz="800">
              <a:latin typeface="Fira Sans" pitchFamily="34" charset="0"/>
              <a:ea typeface="Fira Sans" pitchFamily="34" charset="0"/>
            </a:rPr>
            <a:t>2021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0.06595</cdr:x>
      <cdr:y>0.45677</cdr:y>
    </cdr:from>
    <cdr:to>
      <cdr:x>0.92602</cdr:x>
      <cdr:y>0.45679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38518" y="1173355"/>
          <a:ext cx="4414515" cy="5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0.09502</cdr:x>
      <cdr:y>0.93504</cdr:y>
    </cdr:from>
    <cdr:to>
      <cdr:x>0.44296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485657" y="2412651"/>
          <a:ext cx="1778364" cy="1676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0.06639</cdr:x>
      <cdr:y>0.93049</cdr:y>
    </cdr:from>
    <cdr:to>
      <cdr:x>0.46539</cdr:x>
      <cdr:y>0.99633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1169" y="2389435"/>
          <a:ext cx="2050416" cy="1690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0.067</cdr:x>
      <cdr:y>0.62248</cdr:y>
    </cdr:from>
    <cdr:to>
      <cdr:x>0.92803</cdr:x>
      <cdr:y>0.62276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42442" y="1606171"/>
          <a:ext cx="4400791" cy="722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0.06986</cdr:x>
      <cdr:y>0.29115</cdr:y>
    </cdr:from>
    <cdr:to>
      <cdr:x>0.92444</cdr:x>
      <cdr:y>0.29664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>
          <a:off x="357287" y="764521"/>
          <a:ext cx="4370608" cy="14416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0.06735</cdr:x>
      <cdr:y>0.92877</cdr:y>
    </cdr:from>
    <cdr:to>
      <cdr:x>0.48343</cdr:x>
      <cdr:y>1</cdr:y>
    </cdr:to>
    <cdr:sp macro="" textlink="">
      <cdr:nvSpPr>
        <cdr:cNvPr id="21" name="pole tekstowe 1"/>
        <cdr:cNvSpPr txBox="1"/>
      </cdr:nvSpPr>
      <cdr:spPr>
        <a:xfrm xmlns:a="http://schemas.openxmlformats.org/drawingml/2006/main">
          <a:off x="345877" y="2360191"/>
          <a:ext cx="2136780" cy="1810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0.48034</cdr:x>
      <cdr:y>0.92877</cdr:y>
    </cdr:from>
    <cdr:to>
      <cdr:x>0.89456</cdr:x>
      <cdr:y>1</cdr:y>
    </cdr:to>
    <cdr:sp macro="" textlink="">
      <cdr:nvSpPr>
        <cdr:cNvPr id="22" name="pole tekstowe 1"/>
        <cdr:cNvSpPr txBox="1"/>
      </cdr:nvSpPr>
      <cdr:spPr>
        <a:xfrm xmlns:a="http://schemas.openxmlformats.org/drawingml/2006/main">
          <a:off x="2466781" y="2360192"/>
          <a:ext cx="2127250" cy="1810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0.48064</cdr:x>
      <cdr:y>0.86194</cdr:y>
    </cdr:from>
    <cdr:to>
      <cdr:x>0.48098</cdr:x>
      <cdr:y>0.94565</cdr:y>
    </cdr:to>
    <cdr:sp macro="" textlink="">
      <cdr:nvSpPr>
        <cdr:cNvPr id="23" name="Łącznik prosty 22"/>
        <cdr:cNvSpPr/>
      </cdr:nvSpPr>
      <cdr:spPr bwMode="auto">
        <a:xfrm xmlns:a="http://schemas.openxmlformats.org/drawingml/2006/main" flipH="1" flipV="1">
          <a:off x="2468318" y="2190369"/>
          <a:ext cx="1746" cy="21272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0.15487</cdr:x>
      <cdr:y>0.21251</cdr:y>
    </cdr:from>
    <cdr:to>
      <cdr:x>0.45491</cdr:x>
      <cdr:y>0.29141</cdr:y>
    </cdr:to>
    <cdr:sp macro="" textlink="">
      <cdr:nvSpPr>
        <cdr:cNvPr id="24" name="pole tekstowe 1"/>
        <cdr:cNvSpPr txBox="1"/>
      </cdr:nvSpPr>
      <cdr:spPr>
        <a:xfrm xmlns:a="http://schemas.openxmlformats.org/drawingml/2006/main">
          <a:off x="795311" y="540030"/>
          <a:ext cx="1540855" cy="2005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0.15382</cdr:x>
      <cdr:y>0.62333</cdr:y>
    </cdr:from>
    <cdr:to>
      <cdr:x>0.43501</cdr:x>
      <cdr:y>0.70222</cdr:y>
    </cdr:to>
    <cdr:sp macro="" textlink="">
      <cdr:nvSpPr>
        <cdr:cNvPr id="25" name="pole tekstowe 1"/>
        <cdr:cNvSpPr txBox="1"/>
      </cdr:nvSpPr>
      <cdr:spPr>
        <a:xfrm xmlns:a="http://schemas.openxmlformats.org/drawingml/2006/main">
          <a:off x="789918" y="1584006"/>
          <a:ext cx="1444052" cy="200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0.44171</cdr:x>
      <cdr:y>0.45356</cdr:y>
    </cdr:from>
    <cdr:to>
      <cdr:x>0.63088</cdr:x>
      <cdr:y>0.54036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68415" y="1152587"/>
          <a:ext cx="971483" cy="22057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700" b="0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0.89337</cdr:x>
      <cdr:y>0.86647</cdr:y>
    </cdr:from>
    <cdr:to>
      <cdr:x>0.89371</cdr:x>
      <cdr:y>0.95018</cdr:y>
    </cdr:to>
    <cdr:sp macro="" textlink="">
      <cdr:nvSpPr>
        <cdr:cNvPr id="17" name="Łącznik prosty 22"/>
        <cdr:cNvSpPr/>
      </cdr:nvSpPr>
      <cdr:spPr bwMode="auto">
        <a:xfrm xmlns:a="http://schemas.openxmlformats.org/drawingml/2006/main" flipH="1" flipV="1">
          <a:off x="4576326" y="2195882"/>
          <a:ext cx="1742" cy="21214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0.89302</cdr:x>
      <cdr:y>0.92877</cdr:y>
    </cdr:from>
    <cdr:to>
      <cdr:x>0.95175</cdr:x>
      <cdr:y>1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4586093" y="2360192"/>
          <a:ext cx="301626" cy="1810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2021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58CC23-163B-452D-9DD3-D9B9DD95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Wskaźniki cen towarów i usług konsumpcyjnych w styczniu 2021 roku (dane wstępne)</dc:title>
  <cp:revision>2</cp:revision>
  <cp:lastPrinted>2021-02-12T16:46:00Z</cp:lastPrinted>
  <dcterms:created xsi:type="dcterms:W3CDTF">2021-02-15T08:23:00Z</dcterms:created>
  <dcterms:modified xsi:type="dcterms:W3CDTF">2021-02-15T08:23:00Z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