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74" w:rsidRPr="004F443B" w:rsidRDefault="00F67611" w:rsidP="00A91674">
      <w:pPr>
        <w:spacing w:before="0" w:after="0" w:line="240" w:lineRule="auto"/>
        <w:outlineLvl w:val="1"/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</w:pPr>
      <w:r w:rsidRPr="004F443B">
        <w:rPr>
          <w:rFonts w:ascii="Fira Sans Extra Condensed SemiB" w:hAnsi="Fira Sans Extra Condensed SemiB"/>
          <w:sz w:val="40"/>
          <w:szCs w:val="40"/>
        </w:rPr>
        <w:t xml:space="preserve">Struktura wynagrodzeń według zawodów </w:t>
      </w:r>
      <w:r w:rsidRPr="004F443B">
        <w:rPr>
          <w:rFonts w:ascii="Fira Sans Extra Condensed SemiB" w:hAnsi="Fira Sans Extra Condensed SemiB"/>
          <w:sz w:val="40"/>
          <w:szCs w:val="40"/>
        </w:rPr>
        <w:br/>
        <w:t xml:space="preserve">w październiku 2018 </w:t>
      </w:r>
      <w:r w:rsidR="00A91674" w:rsidRPr="004F443B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>roku</w:t>
      </w:r>
    </w:p>
    <w:p w:rsidR="00A91674" w:rsidRPr="004F443B" w:rsidRDefault="00A421D8" w:rsidP="00A91674">
      <w:pPr>
        <w:spacing w:after="0" w:line="240" w:lineRule="auto"/>
        <w:rPr>
          <w:rFonts w:ascii="Fira Sans Extra Condensed SemiB" w:hAnsi="Fira Sans Extra Condensed SemiB"/>
          <w:color w:val="000000" w:themeColor="text1"/>
          <w:sz w:val="12"/>
          <w:szCs w:val="12"/>
        </w:rPr>
      </w:pPr>
      <w:r>
        <w:rPr>
          <w:b/>
          <w:noProof/>
          <w:color w:val="001D77"/>
          <w:spacing w:val="-2"/>
          <w:sz w:val="12"/>
          <w:szCs w:val="1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53" type="#_x0000_t202" style="position:absolute;margin-left:417pt;margin-top:15.6pt;width:121.85pt;height:122.85pt;z-index:-251640320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khDwIAAPkDAAAOAAAAZHJzL2Uyb0RvYy54bWysU11v2yAUfZ+0/4B4X/yhOGusOFXXrtOk&#10;bqvU7QdgjGNU4DIgsbNfvwtO02h7m+YHBL73nnvP4bC5nrQiB+G8BNPQYpFTIgyHTppdQ398v393&#10;RYkPzHRMgRENPQpPr7dv32xGW4sSBlCdcARBjK9H29AhBFtnmeeD0MwvwAqDwR6cZgGPbpd1jo2I&#10;rlVW5vkqG8F11gEX3uPfuzlItwm/7wUP3/rei0BUQ3G2kFaX1jau2XbD6p1jdpD8NAb7hyk0kwab&#10;nqHuWGBk7+RfUFpyBx76sOCgM+h7yUXigGyK/A82TwOzInFBcbw9y+T/Hyz/enh0RHZ4dytKDNN4&#10;R4+gBAni2QcYBSmjRqP1NaY+WUwO0weYMD/x9fYB+LMnBm4HZnbixjkYB8E6nLGIldlF6YzjI0g7&#10;foEOe7F9gAQ09U5HAVESguh4V8fz/YgpEB5bVquyyDHEMVZU+XJdpRvMWP1Sbp0PnwRoEjcNdWiA&#10;BM8ODz7EcVj9khK7GbiXSiUTKEPGhq6rskoFFxEtA3pUSd3Qqzx+s2siy4+mS8WBSTXvsYEyJ9qR&#10;6cw5TO2EiVGLFrojCuBg9iK+HdwM4H5RMqIPG+p/7pkTlKjPBkVcF8tlNG46LKv3JR7cZaS9jDDD&#10;EaqhgZJ5exuS2WeuNyh2L5MMr5OcZkV/JXVObyEa+PKcsl5f7PY3AAAA//8DAFBLAwQUAAYACAAA&#10;ACEAn2IPzt8AAAALAQAADwAAAGRycy9kb3ducmV2LnhtbEyPTU/DMAyG70j8h8hI3FiyjZauqztN&#10;IK4gxofELWu8tlrjVE22ln9PdoKj7Uevn7fYTLYTZxp86xhhPlMgiCtnWq4RPt6f7zIQPmg2unNM&#10;CD/kYVNeXxU6N27kNzrvQi1iCPtcIzQh9LmUvmrIaj9zPXG8HdxgdYjjUEsz6DGG204ulEql1S3H&#10;D43u6bGh6rg7WYTPl8P31716rZ9s0o9uUpLtSiLe3kzbNYhAU/iD4aIf1aGMTnt3YuNFh5AtkySi&#10;CEuVgrgAKpvHzR5hkT6kIMtC/u9Q/gIAAP//AwBQSwECLQAUAAYACAAAACEAtoM4kv4AAADhAQAA&#10;EwAAAAAAAAAAAAAAAAAAAAAAW0NvbnRlbnRfVHlwZXNdLnhtbFBLAQItABQABgAIAAAAIQA4/SH/&#10;1gAAAJQBAAALAAAAAAAAAAAAAAAAAC8BAABfcmVscy8ucmVsc1BLAQItABQABgAIAAAAIQDioikh&#10;DwIAAPkDAAAOAAAAAAAAAAAAAAAAAC4CAABkcnMvZTJvRG9jLnhtbFBLAQItABQABgAIAAAAIQCf&#10;Yg/O3wAAAAsBAAAPAAAAAAAAAAAAAAAAAGkEAABkcnMvZG93bnJldi54bWxQSwUGAAAAAAQABADz&#10;AAAAdQUAAAAA&#10;" filled="f" stroked="f">
            <v:textbox style="mso-next-textbox:#Pole tekstowe 2">
              <w:txbxContent>
                <w:p w:rsidR="00696C22" w:rsidRPr="00806160" w:rsidRDefault="00696C22" w:rsidP="00696C22">
                  <w:pPr>
                    <w:spacing w:before="0" w:after="0"/>
                    <w:rPr>
                      <w:rFonts w:eastAsia="Times New Roman" w:cs="Times New Roman"/>
                      <w:bCs/>
                      <w:color w:val="001D77"/>
                      <w:sz w:val="16"/>
                      <w:szCs w:val="18"/>
                      <w:lang w:eastAsia="pl-PL"/>
                    </w:rPr>
                  </w:pPr>
                  <w:r w:rsidRPr="00806160">
                    <w:rPr>
                      <w:color w:val="001D77"/>
                      <w:sz w:val="18"/>
                      <w:szCs w:val="19"/>
                    </w:rPr>
                    <w:t xml:space="preserve">Połowa pracowników zatrudnionych </w:t>
                  </w:r>
                  <w:r w:rsidRPr="00930AE8">
                    <w:rPr>
                      <w:color w:val="001D77"/>
                      <w:sz w:val="18"/>
                      <w:szCs w:val="19"/>
                    </w:rPr>
                    <w:t>w jednostkach o liczbie pracujących powyżej 9 osób</w:t>
                  </w:r>
                  <w:r w:rsidRPr="00806160">
                    <w:rPr>
                      <w:color w:val="001D77"/>
                      <w:sz w:val="18"/>
                      <w:szCs w:val="19"/>
                    </w:rPr>
                    <w:t xml:space="preserve"> otrzymała wynagrodzenie ogółem brutto </w:t>
                  </w:r>
                  <w:r>
                    <w:rPr>
                      <w:color w:val="001D77"/>
                      <w:sz w:val="18"/>
                      <w:szCs w:val="19"/>
                    </w:rPr>
                    <w:t>nie wyższe niż</w:t>
                  </w:r>
                  <w:r w:rsidRPr="00806160">
                    <w:rPr>
                      <w:color w:val="001D77"/>
                      <w:sz w:val="18"/>
                      <w:szCs w:val="19"/>
                    </w:rPr>
                    <w:t xml:space="preserve"> 4094,98 zł (mediana)</w:t>
                  </w:r>
                  <w:r>
                    <w:rPr>
                      <w:color w:val="001D77"/>
                      <w:sz w:val="18"/>
                      <w:szCs w:val="19"/>
                    </w:rPr>
                    <w:t>.</w:t>
                  </w:r>
                </w:p>
              </w:txbxContent>
            </v:textbox>
            <w10:wrap type="tight"/>
          </v:shape>
        </w:pict>
      </w:r>
    </w:p>
    <w:p w:rsidR="00696C22" w:rsidRPr="004F443B" w:rsidRDefault="00966A7B" w:rsidP="00696C22">
      <w:pPr>
        <w:spacing w:after="0"/>
        <w:rPr>
          <w:rFonts w:eastAsia="Times New Roman" w:cs="Times New Roman"/>
          <w:b/>
          <w:szCs w:val="19"/>
          <w:lang w:eastAsia="pl-PL"/>
        </w:rPr>
      </w:pPr>
      <w:r>
        <w:rPr>
          <w:b/>
          <w:noProof/>
          <w:szCs w:val="19"/>
          <w:lang w:eastAsia="pl-PL"/>
        </w:rPr>
        <w:pict>
          <v:shape id="Text Box 3" o:spid="_x0000_s1027" type="#_x0000_t202" style="position:absolute;margin-left:0;margin-top:6.55pt;width:184.5pt;height:98pt;z-index:251658752;visibility:visible;mso-wrap-distance-top:3.6pt;mso-wrap-distance-bottom:3.6pt;mso-position-horizontal:left;mso-position-horizontal-relative:margin;mso-width-relative:margin;mso-height-relative:margin" fillcolor="#001d77" stroked="f">
            <v:textbox style="mso-next-textbox:#Text Box 3">
              <w:txbxContent>
                <w:p w:rsidR="00696C22" w:rsidRPr="00806160" w:rsidRDefault="00696C22" w:rsidP="00696C22">
                  <w:pPr>
                    <w:pStyle w:val="tekstnaniebieskimtle"/>
                    <w:jc w:val="center"/>
                    <w:rPr>
                      <w:rFonts w:ascii="Fira Sans SemiBold" w:eastAsia="Times New Roman" w:hAnsi="Fira Sans SemiBold" w:cs="Times New Roman"/>
                      <w:sz w:val="60"/>
                      <w:szCs w:val="60"/>
                      <w:lang w:eastAsia="pl-PL"/>
                    </w:rPr>
                  </w:pPr>
                  <w:r>
                    <w:rPr>
                      <w:rFonts w:ascii="Fira Sans SemiBold" w:eastAsia="Times New Roman" w:hAnsi="Fira Sans SemiBold" w:cs="Times New Roman"/>
                      <w:sz w:val="72"/>
                      <w:szCs w:val="72"/>
                      <w:lang w:eastAsia="pl-PL"/>
                    </w:rPr>
                    <w:t>4094</w:t>
                  </w:r>
                  <w:r w:rsidRPr="00806160">
                    <w:rPr>
                      <w:rFonts w:ascii="Fira Sans SemiBold" w:eastAsia="Times New Roman" w:hAnsi="Fira Sans SemiBold" w:cs="Times New Roman"/>
                      <w:sz w:val="72"/>
                      <w:szCs w:val="72"/>
                      <w:lang w:eastAsia="pl-PL"/>
                    </w:rPr>
                    <w:t>,</w:t>
                  </w:r>
                  <w:r>
                    <w:rPr>
                      <w:rFonts w:ascii="Fira Sans SemiBold" w:eastAsia="Times New Roman" w:hAnsi="Fira Sans SemiBold" w:cs="Times New Roman"/>
                      <w:sz w:val="72"/>
                      <w:szCs w:val="72"/>
                      <w:lang w:eastAsia="pl-PL"/>
                    </w:rPr>
                    <w:t>98 zł</w:t>
                  </w:r>
                </w:p>
                <w:p w:rsidR="00696C22" w:rsidRPr="00EF1B0F" w:rsidRDefault="00696C22" w:rsidP="00696C22">
                  <w:pPr>
                    <w:jc w:val="center"/>
                  </w:pPr>
                  <w:r>
                    <w:t>Mediana wynagrodzeń</w:t>
                  </w:r>
                  <w:r w:rsidRPr="00EF1B0F">
                    <w:rPr>
                      <w:szCs w:val="19"/>
                    </w:rPr>
                    <w:t xml:space="preserve"> </w:t>
                  </w:r>
                  <w:r>
                    <w:rPr>
                      <w:szCs w:val="19"/>
                    </w:rPr>
                    <w:t>miesięcznych</w:t>
                  </w:r>
                  <w:r>
                    <w:rPr>
                      <w:szCs w:val="19"/>
                    </w:rPr>
                    <w:br/>
                  </w:r>
                </w:p>
                <w:p w:rsidR="004B542C" w:rsidRPr="00EF1B0F" w:rsidRDefault="00EF1B0F" w:rsidP="00806160">
                  <w:r>
                    <w:rPr>
                      <w:szCs w:val="19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  <w:szCs w:val="19"/>
          <w:lang w:eastAsia="pl-PL"/>
        </w:rPr>
        <w:pict>
          <v:shape id="_x0000_s1052" type="#_x0000_t202" style="position:absolute;margin-left:0;margin-top:6.55pt;width:184.5pt;height:98pt;z-index:251675136;visibility:visible;mso-wrap-distance-top:3.6pt;mso-wrap-distance-bottom:3.6pt;mso-position-horizontal:left;mso-position-horizontal-relative:margin;mso-width-relative:margin;mso-height-relative:margin" fillcolor="#001d77" stroked="f">
            <v:textbox>
              <w:txbxContent>
                <w:p w:rsidR="00696C22" w:rsidRPr="00806160" w:rsidRDefault="00696C22" w:rsidP="00696C22">
                  <w:pPr>
                    <w:pStyle w:val="tekstnaniebieskimtle"/>
                    <w:jc w:val="center"/>
                    <w:rPr>
                      <w:rFonts w:ascii="Fira Sans SemiBold" w:eastAsia="Times New Roman" w:hAnsi="Fira Sans SemiBold" w:cs="Times New Roman"/>
                      <w:sz w:val="60"/>
                      <w:szCs w:val="60"/>
                      <w:lang w:eastAsia="pl-PL"/>
                    </w:rPr>
                  </w:pPr>
                  <w:r>
                    <w:rPr>
                      <w:rFonts w:ascii="Fira Sans SemiBold" w:eastAsia="Times New Roman" w:hAnsi="Fira Sans SemiBold" w:cs="Times New Roman"/>
                      <w:sz w:val="72"/>
                      <w:szCs w:val="72"/>
                      <w:lang w:eastAsia="pl-PL"/>
                    </w:rPr>
                    <w:t>4094</w:t>
                  </w:r>
                  <w:r w:rsidRPr="00806160">
                    <w:rPr>
                      <w:rFonts w:ascii="Fira Sans SemiBold" w:eastAsia="Times New Roman" w:hAnsi="Fira Sans SemiBold" w:cs="Times New Roman"/>
                      <w:sz w:val="72"/>
                      <w:szCs w:val="72"/>
                      <w:lang w:eastAsia="pl-PL"/>
                    </w:rPr>
                    <w:t>,</w:t>
                  </w:r>
                  <w:r>
                    <w:rPr>
                      <w:rFonts w:ascii="Fira Sans SemiBold" w:eastAsia="Times New Roman" w:hAnsi="Fira Sans SemiBold" w:cs="Times New Roman"/>
                      <w:sz w:val="72"/>
                      <w:szCs w:val="72"/>
                      <w:lang w:eastAsia="pl-PL"/>
                    </w:rPr>
                    <w:t>98 zł</w:t>
                  </w:r>
                </w:p>
                <w:p w:rsidR="00696C22" w:rsidRPr="00EF1B0F" w:rsidRDefault="00696C22" w:rsidP="00696C22">
                  <w:pPr>
                    <w:jc w:val="center"/>
                  </w:pPr>
                  <w:r>
                    <w:t>Mediana wynagrodzeń</w:t>
                  </w:r>
                  <w:r w:rsidRPr="00EF1B0F">
                    <w:rPr>
                      <w:szCs w:val="19"/>
                    </w:rPr>
                    <w:t xml:space="preserve"> </w:t>
                  </w:r>
                  <w:r>
                    <w:rPr>
                      <w:szCs w:val="19"/>
                    </w:rPr>
                    <w:t>miesięcznych</w:t>
                  </w:r>
                  <w:r>
                    <w:rPr>
                      <w:szCs w:val="19"/>
                    </w:rPr>
                    <w:br/>
                  </w:r>
                </w:p>
              </w:txbxContent>
            </v:textbox>
            <w10:wrap type="square" anchorx="margin"/>
          </v:shape>
        </w:pict>
      </w:r>
      <w:r w:rsidR="00696C22" w:rsidRPr="004F443B">
        <w:rPr>
          <w:b/>
        </w:rPr>
        <w:t xml:space="preserve">W październiku 2018 r. </w:t>
      </w:r>
      <w:r w:rsidR="00696C22">
        <w:rPr>
          <w:b/>
        </w:rPr>
        <w:t>środkowe</w:t>
      </w:r>
      <w:r w:rsidR="00696C22" w:rsidRPr="004F443B">
        <w:rPr>
          <w:b/>
          <w:szCs w:val="19"/>
        </w:rPr>
        <w:t xml:space="preserve"> miesięczne wynagrodzenie ogółem</w:t>
      </w:r>
      <w:r w:rsidR="00696C22" w:rsidRPr="004F443B">
        <w:rPr>
          <w:rStyle w:val="Odwoanieprzypisudolnego"/>
          <w:b/>
          <w:szCs w:val="19"/>
        </w:rPr>
        <w:footnoteReference w:id="1"/>
      </w:r>
      <w:r w:rsidR="00696C22" w:rsidRPr="004F443B">
        <w:rPr>
          <w:b/>
          <w:szCs w:val="19"/>
        </w:rPr>
        <w:t xml:space="preserve"> brutto dla </w:t>
      </w:r>
      <w:r w:rsidR="00696C22">
        <w:rPr>
          <w:b/>
          <w:szCs w:val="19"/>
        </w:rPr>
        <w:t xml:space="preserve">osób zatrudnionych w </w:t>
      </w:r>
      <w:r w:rsidR="00696C22" w:rsidRPr="004F443B">
        <w:rPr>
          <w:b/>
          <w:szCs w:val="19"/>
        </w:rPr>
        <w:t>jednostk</w:t>
      </w:r>
      <w:r w:rsidR="00696C22">
        <w:rPr>
          <w:b/>
          <w:szCs w:val="19"/>
        </w:rPr>
        <w:t>ach</w:t>
      </w:r>
      <w:r w:rsidR="00696C22" w:rsidRPr="004F443B">
        <w:rPr>
          <w:b/>
          <w:szCs w:val="19"/>
        </w:rPr>
        <w:t xml:space="preserve"> o liczbie pracujących powyżej 9 osób</w:t>
      </w:r>
      <w:r w:rsidR="00696C22">
        <w:rPr>
          <w:rStyle w:val="Odwoanieprzypisudolnego"/>
          <w:b/>
          <w:szCs w:val="19"/>
        </w:rPr>
        <w:footnoteReference w:id="2"/>
      </w:r>
      <w:r w:rsidR="00696C22">
        <w:rPr>
          <w:b/>
          <w:szCs w:val="19"/>
        </w:rPr>
        <w:t xml:space="preserve"> </w:t>
      </w:r>
      <w:r w:rsidR="00696C22" w:rsidRPr="004F443B">
        <w:rPr>
          <w:b/>
          <w:szCs w:val="19"/>
        </w:rPr>
        <w:t xml:space="preserve">wyniosło </w:t>
      </w:r>
      <w:r w:rsidR="00696C22">
        <w:rPr>
          <w:b/>
          <w:szCs w:val="19"/>
        </w:rPr>
        <w:br/>
        <w:t>4094,98</w:t>
      </w:r>
      <w:r w:rsidR="00696C22" w:rsidRPr="004F443B">
        <w:rPr>
          <w:b/>
          <w:szCs w:val="19"/>
        </w:rPr>
        <w:t xml:space="preserve"> zł.</w:t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 xml:space="preserve"> W porównaniu z październikiem </w:t>
      </w:r>
      <w:r w:rsidR="00696C22">
        <w:rPr>
          <w:rFonts w:eastAsia="Times New Roman" w:cs="Times New Roman"/>
          <w:b/>
          <w:noProof/>
          <w:szCs w:val="19"/>
          <w:lang w:eastAsia="pl-PL"/>
        </w:rPr>
        <w:br/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 xml:space="preserve">2016 r. </w:t>
      </w:r>
      <w:r w:rsidR="00696C22">
        <w:rPr>
          <w:b/>
        </w:rPr>
        <w:t>mediana</w:t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 xml:space="preserve"> był</w:t>
      </w:r>
      <w:r w:rsidR="00696C22">
        <w:rPr>
          <w:rFonts w:eastAsia="Times New Roman" w:cs="Times New Roman"/>
          <w:b/>
          <w:noProof/>
          <w:szCs w:val="19"/>
          <w:lang w:eastAsia="pl-PL"/>
        </w:rPr>
        <w:t>a</w:t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 xml:space="preserve"> większ</w:t>
      </w:r>
      <w:r w:rsidR="00696C22">
        <w:rPr>
          <w:rFonts w:eastAsia="Times New Roman" w:cs="Times New Roman"/>
          <w:b/>
          <w:noProof/>
          <w:szCs w:val="19"/>
          <w:lang w:eastAsia="pl-PL"/>
        </w:rPr>
        <w:t>a</w:t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 xml:space="preserve"> o </w:t>
      </w:r>
      <w:r w:rsidR="00696C22">
        <w:rPr>
          <w:rFonts w:eastAsia="Times New Roman" w:cs="Times New Roman"/>
          <w:b/>
          <w:noProof/>
          <w:szCs w:val="19"/>
          <w:lang w:eastAsia="pl-PL"/>
        </w:rPr>
        <w:t>584</w:t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>,</w:t>
      </w:r>
      <w:r w:rsidR="00696C22">
        <w:rPr>
          <w:rFonts w:eastAsia="Times New Roman" w:cs="Times New Roman"/>
          <w:b/>
          <w:noProof/>
          <w:szCs w:val="19"/>
          <w:lang w:eastAsia="pl-PL"/>
        </w:rPr>
        <w:t>31</w:t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 xml:space="preserve"> zł, </w:t>
      </w:r>
      <w:r w:rsidR="00696C22">
        <w:rPr>
          <w:rFonts w:eastAsia="Times New Roman" w:cs="Times New Roman"/>
          <w:b/>
          <w:noProof/>
          <w:szCs w:val="19"/>
          <w:lang w:eastAsia="pl-PL"/>
        </w:rPr>
        <w:br/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>tj. o 1</w:t>
      </w:r>
      <w:r w:rsidR="00696C22">
        <w:rPr>
          <w:rFonts w:eastAsia="Times New Roman" w:cs="Times New Roman"/>
          <w:b/>
          <w:noProof/>
          <w:szCs w:val="19"/>
          <w:lang w:eastAsia="pl-PL"/>
        </w:rPr>
        <w:t>6</w:t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>,</w:t>
      </w:r>
      <w:r w:rsidR="00696C22">
        <w:rPr>
          <w:rFonts w:eastAsia="Times New Roman" w:cs="Times New Roman"/>
          <w:b/>
          <w:noProof/>
          <w:szCs w:val="19"/>
          <w:lang w:eastAsia="pl-PL"/>
        </w:rPr>
        <w:t>6</w:t>
      </w:r>
      <w:r w:rsidR="00696C22" w:rsidRPr="004F443B">
        <w:rPr>
          <w:rFonts w:eastAsia="Times New Roman" w:cs="Times New Roman"/>
          <w:b/>
          <w:noProof/>
          <w:szCs w:val="19"/>
          <w:lang w:eastAsia="pl-PL"/>
        </w:rPr>
        <w:t xml:space="preserve">%. </w:t>
      </w:r>
    </w:p>
    <w:p w:rsidR="00A91674" w:rsidRPr="004F443B" w:rsidRDefault="00A91674" w:rsidP="00A91674">
      <w:pPr>
        <w:spacing w:after="0"/>
        <w:rPr>
          <w:rFonts w:eastAsia="Times New Roman" w:cs="Times New Roman"/>
          <w:b/>
          <w:szCs w:val="19"/>
          <w:lang w:eastAsia="pl-PL"/>
        </w:rPr>
      </w:pPr>
    </w:p>
    <w:p w:rsidR="00A91674" w:rsidRPr="004F443B" w:rsidRDefault="00A91674" w:rsidP="001E7AA8">
      <w:pPr>
        <w:spacing w:before="0" w:after="0"/>
        <w:rPr>
          <w:sz w:val="4"/>
          <w:szCs w:val="4"/>
        </w:rPr>
      </w:pPr>
    </w:p>
    <w:p w:rsidR="00F018A2" w:rsidRDefault="00F018A2" w:rsidP="001E7AA8">
      <w:pPr>
        <w:spacing w:before="0"/>
        <w:outlineLvl w:val="0"/>
        <w:rPr>
          <w:rFonts w:ascii="Fira Sans SemiBold" w:hAnsi="Fira Sans SemiBold"/>
          <w:color w:val="001D77"/>
          <w:szCs w:val="19"/>
        </w:rPr>
      </w:pPr>
    </w:p>
    <w:p w:rsidR="00F67611" w:rsidRPr="003E54AF" w:rsidRDefault="00F67611" w:rsidP="001E7AA8">
      <w:pPr>
        <w:spacing w:before="0"/>
        <w:outlineLvl w:val="0"/>
        <w:rPr>
          <w:rFonts w:ascii="Fira Sans SemiBold" w:hAnsi="Fira Sans SemiBold"/>
          <w:color w:val="001D77"/>
          <w:szCs w:val="19"/>
        </w:rPr>
      </w:pPr>
      <w:r w:rsidRPr="003E54AF">
        <w:rPr>
          <w:rFonts w:ascii="Fira Sans SemiBold" w:hAnsi="Fira Sans SemiBold"/>
          <w:color w:val="001D77"/>
          <w:szCs w:val="19"/>
        </w:rPr>
        <w:t>Podstawowe wyniki badania</w:t>
      </w:r>
    </w:p>
    <w:p w:rsidR="00A854F5" w:rsidRPr="00392979" w:rsidRDefault="00A854F5" w:rsidP="00A854F5">
      <w:pPr>
        <w:pStyle w:val="tekst"/>
        <w:widowControl/>
        <w:spacing w:before="240" w:line="240" w:lineRule="auto"/>
        <w:ind w:firstLine="0"/>
        <w:rPr>
          <w:rFonts w:ascii="Fira Sans" w:hAnsi="Fira Sans"/>
          <w:noProof w:val="0"/>
          <w:sz w:val="19"/>
          <w:szCs w:val="19"/>
        </w:rPr>
      </w:pPr>
      <w:r>
        <w:rPr>
          <w:rFonts w:ascii="Fira Sans" w:hAnsi="Fira Sans"/>
          <w:b/>
          <w:noProof w:val="0"/>
          <w:sz w:val="19"/>
          <w:szCs w:val="19"/>
        </w:rPr>
        <w:t>B</w:t>
      </w:r>
      <w:r w:rsidRPr="00392979">
        <w:rPr>
          <w:rFonts w:ascii="Fira Sans" w:hAnsi="Fira Sans"/>
          <w:b/>
          <w:noProof w:val="0"/>
          <w:sz w:val="19"/>
          <w:szCs w:val="19"/>
        </w:rPr>
        <w:t>adani</w:t>
      </w:r>
      <w:r>
        <w:rPr>
          <w:rFonts w:ascii="Fira Sans" w:hAnsi="Fira Sans"/>
          <w:b/>
          <w:noProof w:val="0"/>
          <w:sz w:val="19"/>
          <w:szCs w:val="19"/>
        </w:rPr>
        <w:t>e</w:t>
      </w:r>
      <w:r w:rsidRPr="00392979">
        <w:rPr>
          <w:rFonts w:ascii="Fira Sans" w:hAnsi="Fira Sans"/>
          <w:b/>
          <w:noProof w:val="0"/>
          <w:sz w:val="19"/>
          <w:szCs w:val="19"/>
        </w:rPr>
        <w:t xml:space="preserve"> struktury wynagrodzeń</w:t>
      </w:r>
      <w:r w:rsidRPr="00392979">
        <w:rPr>
          <w:rFonts w:ascii="Fira Sans" w:hAnsi="Fira Sans"/>
          <w:noProof w:val="0"/>
          <w:sz w:val="19"/>
          <w:szCs w:val="19"/>
        </w:rPr>
        <w:t xml:space="preserve"> </w:t>
      </w:r>
      <w:r>
        <w:rPr>
          <w:rFonts w:ascii="Fira Sans" w:hAnsi="Fira Sans"/>
          <w:noProof w:val="0"/>
          <w:sz w:val="19"/>
          <w:szCs w:val="19"/>
        </w:rPr>
        <w:t>jest</w:t>
      </w:r>
      <w:r w:rsidRPr="00392979">
        <w:rPr>
          <w:rFonts w:ascii="Fira Sans" w:hAnsi="Fira Sans"/>
          <w:noProof w:val="0"/>
          <w:sz w:val="19"/>
          <w:szCs w:val="19"/>
        </w:rPr>
        <w:t xml:space="preserve"> jedynym źródłem</w:t>
      </w:r>
      <w:r>
        <w:rPr>
          <w:rFonts w:ascii="Fira Sans" w:hAnsi="Fira Sans"/>
          <w:noProof w:val="0"/>
          <w:sz w:val="19"/>
          <w:szCs w:val="19"/>
        </w:rPr>
        <w:t xml:space="preserve"> danych</w:t>
      </w:r>
      <w:r w:rsidRPr="00392979">
        <w:rPr>
          <w:rFonts w:ascii="Fira Sans" w:hAnsi="Fira Sans"/>
          <w:noProof w:val="0"/>
          <w:sz w:val="19"/>
          <w:szCs w:val="19"/>
        </w:rPr>
        <w:t xml:space="preserve">, pozwalającym na analizę zróżnicowania wynagrodzeń (miesięcznych i godzinowych) z uwzględnieniem cech osób fizycznych, takich jak: płeć, wiek, poziom wykształcenia, staż pracy, wykonywany zawód, </w:t>
      </w:r>
      <w:r>
        <w:rPr>
          <w:rFonts w:ascii="Fira Sans" w:hAnsi="Fira Sans"/>
          <w:noProof w:val="0"/>
          <w:sz w:val="19"/>
          <w:szCs w:val="19"/>
        </w:rPr>
        <w:br/>
      </w:r>
      <w:r w:rsidRPr="00392979">
        <w:rPr>
          <w:rFonts w:ascii="Fira Sans" w:hAnsi="Fira Sans"/>
          <w:noProof w:val="0"/>
          <w:sz w:val="19"/>
          <w:szCs w:val="19"/>
        </w:rPr>
        <w:t xml:space="preserve">a także cech charakteryzujących zakłady pracy tych osób, </w:t>
      </w:r>
      <w:r>
        <w:rPr>
          <w:rFonts w:ascii="Fira Sans" w:hAnsi="Fira Sans"/>
          <w:noProof w:val="0"/>
          <w:sz w:val="19"/>
          <w:szCs w:val="19"/>
        </w:rPr>
        <w:t>m.in.</w:t>
      </w:r>
      <w:r w:rsidRPr="00392979">
        <w:rPr>
          <w:rFonts w:ascii="Fira Sans" w:hAnsi="Fira Sans"/>
          <w:noProof w:val="0"/>
          <w:sz w:val="19"/>
          <w:szCs w:val="19"/>
        </w:rPr>
        <w:t>: rodzaj działalności, sektor własności, wielkość za</w:t>
      </w:r>
      <w:r>
        <w:rPr>
          <w:rFonts w:ascii="Fira Sans" w:hAnsi="Fira Sans"/>
          <w:noProof w:val="0"/>
          <w:sz w:val="19"/>
          <w:szCs w:val="19"/>
        </w:rPr>
        <w:t>kładu i położenie geograficzne.</w:t>
      </w:r>
      <w:r w:rsidRPr="00392979">
        <w:rPr>
          <w:rFonts w:ascii="Fira Sans" w:hAnsi="Fira Sans"/>
          <w:noProof w:val="0"/>
          <w:sz w:val="19"/>
          <w:szCs w:val="19"/>
        </w:rPr>
        <w:t xml:space="preserve"> Na podstawie wyników </w:t>
      </w:r>
      <w:r>
        <w:rPr>
          <w:rFonts w:ascii="Fira Sans" w:hAnsi="Fira Sans"/>
          <w:noProof w:val="0"/>
          <w:sz w:val="19"/>
          <w:szCs w:val="19"/>
        </w:rPr>
        <w:t xml:space="preserve">tego </w:t>
      </w:r>
      <w:r w:rsidRPr="00392979">
        <w:rPr>
          <w:rFonts w:ascii="Fira Sans" w:hAnsi="Fira Sans"/>
          <w:noProof w:val="0"/>
          <w:sz w:val="19"/>
          <w:szCs w:val="19"/>
        </w:rPr>
        <w:t>badania opracowywane są także rozkłady zatrudnionych według wysokości wynagrodzenia oraz podstawowe mierniki zróżnicowania płac</w:t>
      </w:r>
      <w:r>
        <w:rPr>
          <w:rFonts w:ascii="Fira Sans" w:hAnsi="Fira Sans"/>
          <w:noProof w:val="0"/>
          <w:sz w:val="19"/>
          <w:szCs w:val="19"/>
        </w:rPr>
        <w:t xml:space="preserve"> (kwantyle, w tym mediana)</w:t>
      </w:r>
      <w:r w:rsidRPr="00392979">
        <w:rPr>
          <w:rFonts w:ascii="Fira Sans" w:hAnsi="Fira Sans"/>
          <w:noProof w:val="0"/>
          <w:sz w:val="19"/>
          <w:szCs w:val="19"/>
        </w:rPr>
        <w:t>.</w:t>
      </w:r>
    </w:p>
    <w:p w:rsidR="00A854F5" w:rsidRPr="003E54AF" w:rsidRDefault="00A854F5" w:rsidP="00A854F5">
      <w:pPr>
        <w:spacing w:before="0"/>
        <w:outlineLvl w:val="0"/>
        <w:rPr>
          <w:rFonts w:ascii="Fira Sans SemiBold" w:hAnsi="Fira Sans SemiBold"/>
          <w:color w:val="001D77"/>
          <w:szCs w:val="19"/>
        </w:rPr>
      </w:pPr>
    </w:p>
    <w:p w:rsidR="00A854F5" w:rsidRPr="000A428F" w:rsidRDefault="00A854F5" w:rsidP="00A854F5">
      <w:pPr>
        <w:pStyle w:val="Akapitzlist"/>
        <w:numPr>
          <w:ilvl w:val="0"/>
          <w:numId w:val="7"/>
        </w:numPr>
        <w:spacing w:before="0"/>
        <w:ind w:left="142" w:hanging="142"/>
        <w:contextualSpacing w:val="0"/>
        <w:rPr>
          <w:szCs w:val="19"/>
        </w:rPr>
      </w:pPr>
      <w:r w:rsidRPr="0078494E">
        <w:t>W październiku 2018 r. p</w:t>
      </w:r>
      <w:r w:rsidRPr="000A428F">
        <w:rPr>
          <w:szCs w:val="19"/>
        </w:rPr>
        <w:t xml:space="preserve">rzeciętne miesięczne wynagrodzenie ogółem brutto dla jednostek, </w:t>
      </w:r>
      <w:r w:rsidRPr="000A428F">
        <w:rPr>
          <w:szCs w:val="19"/>
        </w:rPr>
        <w:br/>
        <w:t>o liczbie pracujących powyżej 9 osób, wyniosło 5003,78 zł.</w:t>
      </w:r>
      <w:r w:rsidRPr="000A428F">
        <w:rPr>
          <w:rFonts w:eastAsia="Times New Roman" w:cs="Times New Roman"/>
          <w:noProof/>
          <w:szCs w:val="19"/>
          <w:lang w:eastAsia="pl-PL"/>
        </w:rPr>
        <w:t xml:space="preserve"> </w:t>
      </w:r>
    </w:p>
    <w:p w:rsidR="00A854F5" w:rsidRPr="000A428F" w:rsidRDefault="00A854F5" w:rsidP="00A854F5">
      <w:pPr>
        <w:pStyle w:val="Akapitzlist"/>
        <w:numPr>
          <w:ilvl w:val="0"/>
          <w:numId w:val="7"/>
        </w:numPr>
        <w:spacing w:before="0"/>
        <w:ind w:left="142" w:hanging="142"/>
        <w:contextualSpacing w:val="0"/>
        <w:rPr>
          <w:szCs w:val="19"/>
        </w:rPr>
      </w:pPr>
      <w:r w:rsidRPr="000A428F">
        <w:rPr>
          <w:szCs w:val="19"/>
        </w:rPr>
        <w:t xml:space="preserve">Przeciętne godzinowe wynagrodzenie ogółem brutto wyniosło 27,79 zł. </w:t>
      </w:r>
    </w:p>
    <w:p w:rsidR="00A854F5" w:rsidRPr="005307D6" w:rsidRDefault="00A854F5" w:rsidP="00A854F5">
      <w:pPr>
        <w:pStyle w:val="Akapitzlist"/>
        <w:numPr>
          <w:ilvl w:val="0"/>
          <w:numId w:val="7"/>
        </w:numPr>
        <w:spacing w:before="0"/>
        <w:ind w:left="142" w:hanging="142"/>
        <w:contextualSpacing w:val="0"/>
        <w:rPr>
          <w:szCs w:val="19"/>
        </w:rPr>
      </w:pPr>
      <w:r w:rsidRPr="005307D6">
        <w:rPr>
          <w:szCs w:val="19"/>
        </w:rPr>
        <w:t>Połowa zatrudnionych pracowników otrzymała wynagrodzenie ogółem brutto do 4094,98 zł (mediana = decyl piąty = wynagrodzenie środkowe).</w:t>
      </w:r>
    </w:p>
    <w:p w:rsidR="00A854F5" w:rsidRPr="004F443B" w:rsidRDefault="00A854F5" w:rsidP="00A854F5">
      <w:pPr>
        <w:pStyle w:val="Akapitzlist"/>
        <w:numPr>
          <w:ilvl w:val="0"/>
          <w:numId w:val="7"/>
        </w:numPr>
        <w:spacing w:before="0"/>
        <w:ind w:left="142" w:hanging="142"/>
        <w:contextualSpacing w:val="0"/>
        <w:rPr>
          <w:szCs w:val="19"/>
        </w:rPr>
      </w:pPr>
      <w:r w:rsidRPr="005307D6">
        <w:rPr>
          <w:szCs w:val="19"/>
        </w:rPr>
        <w:t>10% najniżej zarabiających</w:t>
      </w:r>
      <w:r w:rsidRPr="004F443B">
        <w:rPr>
          <w:szCs w:val="19"/>
        </w:rPr>
        <w:t xml:space="preserve"> pracowników otrzymało wynagrodzenie ogółem brutto co najwyżej w wysokości 2224,17 zł (decyl pierwszy).</w:t>
      </w:r>
    </w:p>
    <w:p w:rsidR="00A854F5" w:rsidRPr="00E37409" w:rsidRDefault="00A854F5" w:rsidP="00A854F5">
      <w:pPr>
        <w:pStyle w:val="Akapitzlist"/>
        <w:numPr>
          <w:ilvl w:val="0"/>
          <w:numId w:val="7"/>
        </w:numPr>
        <w:spacing w:before="0"/>
        <w:ind w:left="142" w:hanging="142"/>
        <w:contextualSpacing w:val="0"/>
        <w:rPr>
          <w:szCs w:val="19"/>
        </w:rPr>
      </w:pPr>
      <w:r w:rsidRPr="004F443B">
        <w:rPr>
          <w:szCs w:val="19"/>
        </w:rPr>
        <w:t xml:space="preserve">10% najwyżej zarabiających pracowników otrzymało wynagrodzenie ogółem brutto co </w:t>
      </w:r>
      <w:r w:rsidRPr="00E37409">
        <w:rPr>
          <w:szCs w:val="19"/>
        </w:rPr>
        <w:t>najmniej w wysokości 8239,84 zł (decyl dziewiąty).</w:t>
      </w:r>
    </w:p>
    <w:p w:rsidR="00A854F5" w:rsidRPr="00E37409" w:rsidRDefault="00A854F5" w:rsidP="00A854F5">
      <w:pPr>
        <w:pStyle w:val="Akapitzlist"/>
        <w:numPr>
          <w:ilvl w:val="0"/>
          <w:numId w:val="7"/>
        </w:numPr>
        <w:spacing w:before="0"/>
        <w:ind w:left="142" w:hanging="142"/>
        <w:contextualSpacing w:val="0"/>
        <w:rPr>
          <w:szCs w:val="19"/>
        </w:rPr>
      </w:pPr>
      <w:r w:rsidRPr="00E37409">
        <w:rPr>
          <w:szCs w:val="19"/>
        </w:rPr>
        <w:t>Miesięczne wynagrodzenie brutto w wysokości 60 tys. zł i więcej otrzymało niewiele ponad 0,04% zatrudnionych, natomiast: od 50 tys. zł ‒ 0,06%, od 40 tys. zł ‒ 0,12%, od 30 tys. zł ‒ 0,30%, od 20 tys. zł ‒ 0,94%, od 10 tys. zł ‒ 6,23%.</w:t>
      </w:r>
    </w:p>
    <w:p w:rsidR="00A854F5" w:rsidRPr="00E37409" w:rsidRDefault="00A854F5" w:rsidP="00A854F5">
      <w:pPr>
        <w:pStyle w:val="Akapitzlist"/>
        <w:numPr>
          <w:ilvl w:val="0"/>
          <w:numId w:val="7"/>
        </w:numPr>
        <w:spacing w:before="0"/>
        <w:ind w:left="142" w:hanging="142"/>
        <w:contextualSpacing w:val="0"/>
        <w:rPr>
          <w:szCs w:val="19"/>
        </w:rPr>
      </w:pPr>
      <w:r w:rsidRPr="00E37409">
        <w:rPr>
          <w:szCs w:val="19"/>
        </w:rPr>
        <w:t>6,1% ogółu zatrudnionych otrzymało miesięczne wynagrodzenie brutto co najmniej równe dwukrotnemu przeciętnemu wynagrodzeniu miesięcznemu ogółem brutto</w:t>
      </w:r>
      <w:r>
        <w:rPr>
          <w:szCs w:val="19"/>
        </w:rPr>
        <w:br/>
      </w:r>
      <w:r w:rsidRPr="00E37409">
        <w:rPr>
          <w:szCs w:val="19"/>
        </w:rPr>
        <w:t>(tzn. ≥ 10007,56 zł).</w:t>
      </w:r>
    </w:p>
    <w:p w:rsidR="00A854F5" w:rsidRPr="004F443B" w:rsidRDefault="00A854F5" w:rsidP="00A854F5">
      <w:pPr>
        <w:pStyle w:val="Akapitzlist"/>
        <w:numPr>
          <w:ilvl w:val="0"/>
          <w:numId w:val="7"/>
        </w:numPr>
        <w:spacing w:before="0"/>
        <w:ind w:left="142" w:hanging="142"/>
        <w:contextualSpacing w:val="0"/>
        <w:rPr>
          <w:szCs w:val="19"/>
        </w:rPr>
      </w:pPr>
      <w:r w:rsidRPr="00E37409">
        <w:rPr>
          <w:szCs w:val="19"/>
        </w:rPr>
        <w:t>Pracownicy otrzymujący</w:t>
      </w:r>
      <w:r w:rsidRPr="004F443B">
        <w:rPr>
          <w:szCs w:val="19"/>
        </w:rPr>
        <w:t xml:space="preserve"> miesięczne wynagrodzenie ogółem brutto mniejsze lub równe przeciętnemu wynagrodzeniu miesięcznemu ogółem brutto (tzn. ≤ 5003,78 zł) stanowili</w:t>
      </w:r>
      <w:r>
        <w:rPr>
          <w:szCs w:val="19"/>
        </w:rPr>
        <w:t xml:space="preserve"> niemalże 2/3 </w:t>
      </w:r>
      <w:r w:rsidRPr="004F443B">
        <w:rPr>
          <w:szCs w:val="19"/>
        </w:rPr>
        <w:t>ogółu pracowników</w:t>
      </w:r>
      <w:r>
        <w:rPr>
          <w:szCs w:val="19"/>
        </w:rPr>
        <w:t xml:space="preserve"> (66,0%).</w:t>
      </w:r>
    </w:p>
    <w:p w:rsidR="00A854F5" w:rsidRPr="004F443B" w:rsidRDefault="00A854F5" w:rsidP="00A854F5">
      <w:pPr>
        <w:pStyle w:val="Listapunktowana"/>
        <w:numPr>
          <w:ilvl w:val="0"/>
          <w:numId w:val="7"/>
        </w:numPr>
        <w:tabs>
          <w:tab w:val="left" w:pos="284"/>
        </w:tabs>
        <w:spacing w:after="120" w:line="240" w:lineRule="exact"/>
        <w:ind w:left="142" w:hanging="142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 xml:space="preserve">16,2% zatrudnionych zarabiało co najwyżej 50% przeciętnego wynagrodzenia miesięcznego brutto, czyli nie więcej niż 2501,89 zł. </w:t>
      </w:r>
    </w:p>
    <w:p w:rsidR="00A854F5" w:rsidRPr="004F443B" w:rsidRDefault="00A854F5" w:rsidP="00A854F5">
      <w:pPr>
        <w:pStyle w:val="Listapunktowana"/>
        <w:numPr>
          <w:ilvl w:val="0"/>
          <w:numId w:val="7"/>
        </w:numPr>
        <w:tabs>
          <w:tab w:val="left" w:pos="284"/>
        </w:tabs>
        <w:spacing w:after="120" w:line="240" w:lineRule="exact"/>
        <w:ind w:left="142" w:hanging="142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>Co 13-ty zatrudniony (7,6% ogółu) otrzymał miesięczne wynagrodzenie brutto co najwyżej równe wysokości minimalnego wynagrodzenia za</w:t>
      </w:r>
      <w:r w:rsidRPr="004F443B">
        <w:rPr>
          <w:rFonts w:ascii="Fira Sans" w:hAnsi="Fira Sans"/>
          <w:b w:val="0"/>
          <w:sz w:val="19"/>
          <w:szCs w:val="19"/>
        </w:rPr>
        <w:t> </w:t>
      </w:r>
      <w:r w:rsidRPr="004F443B">
        <w:rPr>
          <w:rFonts w:ascii="Fira Sans" w:hAnsi="Fira Sans"/>
          <w:b w:val="0"/>
          <w:i w:val="0"/>
          <w:sz w:val="19"/>
          <w:szCs w:val="19"/>
        </w:rPr>
        <w:t>pracę, tj.  2100,00 zł, ustalanego na podstawie przepisów o minimalnym wynagrodzeniu za pracę.</w:t>
      </w:r>
    </w:p>
    <w:p w:rsidR="00A854F5" w:rsidRPr="004F443B" w:rsidRDefault="00A854F5" w:rsidP="00A854F5">
      <w:pPr>
        <w:rPr>
          <w:b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410845</wp:posOffset>
            </wp:positionV>
            <wp:extent cx="5120640" cy="2941955"/>
            <wp:effectExtent l="0" t="0" r="0" b="0"/>
            <wp:wrapSquare wrapText="bothSides"/>
            <wp:docPr id="1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4F443B">
        <w:rPr>
          <w:b/>
          <w:sz w:val="18"/>
          <w:szCs w:val="18"/>
        </w:rPr>
        <w:t>Wykres 1</w:t>
      </w:r>
      <w:r>
        <w:rPr>
          <w:b/>
          <w:sz w:val="18"/>
          <w:szCs w:val="18"/>
        </w:rPr>
        <w:t>.</w:t>
      </w:r>
      <w:r w:rsidRPr="004F443B">
        <w:rPr>
          <w:b/>
          <w:sz w:val="18"/>
          <w:szCs w:val="18"/>
        </w:rPr>
        <w:t xml:space="preserve"> Przeciętne i środkowe wynagrodzenia ogółem brutto (w zł) za październik</w:t>
      </w:r>
    </w:p>
    <w:p w:rsidR="00A854F5" w:rsidRDefault="00A854F5" w:rsidP="00A854F5">
      <w:pPr>
        <w:outlineLvl w:val="0"/>
        <w:rPr>
          <w:rFonts w:ascii="Fira Sans SemiBold" w:hAnsi="Fira Sans SemiBold"/>
          <w:color w:val="001D77"/>
          <w:szCs w:val="19"/>
        </w:rPr>
      </w:pPr>
    </w:p>
    <w:p w:rsidR="00A854F5" w:rsidRPr="003E54AF" w:rsidRDefault="00966A7B" w:rsidP="00A854F5">
      <w:pPr>
        <w:outlineLvl w:val="0"/>
        <w:rPr>
          <w:rFonts w:ascii="Fira Sans SemiBold" w:hAnsi="Fira Sans SemiBold"/>
          <w:color w:val="001D77"/>
          <w:szCs w:val="19"/>
        </w:rPr>
      </w:pPr>
      <w:r>
        <w:rPr>
          <w:noProof/>
          <w:color w:val="001D77"/>
          <w:sz w:val="18"/>
          <w:szCs w:val="18"/>
          <w:lang w:eastAsia="pl-PL"/>
        </w:rPr>
        <w:pict>
          <v:shape id="_x0000_s1048" type="#_x0000_t202" style="position:absolute;margin-left:417.55pt;margin-top:2.7pt;width:133.55pt;height:68.85pt;z-index:-251645440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khDwIAAPkDAAAOAAAAZHJzL2Uyb0RvYy54bWysU11v2yAUfZ+0/4B4X/yhOGusOFXXrtOk&#10;bqvU7QdgjGNU4DIgsbNfvwtO02h7m+YHBL73nnvP4bC5nrQiB+G8BNPQYpFTIgyHTppdQ398v393&#10;RYkPzHRMgRENPQpPr7dv32xGW4sSBlCdcARBjK9H29AhBFtnmeeD0MwvwAqDwR6cZgGPbpd1jo2I&#10;rlVW5vkqG8F11gEX3uPfuzlItwm/7wUP3/rei0BUQ3G2kFaX1jau2XbD6p1jdpD8NAb7hyk0kwab&#10;nqHuWGBk7+RfUFpyBx76sOCgM+h7yUXigGyK/A82TwOzInFBcbw9y+T/Hyz/enh0RHZ4dytKDNN4&#10;R4+gBAni2QcYBSmjRqP1NaY+WUwO0weYMD/x9fYB+LMnBm4HZnbixjkYB8E6nLGIldlF6YzjI0g7&#10;foEOe7F9gAQ09U5HAVESguh4V8fz/YgpEB5bVquyyDHEMVZU+XJdpRvMWP1Sbp0PnwRoEjcNdWiA&#10;BM8ODz7EcVj9khK7GbiXSiUTKEPGhq6rskoFFxEtA3pUSd3Qqzx+s2siy4+mS8WBSTXvsYEyJ9qR&#10;6cw5TO2EiVGLFrojCuBg9iK+HdwM4H5RMqIPG+p/7pkTlKjPBkVcF8tlNG46LKv3JR7cZaS9jDDD&#10;EaqhgZJ5exuS2WeuNyh2L5MMr5OcZkV/JXVObyEa+PKcsl5f7PY3AAAA//8DAFBLAwQUAAYACAAA&#10;ACEAn2IPzt8AAAALAQAADwAAAGRycy9kb3ducmV2LnhtbEyPTU/DMAyG70j8h8hI3FiyjZauqztN&#10;IK4gxofELWu8tlrjVE22ln9PdoKj7Uevn7fYTLYTZxp86xhhPlMgiCtnWq4RPt6f7zIQPmg2unNM&#10;CD/kYVNeXxU6N27kNzrvQi1iCPtcIzQh9LmUvmrIaj9zPXG8HdxgdYjjUEsz6DGG204ulEql1S3H&#10;D43u6bGh6rg7WYTPl8P31716rZ9s0o9uUpLtSiLe3kzbNYhAU/iD4aIf1aGMTnt3YuNFh5AtkySi&#10;CEuVgrgAKpvHzR5hkT6kIMtC/u9Q/gIAAP//AwBQSwECLQAUAAYACAAAACEAtoM4kv4AAADhAQAA&#10;EwAAAAAAAAAAAAAAAAAAAAAAW0NvbnRlbnRfVHlwZXNdLnhtbFBLAQItABQABgAIAAAAIQA4/SH/&#10;1gAAAJQBAAALAAAAAAAAAAAAAAAAAC8BAABfcmVscy8ucmVsc1BLAQItABQABgAIAAAAIQDioikh&#10;DwIAAPkDAAAOAAAAAAAAAAAAAAAAAC4CAABkcnMvZTJvRG9jLnhtbFBLAQItABQABgAIAAAAIQCf&#10;Yg/O3wAAAAsBAAAPAAAAAAAAAAAAAAAAAGkEAABkcnMvZG93bnJldi54bWxQSwUGAAAAAAQABADz&#10;AAAAdQUAAAAA&#10;" filled="f" stroked="f">
            <v:textbox style="mso-next-textbox:#_x0000_s1048">
              <w:txbxContent>
                <w:p w:rsidR="00A854F5" w:rsidRPr="00806160" w:rsidRDefault="00A854F5" w:rsidP="00A854F5">
                  <w:pPr>
                    <w:spacing w:before="0" w:after="0"/>
                    <w:ind w:right="142"/>
                    <w:rPr>
                      <w:rFonts w:eastAsia="Times New Roman" w:cs="Times New Roman"/>
                      <w:bCs/>
                      <w:color w:val="001D77"/>
                      <w:sz w:val="16"/>
                      <w:szCs w:val="18"/>
                      <w:lang w:eastAsia="pl-PL"/>
                    </w:rPr>
                  </w:pPr>
                  <w:r>
                    <w:rPr>
                      <w:color w:val="001D77"/>
                      <w:sz w:val="18"/>
                      <w:szCs w:val="19"/>
                    </w:rPr>
                    <w:t>P</w:t>
                  </w:r>
                  <w:r w:rsidRPr="00806160">
                    <w:rPr>
                      <w:color w:val="001D77"/>
                      <w:sz w:val="18"/>
                      <w:szCs w:val="19"/>
                    </w:rPr>
                    <w:t xml:space="preserve">rzeciętne wynagrodzenie mężczyzn było o 19,9% </w:t>
                  </w:r>
                  <w:r>
                    <w:rPr>
                      <w:color w:val="001D77"/>
                      <w:sz w:val="18"/>
                      <w:szCs w:val="19"/>
                    </w:rPr>
                    <w:br/>
                  </w:r>
                  <w:r w:rsidRPr="00806160">
                    <w:rPr>
                      <w:color w:val="001D77"/>
                      <w:sz w:val="18"/>
                      <w:szCs w:val="19"/>
                    </w:rPr>
                    <w:t xml:space="preserve">(o </w:t>
                  </w:r>
                  <w:r w:rsidRPr="00806160">
                    <w:rPr>
                      <w:bCs/>
                      <w:color w:val="001D77"/>
                      <w:sz w:val="18"/>
                      <w:szCs w:val="19"/>
                    </w:rPr>
                    <w:t xml:space="preserve">903,88 </w:t>
                  </w:r>
                  <w:r w:rsidRPr="00806160">
                    <w:rPr>
                      <w:color w:val="001D77"/>
                      <w:sz w:val="18"/>
                      <w:szCs w:val="19"/>
                    </w:rPr>
                    <w:t>zł) wyższe od przeciętnego wynagrodzenia kobiet</w:t>
                  </w:r>
                  <w:r>
                    <w:rPr>
                      <w:color w:val="001D77"/>
                      <w:sz w:val="18"/>
                      <w:szCs w:val="19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A854F5" w:rsidRPr="003E54AF">
        <w:rPr>
          <w:rFonts w:ascii="Fira Sans SemiBold" w:hAnsi="Fira Sans SemiBold"/>
          <w:color w:val="001D77"/>
          <w:szCs w:val="19"/>
        </w:rPr>
        <w:t>Zróżnicowanie przeciętnych wynagrodzeń ogółem brutto według płci i zawodów</w:t>
      </w:r>
    </w:p>
    <w:p w:rsidR="00A854F5" w:rsidRPr="004F443B" w:rsidRDefault="00A854F5" w:rsidP="00A854F5">
      <w:pPr>
        <w:pStyle w:val="Akapitzlist"/>
        <w:numPr>
          <w:ilvl w:val="0"/>
          <w:numId w:val="8"/>
        </w:numPr>
        <w:spacing w:before="0" w:after="80"/>
        <w:ind w:left="142" w:hanging="142"/>
        <w:contextualSpacing w:val="0"/>
        <w:rPr>
          <w:szCs w:val="19"/>
        </w:rPr>
      </w:pPr>
      <w:r w:rsidRPr="004F443B">
        <w:rPr>
          <w:szCs w:val="19"/>
        </w:rPr>
        <w:t xml:space="preserve">Przeciętne miesięczne wynagrodzenie ogółem brutto w październiku 2018 r. wyniosło 5003,78 zł. Mężczyźni osiągnęli przeciętne wynagrodzenie o 8,9% wyższe od średniego </w:t>
      </w:r>
      <w:r>
        <w:rPr>
          <w:szCs w:val="19"/>
        </w:rPr>
        <w:br/>
      </w:r>
      <w:r w:rsidRPr="004F443B">
        <w:rPr>
          <w:szCs w:val="19"/>
        </w:rPr>
        <w:t xml:space="preserve">w badanych jednostkach (tj. wyższe o 443,46 zł), a kobiety ‒ niższe o 9,2% (czyli niższe </w:t>
      </w:r>
      <w:r>
        <w:rPr>
          <w:szCs w:val="19"/>
        </w:rPr>
        <w:br/>
      </w:r>
      <w:r w:rsidRPr="004F443B">
        <w:rPr>
          <w:szCs w:val="19"/>
        </w:rPr>
        <w:t xml:space="preserve">o 460,42 zł). Oznacza to, że przeciętne wynagrodzenie mężczyzn było o 19,9% (o </w:t>
      </w:r>
      <w:r w:rsidRPr="004F443B">
        <w:rPr>
          <w:bCs/>
          <w:szCs w:val="19"/>
        </w:rPr>
        <w:t xml:space="preserve">903,88 </w:t>
      </w:r>
      <w:r w:rsidRPr="004F443B">
        <w:rPr>
          <w:szCs w:val="19"/>
        </w:rPr>
        <w:t xml:space="preserve">zł) wyższe od przeciętnego wynagrodzenia kobiet. </w:t>
      </w:r>
    </w:p>
    <w:p w:rsidR="00A854F5" w:rsidRDefault="00A854F5" w:rsidP="00A854F5">
      <w:pPr>
        <w:pStyle w:val="Akapitzlist"/>
        <w:numPr>
          <w:ilvl w:val="0"/>
          <w:numId w:val="8"/>
        </w:numPr>
        <w:spacing w:before="0" w:after="80"/>
        <w:ind w:left="142" w:hanging="142"/>
        <w:contextualSpacing w:val="0"/>
        <w:rPr>
          <w:szCs w:val="19"/>
        </w:rPr>
      </w:pPr>
      <w:r w:rsidRPr="004F443B">
        <w:rPr>
          <w:szCs w:val="19"/>
        </w:rPr>
        <w:t>Przeciętne godzinowe wynagrodzenie ogółem brutto wyniosło 27,79 zł. Mężczyźni osiągnęli przeciętne godzinowe wynagrodzenie o 6,0% (o 1,68 zł)</w:t>
      </w:r>
      <w:r>
        <w:rPr>
          <w:szCs w:val="19"/>
        </w:rPr>
        <w:t xml:space="preserve"> </w:t>
      </w:r>
      <w:r w:rsidRPr="004F443B">
        <w:rPr>
          <w:szCs w:val="19"/>
        </w:rPr>
        <w:t>wyższe od średniego w badanych jednostkach, a kobiety ‒ niższe o 6,7% (czyli o 1,85 zł). Przeciętne godzinowe wynagrodzenie brutto mężczyzn było o 13,6% (o 3,53 zł) wyższe od przeciętnego godzinowego wynagrodzenia brutto kobiet.</w:t>
      </w:r>
    </w:p>
    <w:p w:rsidR="00A854F5" w:rsidRPr="00A15595" w:rsidRDefault="00A854F5" w:rsidP="00A854F5">
      <w:pPr>
        <w:spacing w:before="0" w:after="80"/>
        <w:rPr>
          <w:szCs w:val="19"/>
        </w:rPr>
      </w:pPr>
    </w:p>
    <w:p w:rsidR="00A854F5" w:rsidRPr="00330908" w:rsidRDefault="00A854F5" w:rsidP="00A854F5">
      <w:pPr>
        <w:ind w:left="851" w:right="142" w:hanging="851"/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684530</wp:posOffset>
            </wp:positionV>
            <wp:extent cx="6074410" cy="3339465"/>
            <wp:effectExtent l="0" t="0" r="0" b="0"/>
            <wp:wrapSquare wrapText="bothSides"/>
            <wp:docPr id="18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806160">
        <w:rPr>
          <w:b/>
          <w:sz w:val="18"/>
        </w:rPr>
        <w:t>Wykres 2</w:t>
      </w:r>
      <w:r>
        <w:rPr>
          <w:b/>
          <w:sz w:val="18"/>
        </w:rPr>
        <w:t>.</w:t>
      </w:r>
      <w:r w:rsidRPr="00806160">
        <w:rPr>
          <w:b/>
          <w:sz w:val="18"/>
        </w:rPr>
        <w:t xml:space="preserve"> Odchylenia względne przeciętnych miesięcznych wynagrodzeń ogółem brutto według „wielkich” grup zawodów od przeciętnego wynagrodzenia ogółem brutto </w:t>
      </w:r>
      <w:r>
        <w:rPr>
          <w:b/>
          <w:sz w:val="18"/>
        </w:rPr>
        <w:br/>
      </w:r>
      <w:r w:rsidRPr="00806160">
        <w:rPr>
          <w:b/>
          <w:sz w:val="18"/>
        </w:rPr>
        <w:t>w październiku 2018 r.</w:t>
      </w:r>
    </w:p>
    <w:p w:rsidR="00A854F5" w:rsidRPr="004F443B" w:rsidRDefault="00A854F5" w:rsidP="00A854F5">
      <w:pPr>
        <w:numPr>
          <w:ilvl w:val="12"/>
          <w:numId w:val="0"/>
        </w:numPr>
        <w:ind w:left="851" w:hanging="851"/>
        <w:outlineLvl w:val="0"/>
        <w:rPr>
          <w:b/>
          <w:sz w:val="18"/>
          <w:szCs w:val="18"/>
        </w:rPr>
      </w:pPr>
      <w:r w:rsidRPr="004F443B">
        <w:rPr>
          <w:b/>
          <w:sz w:val="18"/>
          <w:szCs w:val="18"/>
        </w:rPr>
        <w:lastRenderedPageBreak/>
        <w:t>Tablica 1</w:t>
      </w:r>
      <w:r>
        <w:rPr>
          <w:b/>
          <w:sz w:val="18"/>
          <w:szCs w:val="18"/>
        </w:rPr>
        <w:t>.</w:t>
      </w:r>
      <w:r w:rsidRPr="004F443B">
        <w:rPr>
          <w:b/>
          <w:sz w:val="18"/>
          <w:szCs w:val="18"/>
        </w:rPr>
        <w:t xml:space="preserve"> Przeciętne miesięczne wynagrodzenia ogółem brutto według „wielkich” grup zawodów </w:t>
      </w:r>
      <w:r w:rsidRPr="004F443B">
        <w:rPr>
          <w:b/>
          <w:sz w:val="18"/>
          <w:szCs w:val="18"/>
        </w:rPr>
        <w:br/>
        <w:t>w październiku 2018 r.</w:t>
      </w:r>
    </w:p>
    <w:tbl>
      <w:tblPr>
        <w:tblW w:w="8167" w:type="dxa"/>
        <w:tblInd w:w="55" w:type="dxa"/>
        <w:tblBorders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640"/>
        <w:gridCol w:w="1551"/>
        <w:gridCol w:w="1559"/>
      </w:tblGrid>
      <w:tr w:rsidR="00A854F5" w:rsidRPr="004F443B" w:rsidTr="00491BB7">
        <w:trPr>
          <w:trHeight w:val="315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  <w:r w:rsidRPr="00646B5F">
              <w:rPr>
                <w:color w:val="000000"/>
                <w:sz w:val="16"/>
                <w:szCs w:val="16"/>
              </w:rPr>
              <w:t xml:space="preserve">Symbol i nazwa „wielkiej” grupy zawodów </w:t>
            </w:r>
            <w:r w:rsidRPr="00646B5F">
              <w:rPr>
                <w:color w:val="000000"/>
                <w:sz w:val="16"/>
                <w:szCs w:val="16"/>
              </w:rPr>
              <w:br/>
              <w:t>wg Klasyfikacji Zawodów i Specjalności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  <w:r w:rsidRPr="004F443B">
              <w:rPr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  <w:r w:rsidRPr="004F443B">
              <w:rPr>
                <w:color w:val="000000"/>
                <w:sz w:val="16"/>
                <w:szCs w:val="16"/>
              </w:rPr>
              <w:t>Mężczyźni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  <w:r w:rsidRPr="004F443B">
              <w:rPr>
                <w:color w:val="000000"/>
                <w:sz w:val="16"/>
                <w:szCs w:val="16"/>
              </w:rPr>
              <w:t>Kobiety</w:t>
            </w:r>
          </w:p>
        </w:tc>
      </w:tr>
      <w:tr w:rsidR="00A854F5" w:rsidRPr="004F443B" w:rsidTr="00491BB7">
        <w:trPr>
          <w:trHeight w:val="300"/>
        </w:trPr>
        <w:tc>
          <w:tcPr>
            <w:tcW w:w="3417" w:type="dxa"/>
            <w:vMerge/>
            <w:tcBorders>
              <w:bottom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0" w:type="dxa"/>
            <w:gridSpan w:val="3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w złotych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b/>
                <w:iCs/>
                <w:color w:val="000000"/>
                <w:sz w:val="16"/>
                <w:szCs w:val="16"/>
              </w:rPr>
            </w:pPr>
            <w:r w:rsidRPr="004F443B">
              <w:rPr>
                <w:b/>
                <w:iCs/>
                <w:color w:val="000000"/>
                <w:sz w:val="16"/>
                <w:szCs w:val="16"/>
              </w:rPr>
              <w:t xml:space="preserve"> </w:t>
            </w:r>
            <w:r w:rsidRPr="004F443B">
              <w:rPr>
                <w:b/>
                <w:bCs/>
                <w:i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1640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b/>
                <w:bCs/>
                <w:color w:val="000000"/>
                <w:sz w:val="16"/>
                <w:szCs w:val="16"/>
              </w:rPr>
              <w:t>5003,78</w:t>
            </w:r>
          </w:p>
        </w:tc>
        <w:tc>
          <w:tcPr>
            <w:tcW w:w="1551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b/>
                <w:bCs/>
                <w:color w:val="000000"/>
                <w:sz w:val="16"/>
                <w:szCs w:val="16"/>
              </w:rPr>
              <w:t>5447,24</w:t>
            </w:r>
          </w:p>
        </w:tc>
        <w:tc>
          <w:tcPr>
            <w:tcW w:w="1559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b/>
                <w:bCs/>
                <w:color w:val="000000"/>
                <w:sz w:val="16"/>
                <w:szCs w:val="16"/>
              </w:rPr>
              <w:t>4543,36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1. Przedstawiciele władz publicznych, wyżsi urzędnicy i kierownicy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9597,49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10917,60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8065,66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 xml:space="preserve">2. Specjaliści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6093,43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7242,81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5449,12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3. Technicy i inny średni personel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4950,88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5681,80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4352,53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4. Pracownicy biurowi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4051,57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4206,09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3945,14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5. Pracownicy usług i sprzedawcy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3129,77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3363,55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3013,66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6. Rolnicy, ogrodnicy, leśnicy i rybacy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3400,07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3398,06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3409,34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7. Robotnicy przemysłowi i rzemieślnicy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4143,95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4305,92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3252,14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8. Operatorzy i monterzy maszyn i urządzeń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4104,95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4261,10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3483,79</w:t>
            </w:r>
          </w:p>
        </w:tc>
      </w:tr>
      <w:tr w:rsidR="00A854F5" w:rsidRPr="004F443B" w:rsidTr="00491BB7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9. Pracownicy wykonujący prace proste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3002,43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3356,87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F443B">
              <w:rPr>
                <w:rFonts w:cs="Calibri"/>
                <w:color w:val="000000"/>
                <w:sz w:val="16"/>
                <w:szCs w:val="16"/>
              </w:rPr>
              <w:t>2777,87</w:t>
            </w:r>
          </w:p>
        </w:tc>
      </w:tr>
    </w:tbl>
    <w:p w:rsidR="00A854F5" w:rsidRPr="004F443B" w:rsidRDefault="00A854F5" w:rsidP="00A854F5">
      <w:pPr>
        <w:pStyle w:val="Tekstpodstawowywcity31"/>
        <w:numPr>
          <w:ilvl w:val="12"/>
          <w:numId w:val="0"/>
        </w:numPr>
        <w:spacing w:before="120" w:after="120" w:line="240" w:lineRule="exact"/>
        <w:jc w:val="left"/>
        <w:rPr>
          <w:rFonts w:ascii="Fira Sans" w:hAnsi="Fira Sans"/>
          <w:i w:val="0"/>
          <w:sz w:val="18"/>
          <w:szCs w:val="18"/>
        </w:rPr>
      </w:pPr>
      <w:r w:rsidRPr="004F443B">
        <w:rPr>
          <w:rFonts w:ascii="Fira Sans" w:hAnsi="Fira Sans"/>
          <w:i w:val="0"/>
          <w:sz w:val="18"/>
          <w:szCs w:val="18"/>
        </w:rPr>
        <w:t>Wykres 3</w:t>
      </w:r>
      <w:r>
        <w:rPr>
          <w:rFonts w:ascii="Fira Sans" w:hAnsi="Fira Sans"/>
          <w:i w:val="0"/>
          <w:sz w:val="18"/>
          <w:szCs w:val="18"/>
        </w:rPr>
        <w:t>.</w:t>
      </w:r>
      <w:r w:rsidRPr="004F443B">
        <w:rPr>
          <w:rFonts w:ascii="Fira Sans" w:hAnsi="Fira Sans"/>
          <w:i w:val="0"/>
          <w:sz w:val="18"/>
          <w:szCs w:val="18"/>
        </w:rPr>
        <w:t xml:space="preserve"> Zróżnicowanie przeciętnych wynagrodzeń ogółem brutto (w zł) mężczyzn i kobiet </w:t>
      </w:r>
      <w:r>
        <w:rPr>
          <w:rFonts w:ascii="Fira Sans" w:hAnsi="Fira Sans"/>
          <w:i w:val="0"/>
          <w:sz w:val="18"/>
          <w:szCs w:val="18"/>
        </w:rPr>
        <w:br/>
        <w:t xml:space="preserve">                   </w:t>
      </w:r>
      <w:r w:rsidRPr="004F443B">
        <w:rPr>
          <w:rFonts w:ascii="Fira Sans" w:hAnsi="Fira Sans"/>
          <w:i w:val="0"/>
          <w:sz w:val="18"/>
          <w:szCs w:val="18"/>
        </w:rPr>
        <w:t>według „wielkich” grup zawodów</w:t>
      </w:r>
      <w:r>
        <w:rPr>
          <w:rStyle w:val="Odwoanieprzypisudolnego"/>
          <w:rFonts w:ascii="Fira Sans" w:hAnsi="Fira Sans"/>
          <w:i w:val="0"/>
          <w:sz w:val="18"/>
          <w:szCs w:val="18"/>
        </w:rPr>
        <w:footnoteReference w:id="3"/>
      </w:r>
      <w:r w:rsidRPr="004F443B">
        <w:rPr>
          <w:rFonts w:ascii="Fira Sans" w:hAnsi="Fira Sans"/>
          <w:i w:val="0"/>
          <w:sz w:val="18"/>
          <w:szCs w:val="18"/>
        </w:rPr>
        <w:t xml:space="preserve"> w październiku 2016 r. i 2018 r.</w:t>
      </w:r>
    </w:p>
    <w:p w:rsidR="00A854F5" w:rsidRDefault="00A854F5" w:rsidP="00A854F5">
      <w:pPr>
        <w:pStyle w:val="Tekstpodstawowywcity31"/>
        <w:numPr>
          <w:ilvl w:val="12"/>
          <w:numId w:val="0"/>
        </w:numPr>
        <w:spacing w:after="0" w:line="276" w:lineRule="auto"/>
        <w:rPr>
          <w:rFonts w:ascii="Fira Sans SemiBold" w:hAnsi="Fira Sans SemiBold"/>
          <w:b w:val="0"/>
          <w:i w:val="0"/>
          <w:color w:val="001D77"/>
          <w:sz w:val="19"/>
          <w:szCs w:val="19"/>
        </w:rPr>
      </w:pPr>
      <w:r>
        <w:rPr>
          <w:rFonts w:ascii="Fira Sans SemiBold" w:hAnsi="Fira Sans SemiBold"/>
          <w:b w:val="0"/>
          <w:i w:val="0"/>
          <w:noProof/>
          <w:color w:val="001D77"/>
          <w:sz w:val="19"/>
          <w:szCs w:val="19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189230</wp:posOffset>
            </wp:positionV>
            <wp:extent cx="5120640" cy="3156585"/>
            <wp:effectExtent l="0" t="0" r="0" b="0"/>
            <wp:wrapSquare wrapText="bothSides"/>
            <wp:docPr id="19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854F5" w:rsidRPr="004F443B" w:rsidRDefault="00966A7B" w:rsidP="00A854F5">
      <w:pPr>
        <w:pStyle w:val="Tekstpodstawowywcity31"/>
        <w:numPr>
          <w:ilvl w:val="12"/>
          <w:numId w:val="0"/>
        </w:numPr>
        <w:spacing w:before="120" w:after="120" w:line="240" w:lineRule="exact"/>
        <w:outlineLvl w:val="0"/>
        <w:rPr>
          <w:rFonts w:ascii="Fira Sans SemiBold" w:hAnsi="Fira Sans SemiBold"/>
          <w:b w:val="0"/>
          <w:i w:val="0"/>
          <w:color w:val="001D77"/>
          <w:sz w:val="19"/>
          <w:szCs w:val="19"/>
        </w:rPr>
      </w:pPr>
      <w:r>
        <w:rPr>
          <w:rFonts w:ascii="Fira Sans SemiBold" w:hAnsi="Fira Sans SemiBold"/>
          <w:b w:val="0"/>
          <w:i w:val="0"/>
          <w:noProof/>
          <w:color w:val="001D77"/>
          <w:sz w:val="19"/>
          <w:szCs w:val="19"/>
        </w:rPr>
        <w:lastRenderedPageBreak/>
        <w:pict>
          <v:shape id="_x0000_s1049" type="#_x0000_t202" style="position:absolute;left:0;text-align:left;margin-left:417.75pt;margin-top:.45pt;width:127.5pt;height:58.25pt;z-index:-2516444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khDwIAAPkDAAAOAAAAZHJzL2Uyb0RvYy54bWysU11v2yAUfZ+0/4B4X/yhOGusOFXXrtOk&#10;bqvU7QdgjGNU4DIgsbNfvwtO02h7m+YHBL73nnvP4bC5nrQiB+G8BNPQYpFTIgyHTppdQ398v393&#10;RYkPzHRMgRENPQpPr7dv32xGW4sSBlCdcARBjK9H29AhBFtnmeeD0MwvwAqDwR6cZgGPbpd1jo2I&#10;rlVW5vkqG8F11gEX3uPfuzlItwm/7wUP3/rei0BUQ3G2kFaX1jau2XbD6p1jdpD8NAb7hyk0kwab&#10;nqHuWGBk7+RfUFpyBx76sOCgM+h7yUXigGyK/A82TwOzInFBcbw9y+T/Hyz/enh0RHZ4dytKDNN4&#10;R4+gBAni2QcYBSmjRqP1NaY+WUwO0weYMD/x9fYB+LMnBm4HZnbixjkYB8E6nLGIldlF6YzjI0g7&#10;foEOe7F9gAQ09U5HAVESguh4V8fz/YgpEB5bVquyyDHEMVZU+XJdpRvMWP1Sbp0PnwRoEjcNdWiA&#10;BM8ODz7EcVj9khK7GbiXSiUTKEPGhq6rskoFFxEtA3pUSd3Qqzx+s2siy4+mS8WBSTXvsYEyJ9qR&#10;6cw5TO2EiVGLFrojCuBg9iK+HdwM4H5RMqIPG+p/7pkTlKjPBkVcF8tlNG46LKv3JR7cZaS9jDDD&#10;EaqhgZJ5exuS2WeuNyh2L5MMr5OcZkV/JXVObyEa+PKcsl5f7PY3AAAA//8DAFBLAwQUAAYACAAA&#10;ACEAn2IPzt8AAAALAQAADwAAAGRycy9kb3ducmV2LnhtbEyPTU/DMAyG70j8h8hI3FiyjZauqztN&#10;IK4gxofELWu8tlrjVE22ln9PdoKj7Uevn7fYTLYTZxp86xhhPlMgiCtnWq4RPt6f7zIQPmg2unNM&#10;CD/kYVNeXxU6N27kNzrvQi1iCPtcIzQh9LmUvmrIaj9zPXG8HdxgdYjjUEsz6DGG204ulEql1S3H&#10;D43u6bGh6rg7WYTPl8P31716rZ9s0o9uUpLtSiLe3kzbNYhAU/iD4aIf1aGMTnt3YuNFh5AtkySi&#10;CEuVgrgAKpvHzR5hkT6kIMtC/u9Q/gIAAP//AwBQSwECLQAUAAYACAAAACEAtoM4kv4AAADhAQAA&#10;EwAAAAAAAAAAAAAAAAAAAAAAW0NvbnRlbnRfVHlwZXNdLnhtbFBLAQItABQABgAIAAAAIQA4/SH/&#10;1gAAAJQBAAALAAAAAAAAAAAAAAAAAC8BAABfcmVscy8ucmVsc1BLAQItABQABgAIAAAAIQDioikh&#10;DwIAAPkDAAAOAAAAAAAAAAAAAAAAAC4CAABkcnMvZTJvRG9jLnhtbFBLAQItABQABgAIAAAAIQCf&#10;Yg/O3wAAAAsBAAAPAAAAAAAAAAAAAAAAAGkEAABkcnMvZG93bnJldi54bWxQSwUGAAAAAAQABADz&#10;AAAAdQUAAAAA&#10;" filled="f" stroked="f">
            <v:textbox style="mso-next-textbox:#_x0000_s1049">
              <w:txbxContent>
                <w:p w:rsidR="00A854F5" w:rsidRPr="007C3E8C" w:rsidRDefault="00A854F5" w:rsidP="00A854F5">
                  <w:pPr>
                    <w:spacing w:before="0"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7C3E8C">
                    <w:rPr>
                      <w:color w:val="001D77"/>
                      <w:sz w:val="18"/>
                      <w:szCs w:val="18"/>
                    </w:rPr>
                    <w:t>Co 3-ci zatrudniony zarabiał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 brutto</w:t>
                  </w:r>
                  <w:r w:rsidRPr="007C3E8C">
                    <w:rPr>
                      <w:color w:val="001D77"/>
                      <w:sz w:val="18"/>
                      <w:szCs w:val="18"/>
                    </w:rPr>
                    <w:t xml:space="preserve"> powyżej 5003,78 zł, a co 16-ty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 w:rsidRPr="007C3E8C">
                    <w:rPr>
                      <w:color w:val="001D77"/>
                      <w:sz w:val="18"/>
                      <w:szCs w:val="18"/>
                    </w:rPr>
                    <w:t xml:space="preserve">  ̶ powyżej 10007,56 zł. </w:t>
                  </w:r>
                </w:p>
              </w:txbxContent>
            </v:textbox>
            <w10:wrap type="tight"/>
          </v:shape>
        </w:pict>
      </w:r>
      <w:r w:rsidR="00A854F5" w:rsidRPr="004F443B">
        <w:rPr>
          <w:rFonts w:ascii="Fira Sans SemiBold" w:hAnsi="Fira Sans SemiBold"/>
          <w:b w:val="0"/>
          <w:i w:val="0"/>
          <w:color w:val="001D77"/>
          <w:sz w:val="19"/>
          <w:szCs w:val="19"/>
        </w:rPr>
        <w:t xml:space="preserve">Indywidualne miesięczne </w:t>
      </w:r>
      <w:r w:rsidR="00A854F5" w:rsidRPr="004F443B">
        <w:rPr>
          <w:rFonts w:ascii="Fira Sans SemiBold" w:hAnsi="Fira Sans SemiBold"/>
          <w:b w:val="0"/>
          <w:i w:val="0"/>
          <w:color w:val="002060"/>
          <w:sz w:val="19"/>
          <w:szCs w:val="19"/>
        </w:rPr>
        <w:t>wynagrodzenia</w:t>
      </w:r>
      <w:r w:rsidR="00A854F5" w:rsidRPr="004F443B">
        <w:rPr>
          <w:rFonts w:ascii="Fira Sans SemiBold" w:hAnsi="Fira Sans SemiBold"/>
          <w:b w:val="0"/>
          <w:i w:val="0"/>
          <w:color w:val="001D77"/>
          <w:sz w:val="19"/>
          <w:szCs w:val="19"/>
        </w:rPr>
        <w:t xml:space="preserve"> ogółem brutto</w:t>
      </w:r>
    </w:p>
    <w:p w:rsidR="00A854F5" w:rsidRPr="004F443B" w:rsidRDefault="00A854F5" w:rsidP="00A854F5">
      <w:pPr>
        <w:pStyle w:val="Tekstpodstawowywcity31"/>
        <w:numPr>
          <w:ilvl w:val="12"/>
          <w:numId w:val="0"/>
        </w:numPr>
        <w:spacing w:before="120" w:after="0" w:line="240" w:lineRule="exact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>Przedstawione poniżej informacje ukazują rozkład zatrudnienia pracowników według wysokości ich indywidualnego miesięcznego wynagrodzenia ogółem brutto.</w:t>
      </w:r>
    </w:p>
    <w:p w:rsidR="00A854F5" w:rsidRDefault="00A854F5" w:rsidP="00A854F5">
      <w:pPr>
        <w:pStyle w:val="Tekstprzypisudolnego"/>
        <w:numPr>
          <w:ilvl w:val="12"/>
          <w:numId w:val="0"/>
        </w:numPr>
        <w:spacing w:before="0" w:line="240" w:lineRule="exact"/>
        <w:rPr>
          <w:sz w:val="19"/>
          <w:szCs w:val="19"/>
        </w:rPr>
      </w:pPr>
    </w:p>
    <w:p w:rsidR="00A854F5" w:rsidRPr="004F443B" w:rsidRDefault="00A854F5" w:rsidP="00A854F5">
      <w:pPr>
        <w:pStyle w:val="Tekstprzypisudolnego"/>
        <w:numPr>
          <w:ilvl w:val="12"/>
          <w:numId w:val="0"/>
        </w:numPr>
        <w:spacing w:before="0" w:after="80" w:line="240" w:lineRule="exact"/>
        <w:rPr>
          <w:sz w:val="19"/>
          <w:szCs w:val="19"/>
        </w:rPr>
      </w:pPr>
      <w:r w:rsidRPr="004F443B">
        <w:rPr>
          <w:sz w:val="19"/>
          <w:szCs w:val="19"/>
        </w:rPr>
        <w:t>W październiku 2018 r.:</w:t>
      </w:r>
    </w:p>
    <w:p w:rsidR="00A854F5" w:rsidRPr="004F443B" w:rsidRDefault="00A854F5" w:rsidP="00A854F5">
      <w:pPr>
        <w:pStyle w:val="Tekstprzypisudolnego"/>
        <w:widowControl w:val="0"/>
        <w:numPr>
          <w:ilvl w:val="0"/>
          <w:numId w:val="9"/>
        </w:numPr>
        <w:spacing w:before="0" w:after="80" w:line="240" w:lineRule="exact"/>
        <w:ind w:left="142" w:hanging="142"/>
        <w:rPr>
          <w:sz w:val="19"/>
          <w:szCs w:val="19"/>
        </w:rPr>
      </w:pPr>
      <w:r w:rsidRPr="004F443B">
        <w:rPr>
          <w:sz w:val="19"/>
          <w:szCs w:val="19"/>
        </w:rPr>
        <w:t>połowa pracowników otrzymała wynagrodzenie do 4094,98 zł (mediana = decyl piąty = kwartyl drugi = wynagrodzenie środkowe). W tej grupie było więcej kobiet ‒ 54,1%;</w:t>
      </w:r>
    </w:p>
    <w:p w:rsidR="00A854F5" w:rsidRPr="004F443B" w:rsidRDefault="00A854F5" w:rsidP="00A854F5">
      <w:pPr>
        <w:pStyle w:val="Tekstprzypisudolnego"/>
        <w:widowControl w:val="0"/>
        <w:numPr>
          <w:ilvl w:val="0"/>
          <w:numId w:val="9"/>
        </w:numPr>
        <w:spacing w:before="0" w:after="80" w:line="240" w:lineRule="exact"/>
        <w:ind w:left="142" w:hanging="142"/>
        <w:rPr>
          <w:sz w:val="19"/>
          <w:szCs w:val="19"/>
        </w:rPr>
      </w:pPr>
      <w:r w:rsidRPr="004F443B">
        <w:rPr>
          <w:sz w:val="19"/>
          <w:szCs w:val="19"/>
        </w:rPr>
        <w:t>10% najniżej zarabiających pracowników otrzymało wynagrodzenie w wysokości co najwyżej 2224,17 zł (decyl pierwszy)</w:t>
      </w:r>
      <w:r w:rsidRPr="004F443B">
        <w:rPr>
          <w:i/>
          <w:sz w:val="19"/>
          <w:szCs w:val="19"/>
        </w:rPr>
        <w:t>.</w:t>
      </w:r>
      <w:r w:rsidRPr="004F443B">
        <w:rPr>
          <w:sz w:val="19"/>
          <w:szCs w:val="19"/>
        </w:rPr>
        <w:t xml:space="preserve"> Wśród najniżej zarabiających przeważali mężczyźni ‒ 54,7%;</w:t>
      </w:r>
    </w:p>
    <w:p w:rsidR="00A854F5" w:rsidRPr="004F443B" w:rsidRDefault="00A854F5" w:rsidP="00A854F5">
      <w:pPr>
        <w:pStyle w:val="Tekstprzypisudolnego"/>
        <w:widowControl w:val="0"/>
        <w:numPr>
          <w:ilvl w:val="0"/>
          <w:numId w:val="9"/>
        </w:numPr>
        <w:spacing w:before="0" w:after="80" w:line="240" w:lineRule="exact"/>
        <w:ind w:left="142" w:hanging="142"/>
        <w:rPr>
          <w:sz w:val="19"/>
          <w:szCs w:val="19"/>
        </w:rPr>
      </w:pPr>
      <w:r w:rsidRPr="004F443B">
        <w:rPr>
          <w:sz w:val="19"/>
          <w:szCs w:val="19"/>
        </w:rPr>
        <w:t>10% najwyżej zarabiających pracowników otrzymało wynagrodzenie w wysokości powyżej 8239,84 zł (decyl dziewiąty). Wśród najwyżej zarabiających także przeważali mężczyźni, którzy stanowili 67,9%.</w:t>
      </w:r>
    </w:p>
    <w:p w:rsidR="00A854F5" w:rsidRDefault="00A854F5" w:rsidP="00A854F5">
      <w:pPr>
        <w:spacing w:before="0" w:after="0"/>
        <w:rPr>
          <w:szCs w:val="19"/>
        </w:rPr>
      </w:pPr>
    </w:p>
    <w:p w:rsidR="00A854F5" w:rsidRPr="004F443B" w:rsidRDefault="00A854F5" w:rsidP="00A854F5">
      <w:pPr>
        <w:spacing w:before="0" w:after="80"/>
        <w:rPr>
          <w:szCs w:val="19"/>
        </w:rPr>
      </w:pPr>
      <w:r w:rsidRPr="004F443B">
        <w:rPr>
          <w:szCs w:val="19"/>
        </w:rPr>
        <w:t>Analizując poszczególne subpopulacje, można stwierdzić, że miesięczne wynagrodzenie ogółem brutto w październiku 2018 r. otrzymało w wysokości:</w:t>
      </w:r>
    </w:p>
    <w:p w:rsidR="00A854F5" w:rsidRPr="004F443B" w:rsidRDefault="00A854F5" w:rsidP="00A854F5">
      <w:pPr>
        <w:pStyle w:val="Akapitzlist"/>
        <w:widowControl w:val="0"/>
        <w:numPr>
          <w:ilvl w:val="0"/>
          <w:numId w:val="10"/>
        </w:numPr>
        <w:spacing w:before="0" w:after="80"/>
        <w:ind w:left="142" w:hanging="142"/>
        <w:rPr>
          <w:szCs w:val="19"/>
        </w:rPr>
      </w:pPr>
      <w:r w:rsidRPr="004F443B">
        <w:rPr>
          <w:szCs w:val="19"/>
        </w:rPr>
        <w:t>co najwyżej 2224,17 zł (decyl pierwszy) ‒ 9,2% ogółu kobiet oraz 10,7% mężczyzn;</w:t>
      </w:r>
    </w:p>
    <w:p w:rsidR="00A854F5" w:rsidRPr="004F443B" w:rsidRDefault="00A854F5" w:rsidP="00A854F5">
      <w:pPr>
        <w:pStyle w:val="Akapitzlist"/>
        <w:widowControl w:val="0"/>
        <w:numPr>
          <w:ilvl w:val="0"/>
          <w:numId w:val="10"/>
        </w:numPr>
        <w:spacing w:before="0" w:after="80"/>
        <w:ind w:left="142" w:hanging="142"/>
        <w:rPr>
          <w:szCs w:val="19"/>
        </w:rPr>
      </w:pPr>
      <w:r w:rsidRPr="004F443B">
        <w:rPr>
          <w:szCs w:val="19"/>
        </w:rPr>
        <w:t>co najwyżej 4094,98 zł (decyl piąty) ‒ 55,1% kobiet oraz 45,1% mężczyzn;</w:t>
      </w:r>
    </w:p>
    <w:p w:rsidR="00A854F5" w:rsidRPr="004F443B" w:rsidRDefault="00A854F5" w:rsidP="00A854F5">
      <w:pPr>
        <w:pStyle w:val="Akapitzlist"/>
        <w:widowControl w:val="0"/>
        <w:numPr>
          <w:ilvl w:val="0"/>
          <w:numId w:val="10"/>
        </w:numPr>
        <w:spacing w:before="0" w:after="80"/>
        <w:ind w:left="142" w:hanging="142"/>
        <w:rPr>
          <w:szCs w:val="19"/>
        </w:rPr>
      </w:pPr>
      <w:r w:rsidRPr="004F443B">
        <w:rPr>
          <w:szCs w:val="19"/>
        </w:rPr>
        <w:t>powyżej 8239,84 zł (decyl dziewiąty) ‒ 6,5% kobiet oraz 13,3% mężczyzn.</w:t>
      </w:r>
    </w:p>
    <w:p w:rsidR="00A854F5" w:rsidRDefault="00A854F5" w:rsidP="00A854F5">
      <w:pPr>
        <w:pStyle w:val="Listapunktowana"/>
        <w:tabs>
          <w:tab w:val="left" w:pos="567"/>
        </w:tabs>
        <w:spacing w:after="0" w:line="240" w:lineRule="exact"/>
        <w:ind w:firstLine="0"/>
        <w:jc w:val="left"/>
        <w:rPr>
          <w:rFonts w:ascii="Fira Sans" w:hAnsi="Fira Sans"/>
          <w:b w:val="0"/>
          <w:i w:val="0"/>
          <w:sz w:val="19"/>
          <w:szCs w:val="19"/>
        </w:rPr>
      </w:pPr>
    </w:p>
    <w:p w:rsidR="00A854F5" w:rsidRPr="004F443B" w:rsidRDefault="00A854F5" w:rsidP="00A854F5">
      <w:pPr>
        <w:pStyle w:val="Listapunktowana"/>
        <w:tabs>
          <w:tab w:val="left" w:pos="567"/>
        </w:tabs>
        <w:spacing w:after="80" w:line="240" w:lineRule="exact"/>
        <w:ind w:firstLine="0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>W październiku 2018 r. wynagrodzenie do wysokości 2501,89 zł, tj. co najwyżej 50% przeciętnego wynagrodzenia miesięcznego ogółem brutto, otrzymało:</w:t>
      </w:r>
    </w:p>
    <w:p w:rsidR="00A854F5" w:rsidRPr="004F443B" w:rsidRDefault="00A854F5" w:rsidP="00A854F5">
      <w:pPr>
        <w:pStyle w:val="Listapunktowana"/>
        <w:numPr>
          <w:ilvl w:val="0"/>
          <w:numId w:val="11"/>
        </w:numPr>
        <w:tabs>
          <w:tab w:val="clear" w:pos="644"/>
          <w:tab w:val="num" w:pos="142"/>
          <w:tab w:val="left" w:pos="851"/>
        </w:tabs>
        <w:spacing w:after="80" w:line="240" w:lineRule="exact"/>
        <w:ind w:hanging="644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>16,2% zatrudnionych;</w:t>
      </w:r>
    </w:p>
    <w:p w:rsidR="00A854F5" w:rsidRPr="004F443B" w:rsidRDefault="00A854F5" w:rsidP="00A854F5">
      <w:pPr>
        <w:pStyle w:val="Listapunktowana"/>
        <w:numPr>
          <w:ilvl w:val="0"/>
          <w:numId w:val="11"/>
        </w:numPr>
        <w:tabs>
          <w:tab w:val="clear" w:pos="644"/>
          <w:tab w:val="num" w:pos="142"/>
        </w:tabs>
        <w:spacing w:after="80" w:line="240" w:lineRule="exact"/>
        <w:ind w:hanging="644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>16,1% kobiet oraz 16,3% mężczyzn.</w:t>
      </w:r>
    </w:p>
    <w:p w:rsidR="00A854F5" w:rsidRDefault="00A854F5" w:rsidP="00A854F5">
      <w:pPr>
        <w:pStyle w:val="Listapunktowana"/>
        <w:spacing w:after="0" w:line="240" w:lineRule="exact"/>
        <w:ind w:firstLine="0"/>
        <w:jc w:val="left"/>
        <w:rPr>
          <w:rFonts w:ascii="Fira Sans" w:hAnsi="Fira Sans"/>
          <w:b w:val="0"/>
          <w:i w:val="0"/>
          <w:sz w:val="19"/>
          <w:szCs w:val="19"/>
        </w:rPr>
      </w:pPr>
    </w:p>
    <w:p w:rsidR="00A854F5" w:rsidRPr="004F443B" w:rsidRDefault="00A854F5" w:rsidP="00A854F5">
      <w:pPr>
        <w:pStyle w:val="Listapunktowana"/>
        <w:spacing w:after="80" w:line="240" w:lineRule="exact"/>
        <w:ind w:firstLine="0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 xml:space="preserve">Wynagrodzenia do wysokości 5003,78 zł, czyli co najwyżej 100% przeciętnego wynagrodzenia miesięcznego ogółem brutto, otrzymało: </w:t>
      </w:r>
    </w:p>
    <w:p w:rsidR="00A854F5" w:rsidRPr="004F443B" w:rsidRDefault="00A854F5" w:rsidP="00A854F5">
      <w:pPr>
        <w:pStyle w:val="Listapunktowana"/>
        <w:numPr>
          <w:ilvl w:val="0"/>
          <w:numId w:val="5"/>
        </w:numPr>
        <w:tabs>
          <w:tab w:val="clear" w:pos="644"/>
          <w:tab w:val="num" w:pos="142"/>
        </w:tabs>
        <w:spacing w:after="80" w:line="240" w:lineRule="exact"/>
        <w:ind w:left="0" w:firstLine="0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>66,0% zatrudnionych;</w:t>
      </w:r>
    </w:p>
    <w:p w:rsidR="00A854F5" w:rsidRPr="004F443B" w:rsidRDefault="00A854F5" w:rsidP="00A854F5">
      <w:pPr>
        <w:pStyle w:val="Listapunktowana"/>
        <w:numPr>
          <w:ilvl w:val="0"/>
          <w:numId w:val="5"/>
        </w:numPr>
        <w:tabs>
          <w:tab w:val="clear" w:pos="644"/>
          <w:tab w:val="num" w:pos="142"/>
        </w:tabs>
        <w:spacing w:after="80" w:line="240" w:lineRule="exact"/>
        <w:ind w:left="0" w:firstLine="0"/>
        <w:jc w:val="left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bCs/>
          <w:i w:val="0"/>
          <w:sz w:val="19"/>
          <w:szCs w:val="19"/>
        </w:rPr>
        <w:t>71,2</w:t>
      </w:r>
      <w:r w:rsidRPr="004F443B">
        <w:rPr>
          <w:rFonts w:ascii="Fira Sans" w:hAnsi="Fira Sans"/>
          <w:b w:val="0"/>
          <w:i w:val="0"/>
          <w:sz w:val="19"/>
          <w:szCs w:val="19"/>
        </w:rPr>
        <w:t xml:space="preserve">% kobiet oraz </w:t>
      </w:r>
      <w:r w:rsidRPr="004F443B">
        <w:rPr>
          <w:rFonts w:ascii="Fira Sans" w:hAnsi="Fira Sans"/>
          <w:b w:val="0"/>
          <w:bCs/>
          <w:i w:val="0"/>
          <w:sz w:val="19"/>
          <w:szCs w:val="19"/>
        </w:rPr>
        <w:t>60,9</w:t>
      </w:r>
      <w:r w:rsidRPr="004F443B">
        <w:rPr>
          <w:rFonts w:ascii="Fira Sans" w:hAnsi="Fira Sans"/>
          <w:b w:val="0"/>
          <w:i w:val="0"/>
          <w:sz w:val="19"/>
          <w:szCs w:val="19"/>
        </w:rPr>
        <w:t>% mężczyzn.</w:t>
      </w:r>
    </w:p>
    <w:p w:rsidR="00A854F5" w:rsidRDefault="00A854F5" w:rsidP="001E104A">
      <w:pPr>
        <w:pStyle w:val="Listapunktowana"/>
        <w:tabs>
          <w:tab w:val="left" w:pos="567"/>
        </w:tabs>
        <w:spacing w:after="0" w:line="240" w:lineRule="exact"/>
        <w:ind w:left="851" w:hanging="851"/>
        <w:jc w:val="left"/>
        <w:rPr>
          <w:rFonts w:ascii="Fira Sans" w:hAnsi="Fira Sans"/>
          <w:i w:val="0"/>
          <w:sz w:val="18"/>
          <w:szCs w:val="18"/>
        </w:rPr>
      </w:pPr>
    </w:p>
    <w:p w:rsidR="00A854F5" w:rsidRPr="004F443B" w:rsidRDefault="00A854F5" w:rsidP="001E104A">
      <w:pPr>
        <w:pStyle w:val="Listapunktowana"/>
        <w:tabs>
          <w:tab w:val="left" w:pos="567"/>
        </w:tabs>
        <w:spacing w:after="120" w:line="240" w:lineRule="exact"/>
        <w:ind w:left="851" w:hanging="851"/>
        <w:jc w:val="left"/>
        <w:rPr>
          <w:rFonts w:ascii="Fira Sans" w:hAnsi="Fira Sans"/>
          <w:i w:val="0"/>
          <w:sz w:val="18"/>
          <w:szCs w:val="18"/>
        </w:rPr>
      </w:pPr>
      <w:r w:rsidRPr="004F443B">
        <w:rPr>
          <w:rFonts w:ascii="Fira Sans" w:hAnsi="Fira Sans"/>
          <w:i w:val="0"/>
          <w:sz w:val="18"/>
          <w:szCs w:val="18"/>
        </w:rPr>
        <w:t>Tablica 2</w:t>
      </w:r>
      <w:r>
        <w:rPr>
          <w:rFonts w:ascii="Fira Sans" w:hAnsi="Fira Sans"/>
          <w:i w:val="0"/>
          <w:sz w:val="18"/>
          <w:szCs w:val="18"/>
        </w:rPr>
        <w:t>.</w:t>
      </w:r>
      <w:r w:rsidRPr="004F443B">
        <w:rPr>
          <w:rFonts w:ascii="Fira Sans" w:hAnsi="Fira Sans"/>
          <w:i w:val="0"/>
          <w:sz w:val="18"/>
          <w:szCs w:val="18"/>
        </w:rPr>
        <w:t xml:space="preserve"> Odsetek pracowników (w danej „wielkiej” grupie zawodów) otrzymujących wynagrodzenia miesięczne ogółem brutto co najwyżej równe przeciętnemu wynagrodzeniu </w:t>
      </w:r>
      <w:r>
        <w:rPr>
          <w:rFonts w:ascii="Fira Sans" w:hAnsi="Fira Sans"/>
          <w:i w:val="0"/>
          <w:sz w:val="18"/>
          <w:szCs w:val="18"/>
        </w:rPr>
        <w:t xml:space="preserve">ogółem brutto </w:t>
      </w:r>
      <w:r w:rsidRPr="004F443B">
        <w:rPr>
          <w:rFonts w:ascii="Fira Sans" w:hAnsi="Fira Sans"/>
          <w:i w:val="0"/>
          <w:sz w:val="18"/>
          <w:szCs w:val="18"/>
        </w:rPr>
        <w:t>w październiku 2018 r. (tzn.</w:t>
      </w:r>
      <w:r w:rsidRPr="004F443B">
        <w:rPr>
          <w:rFonts w:ascii="Fira Sans" w:hAnsi="Fira Sans"/>
          <w:sz w:val="18"/>
          <w:szCs w:val="18"/>
        </w:rPr>
        <w:t> </w:t>
      </w:r>
      <w:r w:rsidRPr="004F443B">
        <w:rPr>
          <w:rFonts w:ascii="Fira Sans" w:hAnsi="Fira Sans"/>
          <w:i w:val="0"/>
          <w:sz w:val="18"/>
          <w:szCs w:val="18"/>
        </w:rPr>
        <w:sym w:font="Symbol" w:char="F0A3"/>
      </w:r>
      <w:r w:rsidRPr="004F443B">
        <w:rPr>
          <w:rFonts w:ascii="Fira Sans" w:hAnsi="Fira Sans"/>
          <w:sz w:val="18"/>
          <w:szCs w:val="18"/>
        </w:rPr>
        <w:t> </w:t>
      </w:r>
      <w:r w:rsidRPr="004F443B">
        <w:rPr>
          <w:rFonts w:ascii="Fira Sans" w:hAnsi="Fira Sans"/>
          <w:bCs/>
          <w:i w:val="0"/>
          <w:iCs/>
          <w:sz w:val="18"/>
          <w:szCs w:val="18"/>
        </w:rPr>
        <w:t>5003,78</w:t>
      </w:r>
      <w:r w:rsidRPr="004F443B">
        <w:rPr>
          <w:rFonts w:ascii="Fira Sans" w:hAnsi="Fira Sans"/>
          <w:i w:val="0"/>
          <w:sz w:val="18"/>
          <w:szCs w:val="18"/>
        </w:rPr>
        <w:t xml:space="preserve"> zł)</w:t>
      </w:r>
    </w:p>
    <w:tbl>
      <w:tblPr>
        <w:tblW w:w="8167" w:type="dxa"/>
        <w:tblInd w:w="55" w:type="dxa"/>
        <w:tblBorders>
          <w:bottom w:val="single" w:sz="4" w:space="0" w:color="auto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640"/>
        <w:gridCol w:w="1640"/>
        <w:gridCol w:w="1470"/>
      </w:tblGrid>
      <w:tr w:rsidR="00A854F5" w:rsidRPr="004F443B" w:rsidTr="00491BB7">
        <w:trPr>
          <w:trHeight w:hRule="exact" w:val="478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  <w:r w:rsidRPr="004F443B">
              <w:rPr>
                <w:color w:val="000000"/>
                <w:sz w:val="16"/>
                <w:szCs w:val="16"/>
              </w:rPr>
              <w:t>Symbol i nazwa „wielkiej” grupy zawodów</w:t>
            </w:r>
            <w:r>
              <w:rPr>
                <w:color w:val="000000"/>
                <w:sz w:val="16"/>
                <w:szCs w:val="16"/>
              </w:rPr>
              <w:br/>
            </w:r>
            <w:r w:rsidRPr="004F443B">
              <w:rPr>
                <w:color w:val="000000"/>
                <w:sz w:val="16"/>
                <w:szCs w:val="16"/>
              </w:rPr>
              <w:t>wg Klasyfikacji Zawodów i Specjalności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  <w:r w:rsidRPr="004F443B">
              <w:rPr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Mężczyźni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Kobiety</w:t>
            </w:r>
          </w:p>
        </w:tc>
      </w:tr>
      <w:tr w:rsidR="00A854F5" w:rsidRPr="004F443B" w:rsidTr="00491BB7">
        <w:trPr>
          <w:trHeight w:val="395"/>
        </w:trPr>
        <w:tc>
          <w:tcPr>
            <w:tcW w:w="3417" w:type="dxa"/>
            <w:vMerge/>
            <w:tcBorders>
              <w:bottom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0" w:type="dxa"/>
            <w:gridSpan w:val="3"/>
            <w:tcBorders>
              <w:bottom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center"/>
              <w:rPr>
                <w:color w:val="000000"/>
                <w:sz w:val="16"/>
                <w:szCs w:val="16"/>
              </w:rPr>
            </w:pPr>
            <w:r w:rsidRPr="004F443B">
              <w:rPr>
                <w:color w:val="000000"/>
                <w:sz w:val="16"/>
                <w:szCs w:val="16"/>
              </w:rPr>
              <w:t>w procentach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b/>
                <w:iCs/>
                <w:color w:val="000000"/>
                <w:sz w:val="16"/>
                <w:szCs w:val="16"/>
              </w:rPr>
            </w:pPr>
            <w:r w:rsidRPr="004F443B">
              <w:rPr>
                <w:b/>
                <w:iCs/>
                <w:color w:val="000000"/>
                <w:sz w:val="16"/>
                <w:szCs w:val="16"/>
              </w:rPr>
              <w:t xml:space="preserve"> </w:t>
            </w:r>
            <w:r w:rsidRPr="004F443B">
              <w:rPr>
                <w:b/>
                <w:bCs/>
                <w:i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1640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b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640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b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1470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b/>
                <w:color w:val="000000"/>
                <w:sz w:val="16"/>
                <w:szCs w:val="16"/>
              </w:rPr>
              <w:t>71,2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1. Przedstawiciele władz publicznych, wyżsi urzędnicy i kierownicy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31,3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 xml:space="preserve">2. Specjaliści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51,7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3. Technicy i inny średni personel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74,8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4. Pracownicy biurowi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82,7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5. Pracownicy usług i sprzedawcy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95,7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6. Rolnicy, ogrodnicy, leśnicy i rybacy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87,1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90,3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7. Robotnicy przemysłowi i rzemieślnicy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93,8</w:t>
            </w:r>
          </w:p>
        </w:tc>
      </w:tr>
      <w:tr w:rsidR="00A854F5" w:rsidRPr="004F443B" w:rsidTr="00491BB7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8. Operatorzy i monterzy maszyn i urządzeń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91,1</w:t>
            </w:r>
          </w:p>
        </w:tc>
      </w:tr>
      <w:tr w:rsidR="00A854F5" w:rsidRPr="004F443B" w:rsidTr="00491BB7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rPr>
                <w:iCs/>
                <w:color w:val="000000"/>
                <w:sz w:val="16"/>
                <w:szCs w:val="16"/>
              </w:rPr>
            </w:pPr>
            <w:r w:rsidRPr="004F443B">
              <w:rPr>
                <w:iCs/>
                <w:color w:val="000000"/>
                <w:sz w:val="16"/>
                <w:szCs w:val="16"/>
              </w:rPr>
              <w:t>9. Pracownicy wykonujący prace proste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854F5" w:rsidRPr="004F443B" w:rsidRDefault="00A854F5" w:rsidP="00491BB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F443B"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</w:tr>
    </w:tbl>
    <w:p w:rsidR="00A854F5" w:rsidRPr="004F443B" w:rsidRDefault="00A854F5" w:rsidP="00A854F5">
      <w:pPr>
        <w:ind w:left="851" w:hanging="851"/>
        <w:rPr>
          <w:b/>
          <w:bCs/>
          <w:iCs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507365</wp:posOffset>
            </wp:positionV>
            <wp:extent cx="5120640" cy="2798445"/>
            <wp:effectExtent l="0" t="0" r="0" b="0"/>
            <wp:wrapSquare wrapText="bothSides"/>
            <wp:docPr id="20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4F443B">
        <w:rPr>
          <w:b/>
          <w:bCs/>
          <w:iCs/>
          <w:sz w:val="18"/>
          <w:szCs w:val="18"/>
        </w:rPr>
        <w:t>Wykres 4</w:t>
      </w:r>
      <w:r>
        <w:rPr>
          <w:b/>
          <w:bCs/>
          <w:iCs/>
          <w:sz w:val="18"/>
          <w:szCs w:val="18"/>
        </w:rPr>
        <w:t>.</w:t>
      </w:r>
      <w:r w:rsidRPr="004F443B">
        <w:rPr>
          <w:b/>
          <w:bCs/>
          <w:iCs/>
          <w:sz w:val="18"/>
          <w:szCs w:val="18"/>
        </w:rPr>
        <w:t xml:space="preserve"> Rozkład zatrudnionych (w %) według krotności przeciętnego wynagrodzenia ogółem brutto (PW = 5003,78 zł) w październiku 2018 r.</w:t>
      </w:r>
    </w:p>
    <w:p w:rsidR="00A854F5" w:rsidRPr="004F443B" w:rsidRDefault="00A854F5" w:rsidP="00A854F5">
      <w:pPr>
        <w:spacing w:line="276" w:lineRule="auto"/>
        <w:jc w:val="center"/>
        <w:rPr>
          <w:b/>
          <w:bCs/>
          <w:iCs/>
          <w:sz w:val="22"/>
        </w:rPr>
      </w:pPr>
    </w:p>
    <w:p w:rsidR="00A854F5" w:rsidRPr="004F443B" w:rsidRDefault="00A854F5" w:rsidP="00A854F5">
      <w:pPr>
        <w:pStyle w:val="Listapunktowana"/>
        <w:spacing w:before="120" w:after="0" w:line="240" w:lineRule="exact"/>
        <w:ind w:firstLine="0"/>
        <w:rPr>
          <w:rFonts w:ascii="Fira Sans" w:hAnsi="Fira Sans"/>
          <w:b w:val="0"/>
          <w:i w:val="0"/>
          <w:sz w:val="19"/>
          <w:szCs w:val="19"/>
        </w:rPr>
      </w:pPr>
      <w:r w:rsidRPr="004F443B">
        <w:rPr>
          <w:rFonts w:ascii="Fira Sans" w:hAnsi="Fira Sans"/>
          <w:b w:val="0"/>
          <w:i w:val="0"/>
          <w:sz w:val="19"/>
          <w:szCs w:val="19"/>
        </w:rPr>
        <w:t>Co najmniej 200%</w:t>
      </w:r>
      <w:r w:rsidRPr="004F443B">
        <w:rPr>
          <w:rFonts w:ascii="Fira Sans" w:hAnsi="Fira Sans"/>
          <w:b w:val="0"/>
          <w:sz w:val="19"/>
          <w:szCs w:val="19"/>
        </w:rPr>
        <w:t xml:space="preserve"> </w:t>
      </w:r>
      <w:r w:rsidRPr="004F443B">
        <w:rPr>
          <w:rFonts w:ascii="Fira Sans" w:hAnsi="Fira Sans"/>
          <w:b w:val="0"/>
          <w:i w:val="0"/>
          <w:sz w:val="19"/>
          <w:szCs w:val="19"/>
        </w:rPr>
        <w:t xml:space="preserve">przeciętnego wynagrodzenia miesięcznego ogółem brutto w jednostkach objętych badaniem </w:t>
      </w:r>
      <w:r w:rsidRPr="004F443B">
        <w:rPr>
          <w:rFonts w:ascii="Fira Sans" w:hAnsi="Fira Sans"/>
          <w:b w:val="0"/>
          <w:i w:val="0"/>
          <w:sz w:val="19"/>
          <w:szCs w:val="19"/>
        </w:rPr>
        <w:sym w:font="Times New Roman" w:char="2014"/>
      </w:r>
      <w:r w:rsidRPr="004F443B">
        <w:rPr>
          <w:rFonts w:ascii="Fira Sans" w:hAnsi="Fira Sans"/>
          <w:b w:val="0"/>
          <w:i w:val="0"/>
          <w:sz w:val="19"/>
          <w:szCs w:val="19"/>
        </w:rPr>
        <w:t xml:space="preserve"> od wysokości 10007,56 zł </w:t>
      </w:r>
      <w:r w:rsidRPr="004F443B">
        <w:rPr>
          <w:rFonts w:ascii="Fira Sans" w:hAnsi="Fira Sans"/>
          <w:b w:val="0"/>
          <w:sz w:val="19"/>
          <w:szCs w:val="19"/>
        </w:rPr>
        <w:sym w:font="Times New Roman" w:char="2014"/>
      </w:r>
      <w:r w:rsidRPr="004F443B">
        <w:rPr>
          <w:rFonts w:ascii="Fira Sans" w:hAnsi="Fira Sans"/>
          <w:b w:val="0"/>
          <w:sz w:val="19"/>
          <w:szCs w:val="19"/>
        </w:rPr>
        <w:t xml:space="preserve"> </w:t>
      </w:r>
      <w:r w:rsidRPr="004F443B">
        <w:rPr>
          <w:rFonts w:ascii="Fira Sans" w:hAnsi="Fira Sans"/>
          <w:b w:val="0"/>
          <w:i w:val="0"/>
          <w:sz w:val="19"/>
          <w:szCs w:val="19"/>
        </w:rPr>
        <w:t>otrzymało 3,8% kobiet oraz 8,4% mężczyzn</w:t>
      </w:r>
      <w:r w:rsidRPr="004F443B">
        <w:rPr>
          <w:rFonts w:ascii="Fira Sans" w:hAnsi="Fira Sans"/>
          <w:b w:val="0"/>
          <w:sz w:val="19"/>
          <w:szCs w:val="19"/>
        </w:rPr>
        <w:t>.</w:t>
      </w:r>
    </w:p>
    <w:p w:rsidR="00A854F5" w:rsidRDefault="00A854F5" w:rsidP="00A854F5">
      <w:pPr>
        <w:spacing w:before="0" w:after="80"/>
        <w:jc w:val="both"/>
        <w:rPr>
          <w:szCs w:val="19"/>
        </w:rPr>
      </w:pPr>
    </w:p>
    <w:p w:rsidR="00A854F5" w:rsidRPr="004F443B" w:rsidRDefault="00A854F5" w:rsidP="00A854F5">
      <w:pPr>
        <w:spacing w:before="0" w:after="80"/>
        <w:jc w:val="both"/>
        <w:rPr>
          <w:szCs w:val="19"/>
        </w:rPr>
      </w:pPr>
      <w:r w:rsidRPr="004F443B">
        <w:rPr>
          <w:szCs w:val="19"/>
        </w:rPr>
        <w:t>W październiku 2018 r. miesięczne wynagrodzenie ogółem brutto co najmniej równe:</w:t>
      </w:r>
    </w:p>
    <w:p w:rsidR="00A854F5" w:rsidRPr="004F443B" w:rsidRDefault="00A854F5" w:rsidP="00A854F5">
      <w:pPr>
        <w:widowControl w:val="0"/>
        <w:numPr>
          <w:ilvl w:val="0"/>
          <w:numId w:val="6"/>
        </w:numPr>
        <w:tabs>
          <w:tab w:val="clear" w:pos="360"/>
          <w:tab w:val="left" w:pos="567"/>
        </w:tabs>
        <w:spacing w:before="0" w:after="80"/>
        <w:ind w:left="284" w:hanging="284"/>
        <w:rPr>
          <w:rFonts w:cs="Arial"/>
          <w:szCs w:val="19"/>
        </w:rPr>
      </w:pPr>
      <w:r w:rsidRPr="004F443B">
        <w:rPr>
          <w:rFonts w:cs="Arial"/>
          <w:szCs w:val="19"/>
        </w:rPr>
        <w:t>7 przeciętnym wynagrodzeniom miesięcznym (tzn. ≥ 35026,46 zł) ‒ otrzymało 0,18% zatrudnionych;</w:t>
      </w:r>
    </w:p>
    <w:p w:rsidR="00A854F5" w:rsidRPr="004F443B" w:rsidRDefault="00A854F5" w:rsidP="00A854F5">
      <w:pPr>
        <w:widowControl w:val="0"/>
        <w:numPr>
          <w:ilvl w:val="0"/>
          <w:numId w:val="6"/>
        </w:numPr>
        <w:tabs>
          <w:tab w:val="clear" w:pos="360"/>
          <w:tab w:val="left" w:pos="567"/>
        </w:tabs>
        <w:spacing w:before="0" w:after="80"/>
        <w:ind w:left="284" w:hanging="284"/>
        <w:rPr>
          <w:rFonts w:cs="Arial"/>
          <w:szCs w:val="19"/>
        </w:rPr>
      </w:pPr>
      <w:r w:rsidRPr="004F443B">
        <w:rPr>
          <w:rFonts w:cs="Arial"/>
          <w:szCs w:val="19"/>
        </w:rPr>
        <w:t>6 przeciętnym wynagrodzeniom miesięcznym (tzn. ≥ 30022,68 zł) ‒ 0,29% zatrudnionych;</w:t>
      </w:r>
    </w:p>
    <w:p w:rsidR="00A854F5" w:rsidRPr="004F443B" w:rsidRDefault="00A854F5" w:rsidP="00A854F5">
      <w:pPr>
        <w:widowControl w:val="0"/>
        <w:numPr>
          <w:ilvl w:val="0"/>
          <w:numId w:val="6"/>
        </w:numPr>
        <w:tabs>
          <w:tab w:val="clear" w:pos="360"/>
          <w:tab w:val="left" w:pos="567"/>
        </w:tabs>
        <w:spacing w:before="0" w:after="80"/>
        <w:ind w:left="284" w:hanging="284"/>
        <w:rPr>
          <w:rFonts w:cs="Arial"/>
          <w:szCs w:val="19"/>
        </w:rPr>
      </w:pPr>
      <w:r w:rsidRPr="004F443B">
        <w:rPr>
          <w:rFonts w:cs="Arial"/>
          <w:szCs w:val="19"/>
        </w:rPr>
        <w:t>5 przeciętnym wynagrodzeniom miesięcznym (tzn. ≥ 25018,90 zł) ‒ 0,49% zatrudnionych;</w:t>
      </w:r>
    </w:p>
    <w:p w:rsidR="00A854F5" w:rsidRPr="004F443B" w:rsidRDefault="00A854F5" w:rsidP="00A854F5">
      <w:pPr>
        <w:widowControl w:val="0"/>
        <w:numPr>
          <w:ilvl w:val="0"/>
          <w:numId w:val="6"/>
        </w:numPr>
        <w:tabs>
          <w:tab w:val="clear" w:pos="360"/>
          <w:tab w:val="left" w:pos="567"/>
        </w:tabs>
        <w:spacing w:before="0" w:after="80"/>
        <w:ind w:left="284" w:hanging="284"/>
        <w:rPr>
          <w:rFonts w:cs="Arial"/>
          <w:szCs w:val="19"/>
        </w:rPr>
      </w:pPr>
      <w:r w:rsidRPr="004F443B">
        <w:rPr>
          <w:rFonts w:cs="Arial"/>
          <w:szCs w:val="19"/>
        </w:rPr>
        <w:t>4 przeciętnym wynagrodzeniom miesięcznym (tzn. ≥ 20015,12 zł) ‒ 0,93% zatrudnionych;</w:t>
      </w:r>
    </w:p>
    <w:p w:rsidR="00A854F5" w:rsidRPr="004F443B" w:rsidRDefault="00A854F5" w:rsidP="00A854F5">
      <w:pPr>
        <w:widowControl w:val="0"/>
        <w:numPr>
          <w:ilvl w:val="0"/>
          <w:numId w:val="6"/>
        </w:numPr>
        <w:tabs>
          <w:tab w:val="left" w:pos="567"/>
        </w:tabs>
        <w:spacing w:before="0" w:after="80"/>
        <w:ind w:left="284" w:hanging="284"/>
        <w:rPr>
          <w:rFonts w:cs="Arial"/>
          <w:szCs w:val="19"/>
        </w:rPr>
      </w:pPr>
      <w:r w:rsidRPr="004F443B">
        <w:rPr>
          <w:rFonts w:cs="Arial"/>
          <w:szCs w:val="19"/>
        </w:rPr>
        <w:t>3 przeciętnym wynagrodzeniom miesięcznym (tzn. ≥ 15011,34 zł) ‒ 2,15% zatrudnionych.</w:t>
      </w:r>
    </w:p>
    <w:p w:rsidR="00A854F5" w:rsidRDefault="00A854F5" w:rsidP="00A854F5">
      <w:pPr>
        <w:outlineLvl w:val="0"/>
        <w:rPr>
          <w:rFonts w:ascii="Fira Sans SemiBold" w:hAnsi="Fira Sans SemiBold"/>
          <w:color w:val="001D77"/>
          <w:szCs w:val="19"/>
        </w:rPr>
      </w:pPr>
    </w:p>
    <w:p w:rsidR="00A854F5" w:rsidRPr="003E54AF" w:rsidRDefault="00966A7B" w:rsidP="00A854F5">
      <w:pPr>
        <w:outlineLvl w:val="0"/>
        <w:rPr>
          <w:rFonts w:ascii="Fira Sans SemiBold" w:hAnsi="Fira Sans SemiBold"/>
          <w:color w:val="001D77"/>
          <w:szCs w:val="19"/>
        </w:rPr>
      </w:pPr>
      <w:r>
        <w:rPr>
          <w:rFonts w:ascii="Fira Sans SemiBold" w:hAnsi="Fira Sans SemiBold"/>
          <w:noProof/>
          <w:color w:val="001D77"/>
          <w:szCs w:val="19"/>
          <w:lang w:eastAsia="pl-PL"/>
        </w:rPr>
        <w:pict>
          <v:shape id="_x0000_s1047" type="#_x0000_t202" style="position:absolute;margin-left:417.6pt;margin-top:14.6pt;width:125.95pt;height:1in;z-index:-25164646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khDwIAAPkDAAAOAAAAZHJzL2Uyb0RvYy54bWysU11v2yAUfZ+0/4B4X/yhOGusOFXXrtOk&#10;bqvU7QdgjGNU4DIgsbNfvwtO02h7m+YHBL73nnvP4bC5nrQiB+G8BNPQYpFTIgyHTppdQ398v393&#10;RYkPzHRMgRENPQpPr7dv32xGW4sSBlCdcARBjK9H29AhBFtnmeeD0MwvwAqDwR6cZgGPbpd1jo2I&#10;rlVW5vkqG8F11gEX3uPfuzlItwm/7wUP3/rei0BUQ3G2kFaX1jau2XbD6p1jdpD8NAb7hyk0kwab&#10;nqHuWGBk7+RfUFpyBx76sOCgM+h7yUXigGyK/A82TwOzInFBcbw9y+T/Hyz/enh0RHZ4dytKDNN4&#10;R4+gBAni2QcYBSmjRqP1NaY+WUwO0weYMD/x9fYB+LMnBm4HZnbixjkYB8E6nLGIldlF6YzjI0g7&#10;foEOe7F9gAQ09U5HAVESguh4V8fz/YgpEB5bVquyyDHEMVZU+XJdpRvMWP1Sbp0PnwRoEjcNdWiA&#10;BM8ODz7EcVj9khK7GbiXSiUTKEPGhq6rskoFFxEtA3pUSd3Qqzx+s2siy4+mS8WBSTXvsYEyJ9qR&#10;6cw5TO2EiVGLFrojCuBg9iK+HdwM4H5RMqIPG+p/7pkTlKjPBkVcF8tlNG46LKv3JR7cZaS9jDDD&#10;EaqhgZJ5exuS2WeuNyh2L5MMr5OcZkV/JXVObyEa+PKcsl5f7PY3AAAA//8DAFBLAwQUAAYACAAA&#10;ACEAn2IPzt8AAAALAQAADwAAAGRycy9kb3ducmV2LnhtbEyPTU/DMAyG70j8h8hI3FiyjZauqztN&#10;IK4gxofELWu8tlrjVE22ln9PdoKj7Uevn7fYTLYTZxp86xhhPlMgiCtnWq4RPt6f7zIQPmg2unNM&#10;CD/kYVNeXxU6N27kNzrvQi1iCPtcIzQh9LmUvmrIaj9zPXG8HdxgdYjjUEsz6DGG204ulEql1S3H&#10;D43u6bGh6rg7WYTPl8P31716rZ9s0o9uUpLtSiLe3kzbNYhAU/iD4aIf1aGMTnt3YuNFh5AtkySi&#10;CEuVgrgAKpvHzR5hkT6kIMtC/u9Q/gIAAP//AwBQSwECLQAUAAYACAAAACEAtoM4kv4AAADhAQAA&#10;EwAAAAAAAAAAAAAAAAAAAAAAW0NvbnRlbnRfVHlwZXNdLnhtbFBLAQItABQABgAIAAAAIQA4/SH/&#10;1gAAAJQBAAALAAAAAAAAAAAAAAAAAC8BAABfcmVscy8ucmVsc1BLAQItABQABgAIAAAAIQDioikh&#10;DwIAAPkDAAAOAAAAAAAAAAAAAAAAAC4CAABkcnMvZTJvRG9jLnhtbFBLAQItABQABgAIAAAAIQCf&#10;Yg/O3wAAAAsBAAAPAAAAAAAAAAAAAAAAAGkEAABkcnMvZG93bnJldi54bWxQSwUGAAAAAAQABADz&#10;AAAAdQUAAAAA&#10;" filled="f" stroked="f">
            <v:textbox style="mso-next-textbox:#_x0000_s1047">
              <w:txbxContent>
                <w:p w:rsidR="00A854F5" w:rsidRPr="007C3E8C" w:rsidRDefault="00A854F5" w:rsidP="00A854F5">
                  <w:pPr>
                    <w:spacing w:before="0" w:after="0"/>
                    <w:ind w:right="144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7C3E8C">
                    <w:rPr>
                      <w:color w:val="001D77"/>
                      <w:sz w:val="18"/>
                      <w:szCs w:val="18"/>
                    </w:rPr>
                    <w:t xml:space="preserve">Dane o wynagrodzeniach są prezentowane </w:t>
                  </w:r>
                  <w:r>
                    <w:rPr>
                      <w:color w:val="001D77"/>
                      <w:sz w:val="18"/>
                      <w:szCs w:val="18"/>
                    </w:rPr>
                    <w:br/>
                  </w:r>
                  <w:r w:rsidRPr="007C3E8C">
                    <w:rPr>
                      <w:color w:val="001D77"/>
                      <w:sz w:val="18"/>
                      <w:szCs w:val="18"/>
                    </w:rPr>
                    <w:t>w przeliczeniu na pełny wymiar czasu pracy, za 23 dni robocze.</w:t>
                  </w:r>
                </w:p>
              </w:txbxContent>
            </v:textbox>
            <w10:wrap type="tight"/>
          </v:shape>
        </w:pict>
      </w:r>
      <w:r w:rsidR="00A854F5" w:rsidRPr="003E54AF">
        <w:rPr>
          <w:rFonts w:ascii="Fira Sans SemiBold" w:hAnsi="Fira Sans SemiBold"/>
          <w:color w:val="001D77"/>
          <w:szCs w:val="19"/>
        </w:rPr>
        <w:t>Uwagi metodyczne</w:t>
      </w:r>
    </w:p>
    <w:p w:rsidR="00A854F5" w:rsidRPr="004F443B" w:rsidRDefault="00A854F5" w:rsidP="00A854F5">
      <w:pPr>
        <w:pStyle w:val="tekst"/>
        <w:widowControl/>
        <w:spacing w:before="120" w:after="120" w:line="240" w:lineRule="exact"/>
        <w:ind w:firstLine="0"/>
        <w:jc w:val="left"/>
        <w:rPr>
          <w:rFonts w:ascii="Fira Sans" w:hAnsi="Fira Sans"/>
          <w:noProof w:val="0"/>
          <w:sz w:val="19"/>
          <w:szCs w:val="19"/>
        </w:rPr>
      </w:pPr>
      <w:r w:rsidRPr="004F443B">
        <w:rPr>
          <w:rFonts w:ascii="Fira Sans" w:hAnsi="Fira Sans"/>
          <w:noProof w:val="0"/>
          <w:sz w:val="19"/>
          <w:szCs w:val="19"/>
        </w:rPr>
        <w:t xml:space="preserve">Źródłem zaprezentowanych danych jest badanie struktury wynagrodzeń za 2018 r. Badanie jest realizowane z częstotliwością dwuletnią na formularzu Z-12, ma charakter reprezentacyjny i obejmuje podmioty gospodarki narodowej o liczbie pracujących powyżej 9 osób </w:t>
      </w:r>
      <w:r w:rsidRPr="004F443B">
        <w:rPr>
          <w:rFonts w:ascii="Fira Sans" w:hAnsi="Fira Sans"/>
          <w:iCs/>
          <w:sz w:val="19"/>
          <w:szCs w:val="19"/>
        </w:rPr>
        <w:t>(w momencie losowania próby jednostek)</w:t>
      </w:r>
      <w:r w:rsidRPr="004F443B">
        <w:rPr>
          <w:rFonts w:ascii="Fira Sans" w:hAnsi="Fira Sans"/>
          <w:noProof w:val="0"/>
          <w:sz w:val="19"/>
          <w:szCs w:val="19"/>
        </w:rPr>
        <w:t xml:space="preserve">. Dane dotyczą osób pełnozatrudnionych oraz niepełnozatrudnionych, które przepracowały cały </w:t>
      </w:r>
      <w:r>
        <w:rPr>
          <w:rFonts w:ascii="Fira Sans" w:hAnsi="Fira Sans"/>
          <w:noProof w:val="0"/>
          <w:sz w:val="19"/>
          <w:szCs w:val="19"/>
        </w:rPr>
        <w:t xml:space="preserve">miesiąc </w:t>
      </w:r>
      <w:r w:rsidRPr="004F443B">
        <w:rPr>
          <w:rFonts w:ascii="Fira Sans" w:hAnsi="Fira Sans"/>
          <w:noProof w:val="0"/>
          <w:sz w:val="19"/>
          <w:szCs w:val="19"/>
        </w:rPr>
        <w:t>październik</w:t>
      </w:r>
      <w:r>
        <w:rPr>
          <w:rFonts w:ascii="Fira Sans" w:hAnsi="Fira Sans"/>
          <w:noProof w:val="0"/>
          <w:sz w:val="19"/>
          <w:szCs w:val="19"/>
        </w:rPr>
        <w:t xml:space="preserve"> 2018 r.</w:t>
      </w:r>
    </w:p>
    <w:p w:rsidR="00A854F5" w:rsidRPr="004F443B" w:rsidRDefault="00A854F5" w:rsidP="00A854F5">
      <w:pPr>
        <w:numPr>
          <w:ilvl w:val="12"/>
          <w:numId w:val="0"/>
        </w:numPr>
        <w:tabs>
          <w:tab w:val="left" w:pos="0"/>
          <w:tab w:val="left" w:pos="9864"/>
        </w:tabs>
        <w:rPr>
          <w:szCs w:val="19"/>
        </w:rPr>
      </w:pPr>
      <w:r w:rsidRPr="004F443B">
        <w:rPr>
          <w:szCs w:val="19"/>
        </w:rPr>
        <w:t xml:space="preserve">Wielkość próby badania wynosiła 47,0 tys. jednostek, co stanowiło 20% ogólnej liczby zbiorowości podmiotów. Sprawozdanie złożyło ok. 25,6 tys. podmiotów. Przeciętny podmiot, który złożył sprawozdanie Z-12, liczył 146 pracujących, w tym 122 zatrudnione osoby. </w:t>
      </w:r>
    </w:p>
    <w:p w:rsidR="00A854F5" w:rsidRPr="004F443B" w:rsidRDefault="00A854F5" w:rsidP="00A854F5">
      <w:pPr>
        <w:numPr>
          <w:ilvl w:val="12"/>
          <w:numId w:val="0"/>
        </w:numPr>
        <w:tabs>
          <w:tab w:val="left" w:pos="0"/>
          <w:tab w:val="left" w:pos="9864"/>
        </w:tabs>
        <w:rPr>
          <w:szCs w:val="19"/>
        </w:rPr>
      </w:pPr>
      <w:r w:rsidRPr="004F443B">
        <w:rPr>
          <w:szCs w:val="19"/>
        </w:rPr>
        <w:t>Z poszczególnych podmiotów badaniem objęto ok. 868,8 tys. wylosowanych pracowników, którzy przepracowali cały miesiąc (październik 2018 r.)</w:t>
      </w:r>
      <w:r w:rsidRPr="004F443B">
        <w:rPr>
          <w:i/>
          <w:szCs w:val="19"/>
        </w:rPr>
        <w:t>.</w:t>
      </w:r>
      <w:r w:rsidRPr="004F443B">
        <w:rPr>
          <w:szCs w:val="19"/>
        </w:rPr>
        <w:t xml:space="preserve"> Po uogólnieniu wyników badania uzyskano zbiorowość ok. 8,4 mln zatrudnionych w pełnym i niepełnym wymiarze czasu pracy</w:t>
      </w:r>
      <w:r w:rsidRPr="004F443B">
        <w:rPr>
          <w:i/>
          <w:szCs w:val="19"/>
        </w:rPr>
        <w:t xml:space="preserve"> </w:t>
      </w:r>
      <w:r w:rsidRPr="004F443B">
        <w:rPr>
          <w:szCs w:val="19"/>
        </w:rPr>
        <w:t>(bez przeliczania niepełnozatrudnionych na pełnozatrudnionych), a dane o wynagrodzeniach są prezentowane w przeliczeniu na pełny wymiar czasu pracy, za 23 dni robocze.</w:t>
      </w:r>
    </w:p>
    <w:p w:rsidR="00A854F5" w:rsidRPr="004F443B" w:rsidRDefault="00A854F5" w:rsidP="00A854F5">
      <w:pPr>
        <w:numPr>
          <w:ilvl w:val="12"/>
          <w:numId w:val="0"/>
        </w:numPr>
        <w:tabs>
          <w:tab w:val="left" w:pos="0"/>
        </w:tabs>
        <w:spacing w:after="0"/>
        <w:outlineLvl w:val="0"/>
        <w:rPr>
          <w:szCs w:val="19"/>
          <w:u w:val="single"/>
        </w:rPr>
      </w:pPr>
      <w:r w:rsidRPr="004F443B">
        <w:rPr>
          <w:szCs w:val="19"/>
        </w:rPr>
        <w:t>Informacje ilustrujące wysokość miesięcznych wynagrodzeń ogółem brutto za październik 2018 r. obejmują:</w:t>
      </w:r>
    </w:p>
    <w:p w:rsidR="00A854F5" w:rsidRPr="004F443B" w:rsidRDefault="00A854F5" w:rsidP="00A854F5">
      <w:pPr>
        <w:numPr>
          <w:ilvl w:val="0"/>
          <w:numId w:val="2"/>
        </w:numPr>
        <w:tabs>
          <w:tab w:val="clear" w:pos="1455"/>
          <w:tab w:val="left" w:pos="0"/>
          <w:tab w:val="num" w:pos="284"/>
        </w:tabs>
        <w:spacing w:after="0"/>
        <w:ind w:left="284" w:hanging="284"/>
        <w:rPr>
          <w:szCs w:val="19"/>
        </w:rPr>
      </w:pPr>
      <w:r w:rsidRPr="004F443B">
        <w:rPr>
          <w:szCs w:val="19"/>
        </w:rPr>
        <w:t>wynagrodzenia osobowe za październik 2018 r. (w tym m.in. wynagrodzenie zasadnicze, za pracę w godzinach nadliczbowych, dodatki funkcyjne czy za staż pracy, wynagrodzenia wypłacone za okresy dłuższe niż miesiąc w wysokości przypadającej na 1 miesiąc ‒ np. 1/3 część premii za IV kwartał, 1/6 ‒ premii za drugie półrocze);</w:t>
      </w:r>
    </w:p>
    <w:p w:rsidR="00A854F5" w:rsidRPr="004F443B" w:rsidRDefault="00A854F5" w:rsidP="00A854F5">
      <w:pPr>
        <w:numPr>
          <w:ilvl w:val="0"/>
          <w:numId w:val="2"/>
        </w:numPr>
        <w:tabs>
          <w:tab w:val="clear" w:pos="1455"/>
          <w:tab w:val="left" w:pos="0"/>
          <w:tab w:val="num" w:pos="284"/>
        </w:tabs>
        <w:spacing w:after="0"/>
        <w:ind w:left="284" w:hanging="284"/>
        <w:rPr>
          <w:szCs w:val="19"/>
        </w:rPr>
      </w:pPr>
      <w:r w:rsidRPr="004F443B">
        <w:rPr>
          <w:szCs w:val="19"/>
        </w:rPr>
        <w:lastRenderedPageBreak/>
        <w:t>1/12 części za 2018 r.: honorariów wypłaconych pracownikom własnym na podstawie umów o pracę, dodatkowych wynagrodzeń rocznych dla pracowników jednostek sfery budżetowej, wypłat z tytułu udziału w zysku lub w nadwyżce bilansowej;</w:t>
      </w:r>
    </w:p>
    <w:p w:rsidR="00A854F5" w:rsidRPr="004F443B" w:rsidRDefault="00A854F5" w:rsidP="00A854F5">
      <w:pPr>
        <w:numPr>
          <w:ilvl w:val="0"/>
          <w:numId w:val="2"/>
        </w:numPr>
        <w:tabs>
          <w:tab w:val="clear" w:pos="1455"/>
          <w:tab w:val="left" w:pos="0"/>
          <w:tab w:val="num" w:pos="284"/>
        </w:tabs>
        <w:ind w:left="284" w:hanging="284"/>
        <w:rPr>
          <w:szCs w:val="19"/>
        </w:rPr>
      </w:pPr>
      <w:r w:rsidRPr="004F443B">
        <w:rPr>
          <w:szCs w:val="19"/>
        </w:rPr>
        <w:t>kwoty składek na ubezpieczenia emerytalne, rentowe i chorobowe opłaconych przez ubezpieczonego od wynagrodzeń.</w:t>
      </w:r>
    </w:p>
    <w:p w:rsidR="00A854F5" w:rsidRPr="004F443B" w:rsidRDefault="00A854F5" w:rsidP="00A854F5">
      <w:pPr>
        <w:tabs>
          <w:tab w:val="left" w:pos="0"/>
        </w:tabs>
        <w:rPr>
          <w:szCs w:val="19"/>
        </w:rPr>
      </w:pPr>
      <w:r w:rsidRPr="004F443B">
        <w:rPr>
          <w:szCs w:val="19"/>
        </w:rPr>
        <w:t>W wynagrodzeniach miesięcznych nie uwzględniono takich wypłat, jak</w:t>
      </w:r>
      <w:r w:rsidRPr="004F443B">
        <w:rPr>
          <w:i/>
          <w:szCs w:val="19"/>
        </w:rPr>
        <w:t xml:space="preserve">: </w:t>
      </w:r>
      <w:r w:rsidRPr="004F443B">
        <w:rPr>
          <w:szCs w:val="19"/>
        </w:rPr>
        <w:t>nagrody jubileuszowe, gratyfikacje, odprawy wypłacone przy przejściu na emeryturę, jednorazowe wynagrodzenia (wyrównawcze) wypłacone w związku ze zgłoszeniem i przyjęciem projektu wynalazczego powodującego zmianę norm pracy, ekwiwalenty za niewykorzystany urlop.</w:t>
      </w:r>
    </w:p>
    <w:p w:rsidR="00296F8C" w:rsidRPr="004F443B" w:rsidRDefault="00A854F5" w:rsidP="00A854F5">
      <w:pPr>
        <w:rPr>
          <w:sz w:val="18"/>
        </w:rPr>
        <w:sectPr w:rsidR="00296F8C" w:rsidRPr="004F443B" w:rsidSect="00C3177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284" w:gutter="0"/>
          <w:cols w:space="708"/>
          <w:titlePg/>
          <w:docGrid w:linePitch="360"/>
        </w:sectPr>
      </w:pPr>
      <w:r w:rsidRPr="004F443B">
        <w:rPr>
          <w:color w:val="231F20"/>
          <w:szCs w:val="19"/>
        </w:rPr>
        <w:t xml:space="preserve">W badaniu struktury wynagrodzeń według zawodów za październik </w:t>
      </w:r>
      <w:r w:rsidRPr="004F443B">
        <w:rPr>
          <w:color w:val="231F20"/>
          <w:spacing w:val="-5"/>
          <w:szCs w:val="19"/>
        </w:rPr>
        <w:t xml:space="preserve">2018 </w:t>
      </w:r>
      <w:r w:rsidRPr="004F443B">
        <w:rPr>
          <w:color w:val="231F20"/>
          <w:szCs w:val="19"/>
        </w:rPr>
        <w:t xml:space="preserve">roku została zastosowana „Klasyfikacja zawodów i specjalności”, wprowadzona na podstawie Rozporządzenia Ministra Pracy i Polityki Społecznej z dnia 7 sierpnia </w:t>
      </w:r>
      <w:r w:rsidRPr="004F443B">
        <w:rPr>
          <w:color w:val="231F20"/>
          <w:spacing w:val="-6"/>
          <w:szCs w:val="19"/>
        </w:rPr>
        <w:t xml:space="preserve">2014 </w:t>
      </w:r>
      <w:r w:rsidRPr="004F443B">
        <w:rPr>
          <w:color w:val="231F20"/>
          <w:spacing w:val="-4"/>
          <w:szCs w:val="19"/>
        </w:rPr>
        <w:t xml:space="preserve">r. </w:t>
      </w:r>
      <w:r w:rsidRPr="004F443B">
        <w:rPr>
          <w:color w:val="231F20"/>
          <w:szCs w:val="19"/>
        </w:rPr>
        <w:t xml:space="preserve">w sprawie klasyfikacji zawodów i specjalności dla potrzeb rynku pracy oraz zakresu jej stosowania </w:t>
      </w:r>
      <w:r>
        <w:rPr>
          <w:color w:val="231F20"/>
          <w:szCs w:val="19"/>
        </w:rPr>
        <w:br/>
      </w:r>
      <w:r w:rsidRPr="004F443B">
        <w:rPr>
          <w:color w:val="231F20"/>
          <w:szCs w:val="19"/>
        </w:rPr>
        <w:t xml:space="preserve">(Dz. U. z </w:t>
      </w:r>
      <w:r w:rsidRPr="004F443B">
        <w:rPr>
          <w:color w:val="231F20"/>
          <w:spacing w:val="-6"/>
          <w:szCs w:val="19"/>
        </w:rPr>
        <w:t xml:space="preserve">2014 </w:t>
      </w:r>
      <w:r w:rsidRPr="004F443B">
        <w:rPr>
          <w:color w:val="231F20"/>
          <w:spacing w:val="-4"/>
          <w:szCs w:val="19"/>
        </w:rPr>
        <w:t>r.</w:t>
      </w:r>
      <w:r w:rsidRPr="004F443B">
        <w:rPr>
          <w:color w:val="231F20"/>
          <w:szCs w:val="19"/>
        </w:rPr>
        <w:t>, poz.</w:t>
      </w:r>
      <w:r w:rsidRPr="004F443B">
        <w:rPr>
          <w:color w:val="231F20"/>
          <w:spacing w:val="10"/>
          <w:szCs w:val="19"/>
        </w:rPr>
        <w:t xml:space="preserve"> </w:t>
      </w:r>
      <w:r w:rsidRPr="004F443B">
        <w:rPr>
          <w:spacing w:val="-7"/>
          <w:szCs w:val="19"/>
        </w:rPr>
        <w:t>1145)</w:t>
      </w:r>
      <w:r w:rsidRPr="004F443B">
        <w:rPr>
          <w:szCs w:val="19"/>
        </w:rPr>
        <w:t xml:space="preserve">, z uwzględnieniem zmian wprowadzonych rozporządzeniem Ministra Rodziny, Pracy i Polityki Społecznej z dnia 7 listopada 2016 r. zmieniającym rozporządzenie </w:t>
      </w:r>
      <w:r>
        <w:rPr>
          <w:szCs w:val="19"/>
        </w:rPr>
        <w:br/>
      </w:r>
      <w:r w:rsidRPr="004F443B">
        <w:rPr>
          <w:szCs w:val="19"/>
        </w:rPr>
        <w:t>w sprawie klasyfikacji zawodów i specjalności na potrzeby rynku pracy oraz zakresu jej stosowania (Dz. U. poz. 1876)</w:t>
      </w:r>
    </w:p>
    <w:p w:rsidR="00A91674" w:rsidRPr="004F443B" w:rsidRDefault="00A91674" w:rsidP="00A91674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61"/>
        <w:gridCol w:w="3922"/>
      </w:tblGrid>
      <w:tr w:rsidR="00A91674" w:rsidRPr="00296F8C" w:rsidTr="00C31779">
        <w:trPr>
          <w:trHeight w:val="1912"/>
        </w:trPr>
        <w:tc>
          <w:tcPr>
            <w:tcW w:w="4379" w:type="dxa"/>
          </w:tcPr>
          <w:p w:rsidR="00A91674" w:rsidRPr="004F443B" w:rsidRDefault="00A91674" w:rsidP="00C3177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4F443B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A91674" w:rsidRPr="004F443B" w:rsidRDefault="00A91674" w:rsidP="00C3177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4F443B">
              <w:rPr>
                <w:rFonts w:cs="Arial"/>
                <w:b/>
                <w:color w:val="000000" w:themeColor="text1"/>
                <w:sz w:val="20"/>
              </w:rPr>
              <w:t>Departament Rynku Pracy</w:t>
            </w:r>
          </w:p>
          <w:p w:rsidR="00A91674" w:rsidRPr="004F443B" w:rsidRDefault="007F1BE9" w:rsidP="00C3177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4F443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Andrzej Maciej Piwowarczyk</w:t>
            </w:r>
          </w:p>
          <w:p w:rsidR="00A91674" w:rsidRPr="004F443B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4F443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F1BE9" w:rsidRPr="004F443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Pr="004F443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F1BE9" w:rsidRPr="004F443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77</w:t>
            </w:r>
          </w:p>
          <w:p w:rsidR="00A91674" w:rsidRPr="004F443B" w:rsidRDefault="00A91674" w:rsidP="007F1BE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4F443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="007F1BE9" w:rsidRPr="007C3E8C">
                <w:rPr>
                  <w:rStyle w:val="Hipercze"/>
                  <w:rFonts w:ascii="Fira Sans" w:eastAsiaTheme="minorHAnsi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a.piwowarczyk@stat.gov.pl</w:t>
              </w:r>
            </w:hyperlink>
            <w:r w:rsidRPr="004F443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2" w:type="dxa"/>
          </w:tcPr>
          <w:p w:rsidR="00A91674" w:rsidRPr="004F443B" w:rsidRDefault="00A91674" w:rsidP="00C3177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4F443B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4F443B">
              <w:rPr>
                <w:rFonts w:cs="Arial"/>
                <w:color w:val="000000" w:themeColor="text1"/>
                <w:sz w:val="20"/>
              </w:rPr>
              <w:br/>
            </w:r>
            <w:r w:rsidRPr="004F443B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A91674" w:rsidRPr="004F443B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4F443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336F0D" w:rsidRPr="004F443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91674" w:rsidRPr="004F443B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4F443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 75, 22 608 30 09</w:t>
            </w:r>
          </w:p>
          <w:p w:rsidR="00A91674" w:rsidRPr="004F443B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4F443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7C3E8C">
                <w:rPr>
                  <w:rStyle w:val="Hipercze"/>
                  <w:rFonts w:ascii="Fira Sans" w:eastAsiaTheme="minorHAnsi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A91674" w:rsidRPr="004F443B" w:rsidTr="007C3E8C">
        <w:trPr>
          <w:trHeight w:val="610"/>
        </w:trPr>
        <w:tc>
          <w:tcPr>
            <w:tcW w:w="2721" w:type="pct"/>
            <w:vMerge w:val="restart"/>
            <w:shd w:val="clear" w:color="auto" w:fill="FFFFFF" w:themeFill="background1"/>
            <w:vAlign w:val="center"/>
          </w:tcPr>
          <w:p w:rsidR="00A91674" w:rsidRPr="004F443B" w:rsidRDefault="00A91674" w:rsidP="00C31779">
            <w:pPr>
              <w:rPr>
                <w:b/>
                <w:sz w:val="20"/>
              </w:rPr>
            </w:pPr>
            <w:r w:rsidRPr="004F443B">
              <w:rPr>
                <w:b/>
                <w:sz w:val="20"/>
              </w:rPr>
              <w:t xml:space="preserve">Wydział Współpracy z Mediami </w:t>
            </w:r>
          </w:p>
          <w:p w:rsidR="00A91674" w:rsidRPr="00F13EB4" w:rsidRDefault="007C3E8C" w:rsidP="00C31779">
            <w:pPr>
              <w:rPr>
                <w:sz w:val="20"/>
              </w:rPr>
            </w:pPr>
            <w:r w:rsidRPr="00F13EB4">
              <w:rPr>
                <w:sz w:val="20"/>
              </w:rPr>
              <w:t>Tel:</w:t>
            </w:r>
            <w:r w:rsidR="00A91674" w:rsidRPr="00F13EB4">
              <w:rPr>
                <w:b/>
                <w:sz w:val="20"/>
              </w:rPr>
              <w:t xml:space="preserve"> </w:t>
            </w:r>
            <w:r w:rsidR="00A91674" w:rsidRPr="00F13EB4">
              <w:rPr>
                <w:sz w:val="20"/>
              </w:rPr>
              <w:t xml:space="preserve">22 608 34 91, 22 608 38 04 </w:t>
            </w:r>
          </w:p>
          <w:p w:rsidR="00A91674" w:rsidRPr="004F443B" w:rsidRDefault="00A91674" w:rsidP="00C31779">
            <w:pPr>
              <w:rPr>
                <w:sz w:val="18"/>
                <w:lang w:val="en-US"/>
              </w:rPr>
            </w:pPr>
            <w:r w:rsidRPr="004F443B">
              <w:rPr>
                <w:b/>
                <w:sz w:val="20"/>
                <w:lang w:val="en-US"/>
              </w:rPr>
              <w:t>e-mail:</w:t>
            </w:r>
            <w:r w:rsidRPr="004F443B">
              <w:rPr>
                <w:sz w:val="20"/>
                <w:lang w:val="en-US"/>
              </w:rPr>
              <w:t xml:space="preserve"> </w:t>
            </w:r>
            <w:hyperlink r:id="rId18" w:history="1">
              <w:r w:rsidRPr="007C3E8C">
                <w:rPr>
                  <w:rStyle w:val="Hipercze"/>
                  <w:rFonts w:cs="Arial"/>
                  <w:b/>
                  <w:color w:val="000000" w:themeColor="text1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A91674" w:rsidRPr="004F443B" w:rsidRDefault="00A91674" w:rsidP="00C31779">
            <w:pPr>
              <w:rPr>
                <w:sz w:val="18"/>
                <w:lang w:val="en-US"/>
              </w:rPr>
            </w:pPr>
            <w:r w:rsidRPr="004F443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FFFFFF" w:themeFill="background1"/>
            <w:vAlign w:val="center"/>
          </w:tcPr>
          <w:p w:rsidR="00A91674" w:rsidRPr="004F443B" w:rsidRDefault="00A91674" w:rsidP="00C31779">
            <w:pPr>
              <w:rPr>
                <w:sz w:val="18"/>
              </w:rPr>
            </w:pPr>
            <w:r w:rsidRPr="004F443B">
              <w:rPr>
                <w:sz w:val="20"/>
              </w:rPr>
              <w:t>www.stat.gov.pl</w:t>
            </w:r>
          </w:p>
        </w:tc>
      </w:tr>
      <w:tr w:rsidR="00A91674" w:rsidRPr="004F443B" w:rsidTr="007C3E8C">
        <w:trPr>
          <w:trHeight w:val="436"/>
        </w:trPr>
        <w:tc>
          <w:tcPr>
            <w:tcW w:w="2721" w:type="pct"/>
            <w:vMerge/>
            <w:shd w:val="clear" w:color="auto" w:fill="FFFFFF" w:themeFill="background1"/>
            <w:vAlign w:val="center"/>
          </w:tcPr>
          <w:p w:rsidR="00A91674" w:rsidRPr="004F443B" w:rsidRDefault="00A91674" w:rsidP="00C31779">
            <w:pPr>
              <w:rPr>
                <w:sz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A91674" w:rsidRPr="004F443B" w:rsidRDefault="00A91674" w:rsidP="00C31779">
            <w:pPr>
              <w:rPr>
                <w:sz w:val="18"/>
              </w:rPr>
            </w:pPr>
            <w:r w:rsidRPr="004F443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FFFFFF" w:themeFill="background1"/>
          </w:tcPr>
          <w:p w:rsidR="00A91674" w:rsidRPr="004F443B" w:rsidRDefault="00A91674" w:rsidP="00C31779">
            <w:pPr>
              <w:rPr>
                <w:sz w:val="18"/>
              </w:rPr>
            </w:pPr>
            <w:r w:rsidRPr="004F443B">
              <w:rPr>
                <w:sz w:val="20"/>
              </w:rPr>
              <w:t>@GUS_STAT</w:t>
            </w:r>
          </w:p>
        </w:tc>
      </w:tr>
      <w:tr w:rsidR="00A91674" w:rsidRPr="004F443B" w:rsidTr="007C3E8C">
        <w:trPr>
          <w:trHeight w:val="436"/>
        </w:trPr>
        <w:tc>
          <w:tcPr>
            <w:tcW w:w="2721" w:type="pct"/>
            <w:vMerge/>
            <w:shd w:val="clear" w:color="auto" w:fill="FFFFFF" w:themeFill="background1"/>
            <w:vAlign w:val="center"/>
          </w:tcPr>
          <w:p w:rsidR="00A91674" w:rsidRPr="004F443B" w:rsidRDefault="00A91674" w:rsidP="00C31779">
            <w:pPr>
              <w:rPr>
                <w:sz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A91674" w:rsidRPr="004F443B" w:rsidRDefault="00A91674" w:rsidP="00C31779">
            <w:pPr>
              <w:rPr>
                <w:sz w:val="18"/>
              </w:rPr>
            </w:pPr>
            <w:r w:rsidRPr="004F443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FFFFFF" w:themeFill="background1"/>
          </w:tcPr>
          <w:p w:rsidR="00A91674" w:rsidRPr="004F443B" w:rsidRDefault="00A91674" w:rsidP="00C31779">
            <w:pPr>
              <w:rPr>
                <w:sz w:val="20"/>
              </w:rPr>
            </w:pPr>
            <w:r w:rsidRPr="004F443B">
              <w:rPr>
                <w:sz w:val="20"/>
              </w:rPr>
              <w:t>@GlownyUrzadStatystyczny</w:t>
            </w:r>
          </w:p>
        </w:tc>
      </w:tr>
    </w:tbl>
    <w:p w:rsidR="00A91674" w:rsidRPr="00001C5B" w:rsidRDefault="00966A7B" w:rsidP="00A91674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28" type="#_x0000_t202" style="position:absolute;margin-left:1.5pt;margin-top:33.2pt;width:504.65pt;height:352.05pt;z-index:25165977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FiDOgIAAHMEAAAOAAAAZHJzL2Uyb0RvYy54bWysVFFv0zAQfkfiP1h+p0mjtlujpdPoGEIa&#10;MGnwA66O01izfcF2m5Rfz9npug5eEOIlsn3n7777Pl+urgej2V46r9BWfDrJOZNWYK3stuLfv929&#10;u+TMB7A1aLSy4gfp+fXq7ZurvitlgS3qWjpGINaXfVfxNoSuzDIvWmnAT7CTloINOgOBtm6b1Q56&#10;Qjc6K/J8kfXo6s6hkN7T6e0Y5KuE3zRShK9N42VguuLELaSvS99N/GarKyi3DrpWiSMN+AcWBpSl&#10;oieoWwjAdk79AWWUcOixCROBJsOmUUKmHqibaf5bN48tdDL1QuL47iST/3+w4sv+wTFVV7zgzIIh&#10;ix5QSxbkkw/YS1ZEifrOl5T52FFuGN7jQFandn13j+LJM4vrFuxW3jiHfSuhJorTeDM7uzri+Aiy&#10;6T9jTbVgFzABDY0zUT9ShBE6WXU42SOHwAQdLuaL4qKYcyYoNpvOi2WeDMygfL7eOR8+SjQsLiru&#10;yP8ED/t7HyIdKJ9TYjWPWtV3Suu0iW9OrrVje6DXstmOLeqdIa7j2XKen0qmJxrTE+orJG1ZX/Hl&#10;nLj+TZWR1ysEowKNhVam4pdUciwKZVT2g63pApQBlB7X1JS2R6mjuqPOYdgMR2MpP9qwwfpA2jsc&#10;p4CmlhYtup+c9TQBFfc/duAkZ/qTJf+W09ksjkzazOYXBW3ceWRzHgErCKrigbNxuQ5pzCJVizfk&#10;c6OSAy9MjpTpZScJj1MYR+d8n7Je/hWrXwAAAP//AwBQSwMEFAAGAAgAAAAhACIg5lvgAAAACQEA&#10;AA8AAABkcnMvZG93bnJldi54bWxMj8FOwzAQRO9I/IO1SFwQtUlbh4ZsKoRUwa1KqdqrG5skNF5H&#10;sduGv8c9wXE0o5k3+XK0HTubwbeOEJ4mApihyumWaoTt5+rxGZgPirTqHBmEH+NhWdze5CrT7kKl&#10;OW9CzWIJ+UwhNCH0Gee+aoxVfuJ6Q9H7coNVIcqh5npQl1huO54IIblVLcWFRvXmrTHVcXOyCO+L&#10;dL76SLbp+ii/pV48lLt+XyLe342vL8CCGcNfGK74ER2KyHRwJ9KedQjT+CQgSDkDdrXFVM6BHRDS&#10;RMyAFzn//6D4BQAA//8DAFBLAQItABQABgAIAAAAIQC2gziS/gAAAOEBAAATAAAAAAAAAAAAAAAA&#10;AAAAAABbQ29udGVudF9UeXBlc10ueG1sUEsBAi0AFAAGAAgAAAAhADj9If/WAAAAlAEAAAsAAAAA&#10;AAAAAAAAAAAALwEAAF9yZWxzLy5yZWxzUEsBAi0AFAAGAAgAAAAhAHfsWIM6AgAAcwQAAA4AAAAA&#10;AAAAAAAAAAAALgIAAGRycy9lMm9Eb2MueG1sUEsBAi0AFAAGAAgAAAAhACIg5lvgAAAACQEAAA8A&#10;AAAAAAAAAAAAAAAAlAQAAGRycy9kb3ducmV2LnhtbFBLBQYAAAAABAAEAPMAAAChBQAAAAA=&#10;" fillcolor="#f2f2f2 [3052]" strokecolor="white [3212]">
            <v:textbox style="mso-next-textbox:#_x0000_s1028">
              <w:txbxContent>
                <w:p w:rsidR="004B542C" w:rsidRDefault="004B542C" w:rsidP="00A91674">
                  <w:pPr>
                    <w:rPr>
                      <w:b/>
                    </w:rPr>
                  </w:pPr>
                  <w:r w:rsidRPr="004B44A0">
                    <w:rPr>
                      <w:b/>
                    </w:rPr>
                    <w:t>Powiązane opracowania</w:t>
                  </w:r>
                </w:p>
                <w:p w:rsidR="004B542C" w:rsidRPr="00F27291" w:rsidRDefault="007B02DE" w:rsidP="00A91674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r w:rsidRPr="00F27291">
                    <w:rPr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fldChar w:fldCharType="begin"/>
                  </w:r>
                  <w:r w:rsidR="00BD3F5D">
                    <w:rPr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instrText>HYPERLINK "https://stat.gov.pl/obszary-tematyczne/rynek-pracy/pracujacy-zatrudnieni-wynagrodzenia-koszty-pracy/struktura-wynagrodzen-wedlug-zawodow-w-pazdzierniku-2016-r-,4,8.html"</w:instrText>
                  </w:r>
                  <w:r w:rsidRPr="00F27291">
                    <w:rPr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fldChar w:fldCharType="separate"/>
                  </w:r>
                  <w:r w:rsidR="003A0334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Struktura wynagrodzeń według zawodów w październiku </w:t>
                  </w:r>
                  <w:r w:rsidR="004B542C" w:rsidRPr="00F27291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- publikacja </w:t>
                  </w:r>
                  <w:r w:rsidR="00BD3F5D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>ukazuje się</w:t>
                  </w:r>
                  <w:r w:rsidR="00B40508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  <w:r w:rsidR="003A0334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co </w:t>
                  </w:r>
                  <w:r w:rsidR="00BD3F5D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2 </w:t>
                  </w:r>
                  <w:r w:rsidR="003A0334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>l</w:t>
                  </w:r>
                  <w:r w:rsidR="00BD3F5D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>at</w:t>
                  </w:r>
                  <w:r w:rsidR="003A0334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>a</w:t>
                  </w:r>
                </w:p>
                <w:p w:rsidR="004B542C" w:rsidRPr="00D9491D" w:rsidRDefault="007B02DE" w:rsidP="00A91674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r w:rsidRPr="00F27291">
                    <w:rPr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fldChar w:fldCharType="end"/>
                  </w:r>
                  <w:hyperlink r:id="rId22" w:history="1">
                    <w:r w:rsidR="004B542C" w:rsidRPr="00D9491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Inne opracowania zawierające wyniki tych badań:  stat.gov.pl → Obszary tematyczne → Rynek pracy</w:t>
                    </w:r>
                  </w:hyperlink>
                  <w:r w:rsidR="004B542C" w:rsidRPr="00D9491D"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A91674" w:rsidRDefault="00A91674" w:rsidP="00A91674"/>
    <w:sectPr w:rsidR="00A91674" w:rsidSect="00900889">
      <w:headerReference w:type="default" r:id="rId23"/>
      <w:footerReference w:type="default" r:id="rId24"/>
      <w:pgSz w:w="11906" w:h="16838" w:code="9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B" w:rsidRDefault="00966A7B" w:rsidP="00C71FE8">
      <w:pPr>
        <w:spacing w:before="0" w:after="0" w:line="240" w:lineRule="auto"/>
      </w:pPr>
      <w:r>
        <w:separator/>
      </w:r>
    </w:p>
  </w:endnote>
  <w:endnote w:type="continuationSeparator" w:id="0">
    <w:p w:rsidR="00966A7B" w:rsidRDefault="00966A7B" w:rsidP="00C71F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4B542C" w:rsidRDefault="007B02DE" w:rsidP="00C31779">
        <w:pPr>
          <w:pStyle w:val="Stopka"/>
          <w:jc w:val="center"/>
        </w:pPr>
        <w:r>
          <w:rPr>
            <w:noProof/>
          </w:rPr>
          <w:fldChar w:fldCharType="begin"/>
        </w:r>
        <w:r w:rsidR="00675C5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21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4B542C" w:rsidRDefault="007B02DE" w:rsidP="00C31779">
        <w:pPr>
          <w:pStyle w:val="Stopka"/>
          <w:jc w:val="center"/>
        </w:pPr>
        <w:r>
          <w:rPr>
            <w:noProof/>
          </w:rPr>
          <w:fldChar w:fldCharType="begin"/>
        </w:r>
        <w:r w:rsidR="00675C5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21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2533"/>
      <w:docPartObj>
        <w:docPartGallery w:val="Page Numbers (Bottom of Page)"/>
        <w:docPartUnique/>
      </w:docPartObj>
    </w:sdtPr>
    <w:sdtEndPr/>
    <w:sdtContent>
      <w:p w:rsidR="004B542C" w:rsidRDefault="007B02DE" w:rsidP="00C31779">
        <w:pPr>
          <w:pStyle w:val="Stopka"/>
          <w:jc w:val="center"/>
        </w:pPr>
        <w:r>
          <w:rPr>
            <w:noProof/>
          </w:rPr>
          <w:fldChar w:fldCharType="begin"/>
        </w:r>
        <w:r w:rsidR="00675C5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21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B" w:rsidRDefault="00966A7B" w:rsidP="00C71FE8">
      <w:pPr>
        <w:spacing w:before="0" w:after="0" w:line="240" w:lineRule="auto"/>
      </w:pPr>
      <w:r>
        <w:separator/>
      </w:r>
    </w:p>
  </w:footnote>
  <w:footnote w:type="continuationSeparator" w:id="0">
    <w:p w:rsidR="00966A7B" w:rsidRDefault="00966A7B" w:rsidP="00C71FE8">
      <w:pPr>
        <w:spacing w:before="0" w:after="0" w:line="240" w:lineRule="auto"/>
      </w:pPr>
      <w:r>
        <w:continuationSeparator/>
      </w:r>
    </w:p>
  </w:footnote>
  <w:footnote w:id="1">
    <w:p w:rsidR="00696C22" w:rsidRPr="00806160" w:rsidRDefault="00696C22" w:rsidP="00696C22">
      <w:pPr>
        <w:pStyle w:val="Tekstprzypisudolnego"/>
        <w:rPr>
          <w:sz w:val="16"/>
          <w:szCs w:val="16"/>
        </w:rPr>
      </w:pPr>
      <w:r w:rsidRPr="00806160">
        <w:rPr>
          <w:rStyle w:val="Odwoanieprzypisudolnego"/>
          <w:sz w:val="16"/>
          <w:szCs w:val="16"/>
        </w:rPr>
        <w:footnoteRef/>
      </w:r>
      <w:r w:rsidRPr="00806160">
        <w:rPr>
          <w:sz w:val="16"/>
          <w:szCs w:val="16"/>
        </w:rPr>
        <w:t xml:space="preserve"> Dotyczy wynagrodzenia za czas opłacony.</w:t>
      </w:r>
    </w:p>
  </w:footnote>
  <w:footnote w:id="2">
    <w:p w:rsidR="00696C22" w:rsidRDefault="00696C22" w:rsidP="00696C22">
      <w:pPr>
        <w:pStyle w:val="Tekstprzypisudolnego"/>
        <w:spacing w:before="0"/>
      </w:pPr>
      <w:r w:rsidRPr="00806160">
        <w:rPr>
          <w:rStyle w:val="Odwoanieprzypisudolnego"/>
          <w:sz w:val="16"/>
          <w:szCs w:val="16"/>
        </w:rPr>
        <w:footnoteRef/>
      </w:r>
      <w:r w:rsidRPr="00806160">
        <w:rPr>
          <w:sz w:val="16"/>
          <w:szCs w:val="16"/>
        </w:rPr>
        <w:t xml:space="preserve"> Objętych b</w:t>
      </w:r>
      <w:bookmarkStart w:id="0" w:name="_GoBack"/>
      <w:bookmarkEnd w:id="0"/>
      <w:r w:rsidRPr="00806160">
        <w:rPr>
          <w:sz w:val="16"/>
          <w:szCs w:val="16"/>
        </w:rPr>
        <w:t>adaniem struktury wynagrodzeń.</w:t>
      </w:r>
    </w:p>
  </w:footnote>
  <w:footnote w:id="3">
    <w:p w:rsidR="00A854F5" w:rsidRPr="007C3E8C" w:rsidRDefault="00A854F5" w:rsidP="00A854F5">
      <w:pPr>
        <w:pStyle w:val="Tekstprzypisudolnego"/>
        <w:spacing w:before="0"/>
        <w:ind w:left="142" w:hanging="142"/>
        <w:rPr>
          <w:sz w:val="16"/>
          <w:szCs w:val="16"/>
        </w:rPr>
      </w:pPr>
      <w:r w:rsidRPr="007C3E8C">
        <w:rPr>
          <w:rStyle w:val="Odwoanieprzypisudolnego"/>
          <w:sz w:val="16"/>
          <w:szCs w:val="16"/>
        </w:rPr>
        <w:footnoteRef/>
      </w:r>
      <w:r w:rsidRPr="007C3E8C">
        <w:rPr>
          <w:sz w:val="16"/>
          <w:szCs w:val="16"/>
        </w:rPr>
        <w:t xml:space="preserve"> „Wielkie” grupy zawodów: 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 xml:space="preserve">1. Przedstawiciele władz publicznych, wyżsi urzędnicy i kierownicy 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 xml:space="preserve">2. Specjaliści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 xml:space="preserve">3. Technicy i inny średni personel 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 xml:space="preserve">4. Pracownicy biurowi 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 xml:space="preserve">5. Pracownicy usług i sprzedawcy 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 xml:space="preserve">6. Rolnicy, ogrodnicy, leśnicy i rybacy 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 xml:space="preserve">7. Robotnicy przemysłowi i </w:t>
      </w:r>
      <w:r>
        <w:rPr>
          <w:sz w:val="16"/>
          <w:szCs w:val="16"/>
        </w:rPr>
        <w:t>r</w:t>
      </w:r>
      <w:r w:rsidRPr="007C3E8C">
        <w:rPr>
          <w:sz w:val="16"/>
          <w:szCs w:val="16"/>
        </w:rPr>
        <w:t xml:space="preserve">zemieślnicy 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 xml:space="preserve">8. Operatorzy i monterzy maszyn i urządzeń  </w:t>
      </w:r>
      <w:r>
        <w:rPr>
          <w:sz w:val="16"/>
          <w:szCs w:val="16"/>
        </w:rPr>
        <w:br/>
      </w:r>
      <w:r w:rsidRPr="007C3E8C">
        <w:rPr>
          <w:sz w:val="16"/>
          <w:szCs w:val="16"/>
        </w:rPr>
        <w:t>9. Pracownicy wykonujący prace proste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2C" w:rsidRDefault="00966A7B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iv12f+MA&#10;AAANAQAADwAAAGRycy9kb3ducmV2LnhtbEyPy07DMBBF90j8gzVI7FonaYnSkEkVVYIlj4JUdTeN&#10;hyRqbEex2wa+HncFy9E9uvdMsZ50L848us4ahHgegWBTW9WZBuHz42mWgXCejKLeGkb4Zgfr8vam&#10;oFzZi3nn89Y3IpQYlxNC6/2QS+nqljW5uR3YhOzLjpp8OMdGqpEuoVz3MomiVGrqTFhoaeBNy/Vx&#10;e9IIr8eo2nv9vNpNtKo2Py/0VlOKeH83VY8gPE/+D4arflCHMjgd7MkoJ3qELImTgCLMkiwGcSXi&#10;OF2COCAsHpaLFGRZyP9flL8AAAD//wMAUEsBAi0AFAAGAAgAAAAhALaDOJL+AAAA4QEAABMAAAAA&#10;AAAAAAAAAAAAAAAAAFtDb250ZW50X1R5cGVzXS54bWxQSwECLQAUAAYACAAAACEAOP0h/9YAAACU&#10;AQAACwAAAAAAAAAAAAAAAAAvAQAAX3JlbHMvLnJlbHNQSwECLQAUAAYACAAAACEALgbt9rECAADG&#10;BQAADgAAAAAAAAAAAAAAAAAuAgAAZHJzL2Uyb0RvYy54bWxQSwECLQAUAAYACAAAACEAiv12f+MA&#10;AAANAQAADwAAAAAAAAAAAAAAAAALBQAAZHJzL2Rvd25yZXYueG1sUEsFBgAAAAAEAAQA8wAAABsG&#10;AAAAAA==&#10;" fillcolor="#f2f2f2 [3052]" stroked="f" strokeweight="2pt">
          <v:path arrowok="t"/>
        </v:rect>
      </w:pict>
    </w:r>
  </w:p>
  <w:p w:rsidR="004B542C" w:rsidRDefault="004B54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2C" w:rsidRDefault="00966A7B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1312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K&#10;vr6N3gAAAAoBAAAPAAAAZHJzL2Rvd25yZXYueG1sTI9BS8NAEIXvgv9hGcGb3WwDTY2ZlCJU8Ghb&#10;Cr1ts2MSzM7G7KaJ/97tSY/D+3jvm2Iz205cafCtYwS1SEAQV860XCMcD7unNQgfNBvdOSaEH/Kw&#10;Ke/vCp0bN/EHXfehFrGEfa4RmhD6XEpfNWS1X7ieOGafbrA6xHOopRn0FMttJ5dJspJWtxwXGt3T&#10;a0PV1360CN+q6Xfv2o4cptNBvh3PW1+fER8f5u0LiEBz+IPhph/VoYxOFzey8aJDyJ7TZUQRUpWC&#10;uAFKZRmIC8I6W4EsC/n/hfI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Cr6+j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4B542C" w:rsidRPr="003C6C8D" w:rsidRDefault="004B542C" w:rsidP="00C31779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6192;visibility:visible;mso-width-relative:margin;mso-height-relative:margin;v-text-anchor:middle" wrapcoords="-110 0 -110 21591 21600 21591 21600 0 -110 0" fillcolor="#f2f2f2" stroked="f" strokeweight="2pt">
          <v:path arrowok="t"/>
        </v:rect>
      </w:pict>
    </w:r>
    <w:r w:rsidR="004B542C">
      <w:rPr>
        <w:noProof/>
        <w:lang w:eastAsia="pl-PL"/>
      </w:rPr>
      <w:drawing>
        <wp:inline distT="0" distB="0" distL="0" distR="0">
          <wp:extent cx="1198880" cy="741680"/>
          <wp:effectExtent l="0" t="0" r="0" b="0"/>
          <wp:docPr id="3" name="Obraz 3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2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42C" w:rsidRDefault="00966A7B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4B542C" w:rsidRPr="00C97596" w:rsidRDefault="00A31B58" w:rsidP="00C31779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21</w:t>
                </w:r>
                <w:r w:rsidR="004B542C">
                  <w:rPr>
                    <w:rFonts w:ascii="Fira Sans SemiBold" w:hAnsi="Fira Sans SemiBold"/>
                    <w:color w:val="001D77"/>
                  </w:rPr>
                  <w:t>.</w:t>
                </w:r>
                <w:r>
                  <w:rPr>
                    <w:rFonts w:ascii="Fira Sans SemiBold" w:hAnsi="Fira Sans SemiBold"/>
                    <w:color w:val="001D77"/>
                  </w:rPr>
                  <w:t>11</w:t>
                </w:r>
                <w:r w:rsidR="004B542C">
                  <w:rPr>
                    <w:rFonts w:ascii="Fira Sans SemiBold" w:hAnsi="Fira Sans SemiBold"/>
                    <w:color w:val="001D77"/>
                  </w:rPr>
                  <w:t>.2019</w:t>
                </w:r>
                <w:r w:rsidR="004B542C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2C" w:rsidRDefault="004B542C">
    <w:pPr>
      <w:pStyle w:val="Nagwek"/>
    </w:pPr>
  </w:p>
  <w:p w:rsidR="004B542C" w:rsidRDefault="004B5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4.3pt;height:1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15DDB"/>
    <w:multiLevelType w:val="hybridMultilevel"/>
    <w:tmpl w:val="E4A4041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" w15:restartNumberingAfterBreak="0">
    <w:nsid w:val="04CB1123"/>
    <w:multiLevelType w:val="hybridMultilevel"/>
    <w:tmpl w:val="23968FD4"/>
    <w:lvl w:ilvl="0" w:tplc="25940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AA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E8D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04A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EB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2D4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526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82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AA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0B28C5"/>
    <w:multiLevelType w:val="hybridMultilevel"/>
    <w:tmpl w:val="6E342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11D0"/>
    <w:multiLevelType w:val="hybridMultilevel"/>
    <w:tmpl w:val="2748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6A9F"/>
    <w:multiLevelType w:val="hybridMultilevel"/>
    <w:tmpl w:val="58DA0C54"/>
    <w:lvl w:ilvl="0" w:tplc="97EEFB68">
      <w:start w:val="1"/>
      <w:numFmt w:val="lowerLetter"/>
      <w:lvlText w:val="%1)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48F534AE"/>
    <w:multiLevelType w:val="hybridMultilevel"/>
    <w:tmpl w:val="68C81A66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7" w15:restartNumberingAfterBreak="0">
    <w:nsid w:val="4B1D674B"/>
    <w:multiLevelType w:val="hybridMultilevel"/>
    <w:tmpl w:val="CB946C38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8" w15:restartNumberingAfterBreak="0">
    <w:nsid w:val="55903886"/>
    <w:multiLevelType w:val="hybridMultilevel"/>
    <w:tmpl w:val="56E069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9" w15:restartNumberingAfterBreak="0">
    <w:nsid w:val="66A10307"/>
    <w:multiLevelType w:val="hybridMultilevel"/>
    <w:tmpl w:val="A5846A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96037"/>
    <w:multiLevelType w:val="hybridMultilevel"/>
    <w:tmpl w:val="E9F2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D02B7"/>
    <w:multiLevelType w:val="hybridMultilevel"/>
    <w:tmpl w:val="B0960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674"/>
    <w:rsid w:val="00003953"/>
    <w:rsid w:val="00004AA3"/>
    <w:rsid w:val="000066B9"/>
    <w:rsid w:val="00030D50"/>
    <w:rsid w:val="00065249"/>
    <w:rsid w:val="0007077B"/>
    <w:rsid w:val="00071B04"/>
    <w:rsid w:val="00072D3E"/>
    <w:rsid w:val="0008547A"/>
    <w:rsid w:val="000B4AC4"/>
    <w:rsid w:val="000B546B"/>
    <w:rsid w:val="000C0EFC"/>
    <w:rsid w:val="000C7CDF"/>
    <w:rsid w:val="000D1DF4"/>
    <w:rsid w:val="000E20E3"/>
    <w:rsid w:val="000E5D43"/>
    <w:rsid w:val="000F0E37"/>
    <w:rsid w:val="000F448A"/>
    <w:rsid w:val="00102F16"/>
    <w:rsid w:val="001052F5"/>
    <w:rsid w:val="001206DF"/>
    <w:rsid w:val="00133AA8"/>
    <w:rsid w:val="001345D3"/>
    <w:rsid w:val="0014271C"/>
    <w:rsid w:val="0014359A"/>
    <w:rsid w:val="00154E13"/>
    <w:rsid w:val="00161DFD"/>
    <w:rsid w:val="001632DF"/>
    <w:rsid w:val="00166FEC"/>
    <w:rsid w:val="00173E84"/>
    <w:rsid w:val="00181136"/>
    <w:rsid w:val="00193D4D"/>
    <w:rsid w:val="001B7A8A"/>
    <w:rsid w:val="001C7872"/>
    <w:rsid w:val="001E104A"/>
    <w:rsid w:val="001E340C"/>
    <w:rsid w:val="001E7AA8"/>
    <w:rsid w:val="001F24E2"/>
    <w:rsid w:val="00212904"/>
    <w:rsid w:val="002144CE"/>
    <w:rsid w:val="0021749C"/>
    <w:rsid w:val="00223C12"/>
    <w:rsid w:val="00225699"/>
    <w:rsid w:val="00242374"/>
    <w:rsid w:val="00243809"/>
    <w:rsid w:val="00245155"/>
    <w:rsid w:val="00245F3E"/>
    <w:rsid w:val="00246799"/>
    <w:rsid w:val="0025551C"/>
    <w:rsid w:val="00265DAB"/>
    <w:rsid w:val="00286FDF"/>
    <w:rsid w:val="00296F8C"/>
    <w:rsid w:val="002A1E82"/>
    <w:rsid w:val="002C35DC"/>
    <w:rsid w:val="002D520A"/>
    <w:rsid w:val="00304246"/>
    <w:rsid w:val="00326BF7"/>
    <w:rsid w:val="00330908"/>
    <w:rsid w:val="00333E95"/>
    <w:rsid w:val="00336F0D"/>
    <w:rsid w:val="00341744"/>
    <w:rsid w:val="00371AD3"/>
    <w:rsid w:val="00373E99"/>
    <w:rsid w:val="00393933"/>
    <w:rsid w:val="003A0334"/>
    <w:rsid w:val="003A1761"/>
    <w:rsid w:val="003A3329"/>
    <w:rsid w:val="003A342E"/>
    <w:rsid w:val="003B18BA"/>
    <w:rsid w:val="003B26D3"/>
    <w:rsid w:val="003B2DAE"/>
    <w:rsid w:val="003B2F68"/>
    <w:rsid w:val="003B4A79"/>
    <w:rsid w:val="003C1109"/>
    <w:rsid w:val="003D35E2"/>
    <w:rsid w:val="003E54AF"/>
    <w:rsid w:val="00410FF4"/>
    <w:rsid w:val="00423AE3"/>
    <w:rsid w:val="0044450F"/>
    <w:rsid w:val="00445868"/>
    <w:rsid w:val="00450593"/>
    <w:rsid w:val="00455C9A"/>
    <w:rsid w:val="00465B69"/>
    <w:rsid w:val="00471D65"/>
    <w:rsid w:val="00476CC6"/>
    <w:rsid w:val="004823EF"/>
    <w:rsid w:val="00494937"/>
    <w:rsid w:val="004A01BC"/>
    <w:rsid w:val="004B13C9"/>
    <w:rsid w:val="004B4632"/>
    <w:rsid w:val="004B542C"/>
    <w:rsid w:val="004B594E"/>
    <w:rsid w:val="004C5B62"/>
    <w:rsid w:val="004D4FF0"/>
    <w:rsid w:val="004E6718"/>
    <w:rsid w:val="004F443B"/>
    <w:rsid w:val="005237A8"/>
    <w:rsid w:val="005348D3"/>
    <w:rsid w:val="00546AA3"/>
    <w:rsid w:val="0055088C"/>
    <w:rsid w:val="005625CE"/>
    <w:rsid w:val="005661BC"/>
    <w:rsid w:val="005662CC"/>
    <w:rsid w:val="005702E6"/>
    <w:rsid w:val="0057412B"/>
    <w:rsid w:val="00574797"/>
    <w:rsid w:val="00597E92"/>
    <w:rsid w:val="005A7FB6"/>
    <w:rsid w:val="005B0BB6"/>
    <w:rsid w:val="005B1E0F"/>
    <w:rsid w:val="005B2FEB"/>
    <w:rsid w:val="005C6741"/>
    <w:rsid w:val="005F3187"/>
    <w:rsid w:val="005F61F4"/>
    <w:rsid w:val="00601B33"/>
    <w:rsid w:val="00615C65"/>
    <w:rsid w:val="00646B5F"/>
    <w:rsid w:val="00651F8A"/>
    <w:rsid w:val="00656B1E"/>
    <w:rsid w:val="006668FD"/>
    <w:rsid w:val="00673FC1"/>
    <w:rsid w:val="00675C51"/>
    <w:rsid w:val="00680231"/>
    <w:rsid w:val="006837F2"/>
    <w:rsid w:val="006913B7"/>
    <w:rsid w:val="00696BF4"/>
    <w:rsid w:val="00696C22"/>
    <w:rsid w:val="006A1E88"/>
    <w:rsid w:val="006D2453"/>
    <w:rsid w:val="006D58F6"/>
    <w:rsid w:val="006E2554"/>
    <w:rsid w:val="006F0B05"/>
    <w:rsid w:val="006F3FD0"/>
    <w:rsid w:val="007125EC"/>
    <w:rsid w:val="0072519C"/>
    <w:rsid w:val="007252D4"/>
    <w:rsid w:val="0072628D"/>
    <w:rsid w:val="00737018"/>
    <w:rsid w:val="00743534"/>
    <w:rsid w:val="007612C9"/>
    <w:rsid w:val="007957B1"/>
    <w:rsid w:val="007B02DE"/>
    <w:rsid w:val="007C3E8C"/>
    <w:rsid w:val="007E09AA"/>
    <w:rsid w:val="007F1BE9"/>
    <w:rsid w:val="00801B31"/>
    <w:rsid w:val="00806160"/>
    <w:rsid w:val="00812828"/>
    <w:rsid w:val="00832E5D"/>
    <w:rsid w:val="00842E05"/>
    <w:rsid w:val="00844465"/>
    <w:rsid w:val="00847BEF"/>
    <w:rsid w:val="00867146"/>
    <w:rsid w:val="00880C2D"/>
    <w:rsid w:val="008844E1"/>
    <w:rsid w:val="00885BF3"/>
    <w:rsid w:val="008C5DB2"/>
    <w:rsid w:val="008D69F5"/>
    <w:rsid w:val="008E0F45"/>
    <w:rsid w:val="008E1576"/>
    <w:rsid w:val="00900889"/>
    <w:rsid w:val="009374EE"/>
    <w:rsid w:val="00945995"/>
    <w:rsid w:val="0095244D"/>
    <w:rsid w:val="009636B1"/>
    <w:rsid w:val="00966A7B"/>
    <w:rsid w:val="009673D3"/>
    <w:rsid w:val="00975475"/>
    <w:rsid w:val="00984A93"/>
    <w:rsid w:val="0099154C"/>
    <w:rsid w:val="009B6A61"/>
    <w:rsid w:val="009D2380"/>
    <w:rsid w:val="00A03F0E"/>
    <w:rsid w:val="00A21317"/>
    <w:rsid w:val="00A24896"/>
    <w:rsid w:val="00A30F5B"/>
    <w:rsid w:val="00A31B58"/>
    <w:rsid w:val="00A358EC"/>
    <w:rsid w:val="00A421D8"/>
    <w:rsid w:val="00A43C97"/>
    <w:rsid w:val="00A43DB1"/>
    <w:rsid w:val="00A4560A"/>
    <w:rsid w:val="00A564CC"/>
    <w:rsid w:val="00A60C2F"/>
    <w:rsid w:val="00A65404"/>
    <w:rsid w:val="00A854F5"/>
    <w:rsid w:val="00A86923"/>
    <w:rsid w:val="00A91674"/>
    <w:rsid w:val="00A96601"/>
    <w:rsid w:val="00AA0DAB"/>
    <w:rsid w:val="00AA6ACA"/>
    <w:rsid w:val="00AC1B2A"/>
    <w:rsid w:val="00AD3146"/>
    <w:rsid w:val="00AD5071"/>
    <w:rsid w:val="00AE13E1"/>
    <w:rsid w:val="00B06908"/>
    <w:rsid w:val="00B07B68"/>
    <w:rsid w:val="00B2190A"/>
    <w:rsid w:val="00B221C3"/>
    <w:rsid w:val="00B40508"/>
    <w:rsid w:val="00B55111"/>
    <w:rsid w:val="00BA4166"/>
    <w:rsid w:val="00BB3813"/>
    <w:rsid w:val="00BC2444"/>
    <w:rsid w:val="00BD3F5D"/>
    <w:rsid w:val="00BD5C38"/>
    <w:rsid w:val="00BE16A0"/>
    <w:rsid w:val="00BE5826"/>
    <w:rsid w:val="00C31779"/>
    <w:rsid w:val="00C63936"/>
    <w:rsid w:val="00C71FE8"/>
    <w:rsid w:val="00C967E4"/>
    <w:rsid w:val="00CA350F"/>
    <w:rsid w:val="00CA4D0B"/>
    <w:rsid w:val="00CA5EA3"/>
    <w:rsid w:val="00CF56A8"/>
    <w:rsid w:val="00CF7DE5"/>
    <w:rsid w:val="00D04EFE"/>
    <w:rsid w:val="00D10D7B"/>
    <w:rsid w:val="00D11FA4"/>
    <w:rsid w:val="00D14E70"/>
    <w:rsid w:val="00D33B42"/>
    <w:rsid w:val="00D351AD"/>
    <w:rsid w:val="00D42E38"/>
    <w:rsid w:val="00D54D26"/>
    <w:rsid w:val="00D73144"/>
    <w:rsid w:val="00D87A86"/>
    <w:rsid w:val="00DA13EB"/>
    <w:rsid w:val="00DA40D3"/>
    <w:rsid w:val="00DA516E"/>
    <w:rsid w:val="00DD354E"/>
    <w:rsid w:val="00DD6063"/>
    <w:rsid w:val="00DD79E5"/>
    <w:rsid w:val="00E00129"/>
    <w:rsid w:val="00E37409"/>
    <w:rsid w:val="00E546B2"/>
    <w:rsid w:val="00E57672"/>
    <w:rsid w:val="00E5799D"/>
    <w:rsid w:val="00E661AD"/>
    <w:rsid w:val="00E85D87"/>
    <w:rsid w:val="00EA0F5C"/>
    <w:rsid w:val="00EA2B73"/>
    <w:rsid w:val="00EC285B"/>
    <w:rsid w:val="00EC2918"/>
    <w:rsid w:val="00ED1EEA"/>
    <w:rsid w:val="00ED48A9"/>
    <w:rsid w:val="00EE19AA"/>
    <w:rsid w:val="00EF0F38"/>
    <w:rsid w:val="00EF1B0F"/>
    <w:rsid w:val="00F018A2"/>
    <w:rsid w:val="00F117F6"/>
    <w:rsid w:val="00F13EB4"/>
    <w:rsid w:val="00F15165"/>
    <w:rsid w:val="00F26EF9"/>
    <w:rsid w:val="00F2773F"/>
    <w:rsid w:val="00F45D55"/>
    <w:rsid w:val="00F61B94"/>
    <w:rsid w:val="00F6629B"/>
    <w:rsid w:val="00F67611"/>
    <w:rsid w:val="00F71674"/>
    <w:rsid w:val="00F82FFA"/>
    <w:rsid w:val="00F866B9"/>
    <w:rsid w:val="00F9555F"/>
    <w:rsid w:val="00F966BF"/>
    <w:rsid w:val="00FA2915"/>
    <w:rsid w:val="00FB3BBA"/>
    <w:rsid w:val="00FE0B6E"/>
    <w:rsid w:val="00FE51F0"/>
    <w:rsid w:val="00FF6550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6C68E9-AC89-4A32-AFC9-D97073BD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A91674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A9167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A91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A9167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916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rsid w:val="00A91674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A9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674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A9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674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A9167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A91674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A91674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A91674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A9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91674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6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6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76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676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7611"/>
    <w:rPr>
      <w:rFonts w:ascii="Fira Sans" w:hAnsi="Fira Sans"/>
      <w:sz w:val="20"/>
      <w:szCs w:val="20"/>
    </w:rPr>
  </w:style>
  <w:style w:type="paragraph" w:styleId="Listapunktowana">
    <w:name w:val="List Bullet"/>
    <w:basedOn w:val="Normalny"/>
    <w:rsid w:val="00F67611"/>
    <w:pPr>
      <w:widowControl w:val="0"/>
      <w:spacing w:before="0" w:after="30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F67611"/>
    <w:pPr>
      <w:widowControl w:val="0"/>
      <w:spacing w:before="0" w:after="3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tekst">
    <w:name w:val="tekst"/>
    <w:basedOn w:val="Normalny"/>
    <w:rsid w:val="00F67611"/>
    <w:pPr>
      <w:widowControl w:val="0"/>
      <w:tabs>
        <w:tab w:val="left" w:pos="0"/>
      </w:tabs>
      <w:adjustRightInd w:val="0"/>
      <w:spacing w:before="0" w:after="0" w:line="360" w:lineRule="auto"/>
      <w:ind w:firstLine="771"/>
      <w:jc w:val="both"/>
      <w:textAlignment w:val="baseline"/>
    </w:pPr>
    <w:rPr>
      <w:rFonts w:ascii="Times New (W1)" w:eastAsia="Times New Roman" w:hAnsi="Times New (W1)" w:cs="Times New Roman"/>
      <w:noProof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67611"/>
    <w:pPr>
      <w:widowControl w:val="0"/>
      <w:spacing w:before="0" w:after="30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5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AA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AA3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A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D3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rzecznik@stat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.piwowarczyk@stat.gov.pl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chart" Target="charts/chart3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Relationship Id="rId22" Type="http://schemas.openxmlformats.org/officeDocument/2006/relationships/hyperlink" Target="http://stat.gov.pl/obszary-tematyczne/rynek-prac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zawistowskaB\Desktop\wszystko\DZI&#346;\2019\NOTATKA\Brifing_2018_01_Przecietne%20i%20Mediany_2008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wistowskaB\Desktop\wszystko\DZI&#346;\2019\NOTATKA\Brifing_2018_02_Odchylenia%20od%20Przecietnej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zawistowskaB\Desktop\wszystko\DZI&#346;\2019\NOTATKA\Brifing_2018_03_P&#322;e&#263;_&#347;rednie_KZ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wistowskaB\Desktop\wszystko\DZI&#346;\2019\NOTATKA\Brifing_2018_04_Rozk&#322;ad%20wg%20krotno&#347;c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95420538033357"/>
          <c:y val="0.11422209852490985"/>
          <c:w val="0.85977419427257684"/>
          <c:h val="0.59156890804735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Arkusz1!$C$4</c:f>
              <c:strCache>
                <c:ptCount val="1"/>
                <c:pt idx="0">
                  <c:v>Przeciętne wynagrodzenie 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3.3373505702033397E-4"/>
                  <c:y val="4.6296296296296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514725796548514E-3"/>
                  <c:y val="-4.6296296296296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90922188087619E-4"/>
                  <c:y val="-2.4964754516664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371019661230456E-3"/>
                  <c:y val="-4.6296296296296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911586001515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8640959110349312E-3"/>
                  <c:y val="-4.6296296296296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\ &quot;zł&quot;" sourceLinked="0"/>
            <c:spPr>
              <a:noFill/>
              <a:ln>
                <a:noFill/>
              </a:ln>
            </c:spPr>
            <c:txPr>
              <a:bodyPr rot="0"/>
              <a:lstStyle/>
              <a:p>
                <a:pPr>
                  <a:defRPr sz="800" b="0" i="0" baseline="0">
                    <a:latin typeface="Fira Sans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Arkusz1!$B$5:$B$10</c:f>
              <c:numCache>
                <c:formatCode>General</c:formatCode>
                <c:ptCount val="6"/>
                <c:pt idx="0">
                  <c:v>2008</c:v>
                </c:pt>
                <c:pt idx="1">
                  <c:v>2010</c:v>
                </c:pt>
                <c:pt idx="2">
                  <c:v>2012</c:v>
                </c:pt>
                <c:pt idx="3">
                  <c:v>2014</c:v>
                </c:pt>
                <c:pt idx="4">
                  <c:v>2016</c:v>
                </c:pt>
                <c:pt idx="5">
                  <c:v>2018</c:v>
                </c:pt>
              </c:numCache>
            </c:numRef>
          </c:cat>
          <c:val>
            <c:numRef>
              <c:f>Arkusz1!$C$5:$C$10</c:f>
              <c:numCache>
                <c:formatCode>0.00</c:formatCode>
                <c:ptCount val="6"/>
                <c:pt idx="0">
                  <c:v>3232.07</c:v>
                </c:pt>
                <c:pt idx="1">
                  <c:v>3543.5</c:v>
                </c:pt>
                <c:pt idx="2">
                  <c:v>3895.72</c:v>
                </c:pt>
                <c:pt idx="3">
                  <c:v>4107.72</c:v>
                </c:pt>
                <c:pt idx="4">
                  <c:v>4346.76</c:v>
                </c:pt>
                <c:pt idx="5">
                  <c:v>5003.78</c:v>
                </c:pt>
              </c:numCache>
            </c:numRef>
          </c:val>
        </c:ser>
        <c:ser>
          <c:idx val="1"/>
          <c:order val="1"/>
          <c:tx>
            <c:strRef>
              <c:f>Arkusz1!$D$4</c:f>
              <c:strCache>
                <c:ptCount val="1"/>
                <c:pt idx="0">
                  <c:v>Mediana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2.6172927714641938E-2"/>
                  <c:y val="1.20694000363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389086413048081E-2"/>
                  <c:y val="-9.2592592592593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945100432924447E-2"/>
                  <c:y val="-9.2592592592593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7229716658638E-2"/>
                  <c:y val="-4.6296296296296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292357842474426E-2"/>
                  <c:y val="-9.2592592592593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9092842642562228E-2"/>
                  <c:y val="-4.6296296296296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\ &quot;zł&quot;" sourceLinked="0"/>
            <c:spPr>
              <a:noFill/>
              <a:ln>
                <a:noFill/>
              </a:ln>
            </c:spPr>
            <c:txPr>
              <a:bodyPr rot="0"/>
              <a:lstStyle/>
              <a:p>
                <a:pPr>
                  <a:defRPr sz="800" b="0" i="0" baseline="0">
                    <a:latin typeface="Fira Sans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Arkusz1!$B$5:$B$10</c:f>
              <c:numCache>
                <c:formatCode>General</c:formatCode>
                <c:ptCount val="6"/>
                <c:pt idx="0">
                  <c:v>2008</c:v>
                </c:pt>
                <c:pt idx="1">
                  <c:v>2010</c:v>
                </c:pt>
                <c:pt idx="2">
                  <c:v>2012</c:v>
                </c:pt>
                <c:pt idx="3">
                  <c:v>2014</c:v>
                </c:pt>
                <c:pt idx="4">
                  <c:v>2016</c:v>
                </c:pt>
                <c:pt idx="5">
                  <c:v>2018</c:v>
                </c:pt>
              </c:numCache>
            </c:numRef>
          </c:cat>
          <c:val>
            <c:numRef>
              <c:f>Arkusz1!$D$5:$D$10</c:f>
              <c:numCache>
                <c:formatCode>0.00</c:formatCode>
                <c:ptCount val="6"/>
                <c:pt idx="0">
                  <c:v>2639.51</c:v>
                </c:pt>
                <c:pt idx="1">
                  <c:v>2906.7799999999997</c:v>
                </c:pt>
                <c:pt idx="2">
                  <c:v>3115.11</c:v>
                </c:pt>
                <c:pt idx="3">
                  <c:v>3291.56</c:v>
                </c:pt>
                <c:pt idx="4">
                  <c:v>3510.67</c:v>
                </c:pt>
                <c:pt idx="5">
                  <c:v>4094.98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41"/>
        <c:axId val="-1650374336"/>
        <c:axId val="-1650375424"/>
      </c:barChart>
      <c:catAx>
        <c:axId val="-165037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900" baseline="0">
                <a:latin typeface="Fira Sans" pitchFamily="34" charset="0"/>
              </a:defRPr>
            </a:pPr>
            <a:endParaRPr lang="pl-PL"/>
          </a:p>
        </c:txPr>
        <c:crossAx val="-1650375424"/>
        <c:crosses val="autoZero"/>
        <c:auto val="1"/>
        <c:lblAlgn val="ctr"/>
        <c:lblOffset val="100"/>
        <c:noMultiLvlLbl val="0"/>
      </c:catAx>
      <c:valAx>
        <c:axId val="-1650375424"/>
        <c:scaling>
          <c:orientation val="minMax"/>
          <c:max val="5050"/>
          <c:min val="0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#,##0\ &quot;zł&quot;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/>
          <a:lstStyle/>
          <a:p>
            <a:pPr>
              <a:defRPr sz="800">
                <a:latin typeface="Fira Sans" panose="020B0503050000020004" pitchFamily="34" charset="0"/>
              </a:defRPr>
            </a:pPr>
            <a:endParaRPr lang="pl-PL"/>
          </a:p>
        </c:txPr>
        <c:crossAx val="-1650374336"/>
        <c:crosses val="autoZero"/>
        <c:crossBetween val="between"/>
      </c:valAx>
      <c:spPr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aseline="0">
              <a:latin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6009373749878579"/>
          <c:y val="0"/>
          <c:w val="0.42810577488184237"/>
          <c:h val="0.83493063017798164"/>
        </c:manualLayout>
      </c:layout>
      <c:barChart>
        <c:barDir val="bar"/>
        <c:grouping val="clustered"/>
        <c:varyColors val="1"/>
        <c:ser>
          <c:idx val="0"/>
          <c:order val="0"/>
          <c:spPr>
            <a:solidFill>
              <a:srgbClr val="001D77"/>
            </a:solidFill>
          </c:spPr>
          <c:invertIfNegative val="0"/>
          <c:cat>
            <c:strRef>
              <c:f>' '!$A$31:$A$40</c:f>
              <c:strCache>
                <c:ptCount val="10"/>
                <c:pt idx="0">
                  <c:v> OGÓŁEM </c:v>
                </c:pt>
                <c:pt idx="1">
                  <c:v>1. Przedstawiciele władz publicznych, wyżsi urzędnicy i kierownicy</c:v>
                </c:pt>
                <c:pt idx="2">
                  <c:v>2. Specjaliści </c:v>
                </c:pt>
                <c:pt idx="3">
                  <c:v>3. Technicy i inny średni personel</c:v>
                </c:pt>
                <c:pt idx="4">
                  <c:v>4. Pracownicy biurowi</c:v>
                </c:pt>
                <c:pt idx="5">
                  <c:v>5. Pracownicy usług i sprzedawcy</c:v>
                </c:pt>
                <c:pt idx="6">
                  <c:v>6. Rolnicy, ogrodnicy, leśnicy i rybacy</c:v>
                </c:pt>
                <c:pt idx="7">
                  <c:v>7. Robotnicy przemysłowi i rzemieślnicy</c:v>
                </c:pt>
                <c:pt idx="8">
                  <c:v>8. Operatorzy i monterzy maszyn i urządzeń</c:v>
                </c:pt>
                <c:pt idx="9">
                  <c:v>9. Pracownicy wykonujący prace proste</c:v>
                </c:pt>
              </c:strCache>
            </c:strRef>
          </c:cat>
          <c:val>
            <c:numRef>
              <c:f>' '!$B$5:$B$14</c:f>
              <c:numCache>
                <c:formatCode>0.0</c:formatCode>
                <c:ptCount val="10"/>
                <c:pt idx="0">
                  <c:v>0</c:v>
                </c:pt>
                <c:pt idx="1">
                  <c:v>0.91800000000000015</c:v>
                </c:pt>
                <c:pt idx="2">
                  <c:v>0.21800000000000044</c:v>
                </c:pt>
                <c:pt idx="3">
                  <c:v>-1.0999999999999932E-2</c:v>
                </c:pt>
                <c:pt idx="4">
                  <c:v>-0.19</c:v>
                </c:pt>
                <c:pt idx="5">
                  <c:v>-0.37500000000000111</c:v>
                </c:pt>
                <c:pt idx="6">
                  <c:v>-0.32000000000000123</c:v>
                </c:pt>
                <c:pt idx="7">
                  <c:v>-0.17200000000000004</c:v>
                </c:pt>
                <c:pt idx="8">
                  <c:v>-0.18000000000000024</c:v>
                </c:pt>
                <c:pt idx="9">
                  <c:v>-0.4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-1650373792"/>
        <c:axId val="-1650372704"/>
      </c:barChart>
      <c:catAx>
        <c:axId val="-1650373792"/>
        <c:scaling>
          <c:orientation val="maxMin"/>
        </c:scaling>
        <c:delete val="0"/>
        <c:axPos val="l"/>
        <c:numFmt formatCode="@" sourceLinked="0"/>
        <c:majorTickMark val="none"/>
        <c:minorTickMark val="none"/>
        <c:tickLblPos val="low"/>
        <c:spPr>
          <a:ln>
            <a:solidFill>
              <a:srgbClr val="002060"/>
            </a:solidFill>
          </a:ln>
        </c:spPr>
        <c:txPr>
          <a:bodyPr/>
          <a:lstStyle/>
          <a:p>
            <a:pPr>
              <a:defRPr sz="600"/>
            </a:pPr>
            <a:endParaRPr lang="pl-PL"/>
          </a:p>
        </c:txPr>
        <c:crossAx val="-1650372704"/>
        <c:crossesAt val="0"/>
        <c:auto val="0"/>
        <c:lblAlgn val="ctr"/>
        <c:lblOffset val="100"/>
        <c:noMultiLvlLbl val="0"/>
      </c:catAx>
      <c:valAx>
        <c:axId val="-1650372704"/>
        <c:scaling>
          <c:orientation val="minMax"/>
          <c:max val="1"/>
          <c:min val="-0.4"/>
        </c:scaling>
        <c:delete val="0"/>
        <c:axPos val="t"/>
        <c:majorGridlines>
          <c:spPr>
            <a:ln>
              <a:solidFill>
                <a:schemeClr val="bg1"/>
              </a:solidFill>
            </a:ln>
          </c:spPr>
        </c:majorGridlines>
        <c:numFmt formatCode="0%" sourceLinked="0"/>
        <c:majorTickMark val="out"/>
        <c:minorTickMark val="cross"/>
        <c:tickLblPos val="high"/>
        <c:spPr>
          <a:noFill/>
          <a:ln>
            <a:noFill/>
          </a:ln>
        </c:spPr>
        <c:txPr>
          <a:bodyPr rot="-5400000" vert="horz"/>
          <a:lstStyle/>
          <a:p>
            <a:pPr>
              <a:defRPr sz="700"/>
            </a:pPr>
            <a:endParaRPr lang="pl-PL"/>
          </a:p>
        </c:txPr>
        <c:crossAx val="-1650373792"/>
        <c:crosses val="autoZero"/>
        <c:crossBetween val="between"/>
        <c:majorUnit val="0.1"/>
        <c:minorUnit val="0.1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50881182321069"/>
          <c:y val="3.8911112046823286E-2"/>
          <c:w val="0.85628412073490756"/>
          <c:h val="0.669503423127155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KZiS_GW!$C$5</c:f>
              <c:strCache>
                <c:ptCount val="1"/>
                <c:pt idx="0">
                  <c:v>Mężczyżni 2016 r.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KZiS_GW!$B$6:$B$15</c:f>
              <c:strCache>
                <c:ptCount val="10"/>
                <c:pt idx="0">
                  <c:v>Ogółem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strCache>
            </c:strRef>
          </c:cat>
          <c:val>
            <c:numRef>
              <c:f>KZiS_GW!$C$6:$C$15</c:f>
              <c:numCache>
                <c:formatCode>General</c:formatCode>
                <c:ptCount val="10"/>
                <c:pt idx="0">
                  <c:v>4705.63</c:v>
                </c:pt>
                <c:pt idx="1">
                  <c:v>9998.52</c:v>
                </c:pt>
                <c:pt idx="2">
                  <c:v>6343.41</c:v>
                </c:pt>
                <c:pt idx="3">
                  <c:v>5027.46</c:v>
                </c:pt>
                <c:pt idx="4">
                  <c:v>3591.3900000000012</c:v>
                </c:pt>
                <c:pt idx="5">
                  <c:v>2910.03</c:v>
                </c:pt>
                <c:pt idx="6">
                  <c:v>2986.77</c:v>
                </c:pt>
                <c:pt idx="7">
                  <c:v>3573.3700000000022</c:v>
                </c:pt>
                <c:pt idx="8">
                  <c:v>3664.18</c:v>
                </c:pt>
                <c:pt idx="9">
                  <c:v>2892.94</c:v>
                </c:pt>
              </c:numCache>
            </c:numRef>
          </c:val>
        </c:ser>
        <c:ser>
          <c:idx val="1"/>
          <c:order val="1"/>
          <c:tx>
            <c:strRef>
              <c:f>KZiS_GW!$D$5</c:f>
              <c:strCache>
                <c:ptCount val="1"/>
                <c:pt idx="0">
                  <c:v>Mężczyżni 2018 r.</c:v>
                </c:pt>
              </c:strCache>
            </c:strRef>
          </c:tx>
          <c:spPr>
            <a:solidFill>
              <a:srgbClr val="6677AD"/>
            </a:solidFill>
          </c:spPr>
          <c:invertIfNegative val="0"/>
          <c:cat>
            <c:strRef>
              <c:f>KZiS_GW!$B$6:$B$15</c:f>
              <c:strCache>
                <c:ptCount val="10"/>
                <c:pt idx="0">
                  <c:v>Ogółem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strCache>
            </c:strRef>
          </c:cat>
          <c:val>
            <c:numRef>
              <c:f>KZiS_GW!$D$6:$D$15</c:f>
              <c:numCache>
                <c:formatCode>General</c:formatCode>
                <c:ptCount val="10"/>
                <c:pt idx="0">
                  <c:v>5447.24</c:v>
                </c:pt>
                <c:pt idx="1">
                  <c:v>10917.6</c:v>
                </c:pt>
                <c:pt idx="2">
                  <c:v>7242.81</c:v>
                </c:pt>
                <c:pt idx="3">
                  <c:v>5681.8</c:v>
                </c:pt>
                <c:pt idx="4">
                  <c:v>4206.09</c:v>
                </c:pt>
                <c:pt idx="5">
                  <c:v>3363.55</c:v>
                </c:pt>
                <c:pt idx="6">
                  <c:v>3398.06</c:v>
                </c:pt>
                <c:pt idx="7">
                  <c:v>4305.92</c:v>
                </c:pt>
                <c:pt idx="8">
                  <c:v>4261.1000000000004</c:v>
                </c:pt>
                <c:pt idx="9">
                  <c:v>3356.8700000000022</c:v>
                </c:pt>
              </c:numCache>
            </c:numRef>
          </c:val>
        </c:ser>
        <c:ser>
          <c:idx val="2"/>
          <c:order val="2"/>
          <c:tx>
            <c:strRef>
              <c:f>KZiS_GW!$E$5</c:f>
              <c:strCache>
                <c:ptCount val="1"/>
              </c:strCache>
            </c:strRef>
          </c:tx>
          <c:invertIfNegative val="0"/>
          <c:cat>
            <c:strRef>
              <c:f>KZiS_GW!$B$6:$B$15</c:f>
              <c:strCache>
                <c:ptCount val="10"/>
                <c:pt idx="0">
                  <c:v>Ogółem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strCache>
            </c:strRef>
          </c:cat>
          <c:val>
            <c:numRef>
              <c:f>KZiS_GW!$E$6:$E$15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KZiS_GW!$F$5</c:f>
              <c:strCache>
                <c:ptCount val="1"/>
                <c:pt idx="0">
                  <c:v>Kobiety 2016 r.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cat>
            <c:strRef>
              <c:f>KZiS_GW!$B$6:$B$15</c:f>
              <c:strCache>
                <c:ptCount val="10"/>
                <c:pt idx="0">
                  <c:v>Ogółem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strCache>
            </c:strRef>
          </c:cat>
          <c:val>
            <c:numRef>
              <c:f>KZiS_GW!$F$6:$F$15</c:f>
              <c:numCache>
                <c:formatCode>General</c:formatCode>
                <c:ptCount val="10"/>
                <c:pt idx="0">
                  <c:v>3971.13</c:v>
                </c:pt>
                <c:pt idx="1">
                  <c:v>7359.64</c:v>
                </c:pt>
                <c:pt idx="2">
                  <c:v>4792.58</c:v>
                </c:pt>
                <c:pt idx="3">
                  <c:v>3900.8100000000022</c:v>
                </c:pt>
                <c:pt idx="4">
                  <c:v>3479.98</c:v>
                </c:pt>
                <c:pt idx="5">
                  <c:v>2595.98</c:v>
                </c:pt>
                <c:pt idx="6">
                  <c:v>2873.4900000000002</c:v>
                </c:pt>
                <c:pt idx="7">
                  <c:v>2646.58</c:v>
                </c:pt>
                <c:pt idx="8">
                  <c:v>2953.36</c:v>
                </c:pt>
                <c:pt idx="9">
                  <c:v>2416.27</c:v>
                </c:pt>
              </c:numCache>
            </c:numRef>
          </c:val>
        </c:ser>
        <c:ser>
          <c:idx val="4"/>
          <c:order val="4"/>
          <c:tx>
            <c:strRef>
              <c:f>KZiS_GW!$G$5</c:f>
              <c:strCache>
                <c:ptCount val="1"/>
                <c:pt idx="0">
                  <c:v>Kobiety 2018 r.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KZiS_GW!$B$6:$B$15</c:f>
              <c:strCache>
                <c:ptCount val="10"/>
                <c:pt idx="0">
                  <c:v>Ogółem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strCache>
            </c:strRef>
          </c:cat>
          <c:val>
            <c:numRef>
              <c:f>KZiS_GW!$G$6:$G$15</c:f>
              <c:numCache>
                <c:formatCode>General</c:formatCode>
                <c:ptCount val="10"/>
                <c:pt idx="0">
                  <c:v>4543.3600000000024</c:v>
                </c:pt>
                <c:pt idx="1">
                  <c:v>8065.6600000000044</c:v>
                </c:pt>
                <c:pt idx="2">
                  <c:v>5449.1200000000044</c:v>
                </c:pt>
                <c:pt idx="3">
                  <c:v>4352.53</c:v>
                </c:pt>
                <c:pt idx="4">
                  <c:v>3945.14</c:v>
                </c:pt>
                <c:pt idx="5">
                  <c:v>3013.66</c:v>
                </c:pt>
                <c:pt idx="6">
                  <c:v>3409.34</c:v>
                </c:pt>
                <c:pt idx="7">
                  <c:v>3252.14</c:v>
                </c:pt>
                <c:pt idx="8">
                  <c:v>3483.79</c:v>
                </c:pt>
                <c:pt idx="9">
                  <c:v>2777.8700000000022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50368352"/>
        <c:axId val="-1650367808"/>
      </c:barChart>
      <c:catAx>
        <c:axId val="-165036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900" baseline="0"/>
            </a:pPr>
            <a:endParaRPr lang="pl-PL"/>
          </a:p>
        </c:txPr>
        <c:crossAx val="-1650367808"/>
        <c:crosses val="autoZero"/>
        <c:auto val="1"/>
        <c:lblAlgn val="ctr"/>
        <c:lblOffset val="100"/>
        <c:noMultiLvlLbl val="0"/>
      </c:catAx>
      <c:valAx>
        <c:axId val="-1650367808"/>
        <c:scaling>
          <c:orientation val="minMax"/>
          <c:max val="11000"/>
          <c:min val="0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#,##0\ &quot;zł&quot;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900" b="0" i="0" baseline="0"/>
            </a:pPr>
            <a:endParaRPr lang="pl-PL"/>
          </a:p>
        </c:txPr>
        <c:crossAx val="-1650368352"/>
        <c:crosses val="autoZero"/>
        <c:crossBetween val="between"/>
        <c:majorUnit val="1000"/>
      </c:valAx>
    </c:plotArea>
    <c:legend>
      <c:legendPos val="b"/>
      <c:legendEntry>
        <c:idx val="0"/>
        <c:txPr>
          <a:bodyPr/>
          <a:lstStyle/>
          <a:p>
            <a:pPr>
              <a:defRPr sz="800" baseline="0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baseline="0"/>
            </a:pPr>
            <a:endParaRPr lang="pl-PL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2151305649828357"/>
          <c:y val="0.90135221733646931"/>
          <c:w val="0.587576955758223"/>
          <c:h val="9.8647441797048693E-2"/>
        </c:manualLayout>
      </c:layout>
      <c:overlay val="0"/>
      <c:spPr>
        <a:noFill/>
        <a:ln>
          <a:noFill/>
        </a:ln>
        <a:effectLst>
          <a:innerShdw blurRad="63500" dist="50800" dir="2700000">
            <a:prstClr val="black">
              <a:alpha val="50000"/>
            </a:prstClr>
          </a:innerShdw>
        </a:effectLst>
      </c:spPr>
      <c:txPr>
        <a:bodyPr/>
        <a:lstStyle/>
        <a:p>
          <a:pPr>
            <a:defRPr sz="800" baseline="0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>
          <a:latin typeface="Fira Sans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6.1847539862538194E-2"/>
          <c:w val="1"/>
          <c:h val="0.861582445043104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W.8!$B$3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W.8!$A$4:$A$15</c:f>
              <c:strCache>
                <c:ptCount val="12"/>
                <c:pt idx="0">
                  <c:v>Do  50% PW   </c:v>
                </c:pt>
                <c:pt idx="1">
                  <c:v>   50 ‒ 75% PW</c:v>
                </c:pt>
                <c:pt idx="2">
                  <c:v>   75 ‒ 100% PW</c:v>
                </c:pt>
                <c:pt idx="3">
                  <c:v>  100 ‒ 125% PW</c:v>
                </c:pt>
                <c:pt idx="4">
                  <c:v>  125 ‒ 150% PW</c:v>
                </c:pt>
                <c:pt idx="5">
                  <c:v>  150 ‒ 175% PW</c:v>
                </c:pt>
                <c:pt idx="6">
                  <c:v>  175 ‒ 200% PW</c:v>
                </c:pt>
                <c:pt idx="7">
                  <c:v>  200 ‒ 225% PW</c:v>
                </c:pt>
                <c:pt idx="8">
                  <c:v>  225 ‒ 250% PW</c:v>
                </c:pt>
                <c:pt idx="9">
                  <c:v>  250 ‒ 275% PW</c:v>
                </c:pt>
                <c:pt idx="10">
                  <c:v>  275 ‒ 300% PW</c:v>
                </c:pt>
                <c:pt idx="11">
                  <c:v>  300% i więcej PW   </c:v>
                </c:pt>
              </c:strCache>
            </c:strRef>
          </c:cat>
          <c:val>
            <c:numRef>
              <c:f>W.8!$B$4:$B$15</c:f>
              <c:numCache>
                <c:formatCode>0.000</c:formatCode>
                <c:ptCount val="12"/>
                <c:pt idx="0">
                  <c:v>0.16200000000000001</c:v>
                </c:pt>
                <c:pt idx="1">
                  <c:v>0.27</c:v>
                </c:pt>
                <c:pt idx="2">
                  <c:v>0.22800000000000001</c:v>
                </c:pt>
                <c:pt idx="3">
                  <c:v>0.14000000000000001</c:v>
                </c:pt>
                <c:pt idx="4">
                  <c:v>7.4000000000000024E-2</c:v>
                </c:pt>
                <c:pt idx="5">
                  <c:v>4.0000000000000022E-2</c:v>
                </c:pt>
                <c:pt idx="6">
                  <c:v>2.4E-2</c:v>
                </c:pt>
                <c:pt idx="7">
                  <c:v>1.4999999999999998E-2</c:v>
                </c:pt>
                <c:pt idx="8">
                  <c:v>1.1000000000000058E-2</c:v>
                </c:pt>
                <c:pt idx="9">
                  <c:v>8.0000000000000227E-3</c:v>
                </c:pt>
                <c:pt idx="10">
                  <c:v>6.0000000000000114E-3</c:v>
                </c:pt>
                <c:pt idx="11">
                  <c:v>2.2000000000000016E-2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939925680"/>
        <c:axId val="-1650371072"/>
      </c:barChart>
      <c:valAx>
        <c:axId val="-1650371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1939925680"/>
        <c:crosses val="autoZero"/>
        <c:crossBetween val="between"/>
      </c:valAx>
      <c:catAx>
        <c:axId val="-19399256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650371072"/>
        <c:crosses val="autoZero"/>
        <c:auto val="1"/>
        <c:lblAlgn val="ctr"/>
        <c:lblOffset val="100"/>
        <c:tickMarkSkip val="10"/>
        <c:noMultiLvlLbl val="0"/>
      </c:cat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0.15833</cdr:x>
      <cdr:y>0.03472</cdr:y>
    </cdr:from>
    <cdr:to>
      <cdr:x>0.35833</cdr:x>
      <cdr:y>0.36806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723900" y="952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0.15833</cdr:x>
      <cdr:y>0.03472</cdr:y>
    </cdr:from>
    <cdr:to>
      <cdr:x>0.35833</cdr:x>
      <cdr:y>0.36806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723900" y="952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0.26379</cdr:x>
      <cdr:y>0.79912</cdr:y>
    </cdr:from>
    <cdr:to>
      <cdr:x>0.77218</cdr:x>
      <cdr:y>0.89751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351276" y="1904438"/>
          <a:ext cx="2604251" cy="2344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l-PL" sz="900">
              <a:latin typeface="Fira Sans" panose="020B0503050000020004" pitchFamily="34" charset="0"/>
            </a:rPr>
            <a:t>"Wielkie" grupy zawodów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5D403-8AE5-42FB-888E-E4DF9B03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wynagrodzeń według zawodów w październiku 2018 roku</dc:title>
  <cp:revision>8</cp:revision>
  <cp:lastPrinted>2019-11-18T15:21:00Z</cp:lastPrinted>
  <dcterms:created xsi:type="dcterms:W3CDTF">2019-11-20T12:03:00Z</dcterms:created>
  <dcterms:modified xsi:type="dcterms:W3CDTF">2019-11-20T13:53:00Z</dcterms:modified>
</cp:coreProperties>
</file>