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123" w:rsidRPr="00876337" w:rsidRDefault="00685123" w:rsidP="003047EF">
      <w:pPr>
        <w:pStyle w:val="tytuinformacji"/>
      </w:pPr>
      <w:r w:rsidRPr="00876337">
        <w:t>Wskaźniki cen towarów i usług konsumpcyjnych w</w:t>
      </w:r>
      <w:r w:rsidR="00712AE9">
        <w:t>e </w:t>
      </w:r>
      <w:r w:rsidR="00EB7815">
        <w:t>wrześniu</w:t>
      </w:r>
      <w:r w:rsidR="00481D83">
        <w:t xml:space="preserve"> 2020</w:t>
      </w:r>
      <w:r w:rsidR="00EE696D" w:rsidRPr="00876337">
        <w:t xml:space="preserve"> r.</w:t>
      </w:r>
    </w:p>
    <w:p w:rsidR="00AD4947" w:rsidRPr="00876337" w:rsidRDefault="00AD4947" w:rsidP="00AD4947">
      <w:pPr>
        <w:pStyle w:val="tytuinformacji"/>
        <w:rPr>
          <w:sz w:val="32"/>
          <w:highlight w:val="yellow"/>
        </w:rPr>
      </w:pPr>
    </w:p>
    <w:p w:rsidR="00E52010" w:rsidRDefault="009A6451" w:rsidP="00E52010">
      <w:pPr>
        <w:pStyle w:val="LID"/>
        <w:spacing w:before="0" w:after="0"/>
      </w:pPr>
      <w:r>
        <w:rPr>
          <w:lang w:val="en-GB" w:eastAsia="en-GB"/>
        </w:rPr>
        <w:pict w14:anchorId="57080734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0;margin-top:.95pt;width:2in;height:96pt;z-index:251772928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xJ6KAIAACM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" fillcolor="#001d77" stroked="f">
            <v:textbox style="mso-next-textbox:#Pole tekstowe 2">
              <w:txbxContent>
                <w:p w:rsidR="00712AE9" w:rsidRPr="00D538E4" w:rsidRDefault="00712AE9" w:rsidP="00D538E4">
                  <w:pPr>
                    <w:spacing w:after="0" w:line="240" w:lineRule="auto"/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</w:pPr>
                  <w:r w:rsidRPr="00C61795">
                    <w:rPr>
                      <w:rFonts w:asciiTheme="minorHAnsi" w:hAnsiTheme="minorHAnsi"/>
                      <w:b/>
                      <w:noProof/>
                      <w:color w:val="001D77"/>
                      <w:sz w:val="22"/>
                      <w:lang w:eastAsia="pl-PL"/>
                    </w:rPr>
                    <w:drawing>
                      <wp:inline distT="0" distB="0" distL="0" distR="0" wp14:anchorId="2056D782" wp14:editId="3E96547E">
                        <wp:extent cx="334645" cy="334645"/>
                        <wp:effectExtent l="0" t="0" r="8255" b="8255"/>
                        <wp:docPr id="3" name="Obraz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4645" cy="3346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61795">
                    <w:rPr>
                      <w:noProof/>
                      <w:color w:val="001D77"/>
                      <w:lang w:eastAsia="pl-PL"/>
                    </w:rPr>
                    <w:t xml:space="preserve"> </w:t>
                  </w:r>
                  <w:r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  <w:t>3,2</w:t>
                  </w:r>
                  <w:r w:rsidRPr="004D3ABE"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  <w:t>%</w:t>
                  </w:r>
                </w:p>
                <w:p w:rsidR="00712AE9" w:rsidRDefault="00712AE9" w:rsidP="00E52010">
                  <w:pPr>
                    <w:pStyle w:val="tekstnaniebieskimtle"/>
                  </w:pPr>
                  <w:r>
                    <w:t>wzrost w porównaniu</w:t>
                  </w:r>
                </w:p>
                <w:p w:rsidR="00712AE9" w:rsidRDefault="00712AE9" w:rsidP="00E52010">
                  <w:pPr>
                    <w:pStyle w:val="tekstnaniebieskimtle"/>
                  </w:pPr>
                  <w:r>
                    <w:t>z analogicznym miesiącem</w:t>
                  </w:r>
                </w:p>
                <w:p w:rsidR="00712AE9" w:rsidRPr="00D538E4" w:rsidRDefault="00712AE9" w:rsidP="00E52010">
                  <w:pPr>
                    <w:pStyle w:val="tekstnaniebieskimtle"/>
                    <w:rPr>
                      <w:color w:val="FFFFFF" w:themeColor="background1"/>
                      <w:sz w:val="18"/>
                      <w:szCs w:val="20"/>
                    </w:rPr>
                  </w:pPr>
                  <w:r>
                    <w:t>poprzedniego roku</w:t>
                  </w:r>
                </w:p>
              </w:txbxContent>
            </v:textbox>
            <w10:wrap type="square" anchorx="margin"/>
          </v:shape>
        </w:pict>
      </w:r>
      <w:r w:rsidR="00D538E4" w:rsidRPr="004D3ABE">
        <w:t>Ceny towarów i usług konsumpcyjnych w</w:t>
      </w:r>
      <w:r w:rsidR="00EB7815">
        <w:t>e wrześniu</w:t>
      </w:r>
      <w:r w:rsidR="00D538E4" w:rsidRPr="004D3ABE">
        <w:t xml:space="preserve"> </w:t>
      </w:r>
      <w:r w:rsidR="00D518F8">
        <w:t>2020 </w:t>
      </w:r>
      <w:r w:rsidR="00E52010">
        <w:t>r. w porównaniu z analogicznym miesi</w:t>
      </w:r>
      <w:r w:rsidR="00D8427E">
        <w:t xml:space="preserve">ącem ub. roku </w:t>
      </w:r>
      <w:r w:rsidR="00EB7815">
        <w:t>wzrosły o 3,2</w:t>
      </w:r>
      <w:r w:rsidR="00E52010">
        <w:t xml:space="preserve">% </w:t>
      </w:r>
      <w:r w:rsidR="004C732A">
        <w:t>(prz</w:t>
      </w:r>
      <w:r w:rsidR="00EB7815">
        <w:t>y wzroście cen usług – o 7,2</w:t>
      </w:r>
      <w:r w:rsidR="00D8427E">
        <w:t>% i </w:t>
      </w:r>
      <w:r w:rsidR="00EB7815">
        <w:t>towarów – o 1,7</w:t>
      </w:r>
      <w:r w:rsidR="00E52010">
        <w:t>%).</w:t>
      </w:r>
    </w:p>
    <w:p w:rsidR="00EB7815" w:rsidRDefault="00E52010" w:rsidP="0009633C">
      <w:pPr>
        <w:pStyle w:val="LID"/>
        <w:spacing w:before="0" w:after="0"/>
      </w:pPr>
      <w:r>
        <w:t>W stosunku do poprz</w:t>
      </w:r>
      <w:r w:rsidR="00D8427E">
        <w:t>edniego miesiąca ceny towarów i </w:t>
      </w:r>
      <w:r>
        <w:t xml:space="preserve">usług </w:t>
      </w:r>
      <w:r w:rsidR="00EB7815">
        <w:t>wzrosły o 0,2</w:t>
      </w:r>
      <w:r>
        <w:t>% (</w:t>
      </w:r>
      <w:r w:rsidR="004C732A">
        <w:t>przy wzrości</w:t>
      </w:r>
      <w:r w:rsidR="00EB7815">
        <w:t>e cen usług – o 0,4</w:t>
      </w:r>
      <w:r w:rsidR="00D8427E">
        <w:t>% i </w:t>
      </w:r>
      <w:r w:rsidR="004C732A">
        <w:t>towarów – o 0,</w:t>
      </w:r>
      <w:r w:rsidR="00EB7815">
        <w:t>2</w:t>
      </w:r>
      <w:r w:rsidR="004C732A">
        <w:t>%).</w:t>
      </w:r>
    </w:p>
    <w:p w:rsidR="00EB7815" w:rsidRDefault="00EB7815" w:rsidP="0009633C">
      <w:pPr>
        <w:pStyle w:val="tytuwykresu"/>
        <w:spacing w:after="80"/>
      </w:pPr>
    </w:p>
    <w:p w:rsidR="0028113C" w:rsidRDefault="0028113C" w:rsidP="00D83359">
      <w:pPr>
        <w:pStyle w:val="tytuwykresu"/>
        <w:spacing w:before="0"/>
      </w:pPr>
    </w:p>
    <w:p w:rsidR="00EB7815" w:rsidRPr="006D5C42" w:rsidRDefault="00EB7815" w:rsidP="0028113C">
      <w:pPr>
        <w:pStyle w:val="tytuwykresu"/>
        <w:spacing w:before="80" w:after="0"/>
      </w:pPr>
      <w:r w:rsidRPr="006D5C42">
        <w:t>Tablica 1.</w:t>
      </w:r>
      <w:r w:rsidRPr="006D5C42">
        <w:rPr>
          <w:shd w:val="clear" w:color="auto" w:fill="FFFFFF"/>
        </w:rPr>
        <w:t xml:space="preserve"> </w:t>
      </w:r>
      <w:r w:rsidRPr="006D5C42">
        <w:rPr>
          <w:bCs/>
          <w:shd w:val="clear" w:color="auto" w:fill="FFFFFF"/>
        </w:rPr>
        <w:t>Wskaźniki cen towarów i usług konsumpcyjnych w</w:t>
      </w:r>
      <w:r>
        <w:rPr>
          <w:bCs/>
          <w:shd w:val="clear" w:color="auto" w:fill="FFFFFF"/>
        </w:rPr>
        <w:t xml:space="preserve">e wrześniu </w:t>
      </w:r>
      <w:r>
        <w:t>2020</w:t>
      </w:r>
      <w:r w:rsidRPr="006D5C42">
        <w:t> </w:t>
      </w:r>
      <w:r w:rsidRPr="006D5C42">
        <w:rPr>
          <w:bCs/>
          <w:shd w:val="clear" w:color="auto" w:fill="FFFFFF"/>
        </w:rPr>
        <w:t>r.</w:t>
      </w:r>
    </w:p>
    <w:tbl>
      <w:tblPr>
        <w:tblStyle w:val="Siatkatabelijasna11"/>
        <w:tblpPr w:leftFromText="141" w:rightFromText="141" w:vertAnchor="text" w:horzAnchor="margin" w:tblpY="365"/>
        <w:tblW w:w="8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235"/>
        <w:gridCol w:w="850"/>
        <w:gridCol w:w="851"/>
        <w:gridCol w:w="850"/>
        <w:gridCol w:w="851"/>
        <w:gridCol w:w="850"/>
        <w:gridCol w:w="851"/>
        <w:gridCol w:w="945"/>
      </w:tblGrid>
      <w:tr w:rsidR="00FC7489" w:rsidRPr="00876337" w:rsidTr="00FC7489">
        <w:trPr>
          <w:cantSplit/>
          <w:trHeight w:val="367"/>
        </w:trPr>
        <w:tc>
          <w:tcPr>
            <w:tcW w:w="2235" w:type="dxa"/>
            <w:vMerge w:val="restart"/>
            <w:vAlign w:val="center"/>
          </w:tcPr>
          <w:p w:rsidR="00EB7815" w:rsidRPr="00C522A5" w:rsidRDefault="00EB7815" w:rsidP="00EB7815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6"/>
              </w:rPr>
            </w:pPr>
            <w:r w:rsidRPr="00C522A5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2551" w:type="dxa"/>
            <w:gridSpan w:val="3"/>
            <w:vAlign w:val="center"/>
          </w:tcPr>
          <w:p w:rsidR="00EB7815" w:rsidRPr="00C522A5" w:rsidRDefault="00EB7815" w:rsidP="00EB7815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IX 2020</w:t>
            </w:r>
          </w:p>
        </w:tc>
        <w:tc>
          <w:tcPr>
            <w:tcW w:w="1701" w:type="dxa"/>
            <w:gridSpan w:val="2"/>
          </w:tcPr>
          <w:p w:rsidR="00EB7815" w:rsidRPr="00C522A5" w:rsidRDefault="00EB7815" w:rsidP="00EB7815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9E77AF">
              <w:rPr>
                <w:rFonts w:ascii="Fira Sans" w:hAnsi="Fira Sans"/>
                <w:color w:val="000000" w:themeColor="text1"/>
                <w:sz w:val="16"/>
                <w:szCs w:val="16"/>
              </w:rPr>
              <w:t>VI</w:t>
            </w:r>
            <w:r w:rsidR="003D3F59" w:rsidRPr="009E77AF">
              <w:rPr>
                <w:rFonts w:ascii="Fira Sans" w:hAnsi="Fira Sans"/>
                <w:color w:val="000000" w:themeColor="text1"/>
                <w:sz w:val="16"/>
                <w:szCs w:val="16"/>
              </w:rPr>
              <w:t>I</w:t>
            </w:r>
            <w:r w:rsidRPr="009E77AF">
              <w:rPr>
                <w:rFonts w:ascii="Fira Sans" w:hAnsi="Fira Sans"/>
                <w:color w:val="000000" w:themeColor="text1"/>
                <w:sz w:val="16"/>
                <w:szCs w:val="16"/>
              </w:rPr>
              <w:t>-IX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 2020</w:t>
            </w:r>
          </w:p>
        </w:tc>
        <w:tc>
          <w:tcPr>
            <w:tcW w:w="851" w:type="dxa"/>
          </w:tcPr>
          <w:p w:rsidR="00EB7815" w:rsidRPr="00C522A5" w:rsidRDefault="00EB7815" w:rsidP="00EB7815">
            <w:pPr>
              <w:pStyle w:val="Nagwek1"/>
              <w:tabs>
                <w:tab w:val="right" w:leader="dot" w:pos="4139"/>
              </w:tabs>
              <w:spacing w:before="120" w:line="240" w:lineRule="exact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I-IX 2020</w:t>
            </w:r>
          </w:p>
        </w:tc>
        <w:tc>
          <w:tcPr>
            <w:tcW w:w="945" w:type="dxa"/>
            <w:vMerge w:val="restart"/>
            <w:vAlign w:val="center"/>
          </w:tcPr>
          <w:p w:rsidR="00EB7815" w:rsidRPr="00C522A5" w:rsidRDefault="00EB7815" w:rsidP="00EB7815">
            <w:pPr>
              <w:pStyle w:val="Nagwek1"/>
              <w:tabs>
                <w:tab w:val="right" w:leader="dot" w:pos="4139"/>
              </w:tabs>
              <w:spacing w:before="120" w:line="240" w:lineRule="exact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C522A5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WPŁYW ZMIAN</w:t>
            </w:r>
          </w:p>
          <w:p w:rsidR="00EB7815" w:rsidRPr="00C522A5" w:rsidRDefault="00EB7815" w:rsidP="00EB7815">
            <w:pPr>
              <w:pStyle w:val="Nagwek1"/>
              <w:tabs>
                <w:tab w:val="right" w:leader="dot" w:pos="4139"/>
              </w:tabs>
              <w:spacing w:before="120" w:line="240" w:lineRule="exact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VIII 2020</w:t>
            </w:r>
            <w:r w:rsidRPr="00C522A5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=</w:t>
            </w:r>
            <w:r w:rsidRPr="00C522A5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br/>
              <w:t>=100</w:t>
            </w:r>
          </w:p>
        </w:tc>
      </w:tr>
      <w:tr w:rsidR="00FC7489" w:rsidRPr="00876337" w:rsidTr="00E517CA">
        <w:trPr>
          <w:cantSplit/>
          <w:trHeight w:val="608"/>
        </w:trPr>
        <w:tc>
          <w:tcPr>
            <w:tcW w:w="2235" w:type="dxa"/>
            <w:vMerge/>
            <w:tcBorders>
              <w:bottom w:val="single" w:sz="12" w:space="0" w:color="212492"/>
            </w:tcBorders>
            <w:vAlign w:val="center"/>
          </w:tcPr>
          <w:p w:rsidR="00EB7815" w:rsidRPr="00876337" w:rsidRDefault="00EB7815" w:rsidP="00EB7815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bottom w:val="single" w:sz="12" w:space="0" w:color="212492"/>
            </w:tcBorders>
            <w:vAlign w:val="center"/>
          </w:tcPr>
          <w:p w:rsidR="00EB7815" w:rsidRPr="00FC7489" w:rsidRDefault="00EB7815" w:rsidP="008D05FC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4"/>
                <w:szCs w:val="14"/>
              </w:rPr>
            </w:pPr>
            <w:r w:rsidRPr="00FC7489">
              <w:rPr>
                <w:rFonts w:ascii="Fira Sans" w:hAnsi="Fira Sans"/>
                <w:color w:val="000000" w:themeColor="text1"/>
                <w:sz w:val="14"/>
                <w:szCs w:val="14"/>
              </w:rPr>
              <w:t>IX 2019=</w:t>
            </w:r>
            <w:r w:rsidRPr="00FC7489">
              <w:rPr>
                <w:rFonts w:ascii="Fira Sans" w:hAnsi="Fira Sans"/>
                <w:color w:val="000000" w:themeColor="text1"/>
                <w:sz w:val="14"/>
                <w:szCs w:val="14"/>
              </w:rPr>
              <w:br/>
              <w:t>=100</w:t>
            </w:r>
          </w:p>
        </w:tc>
        <w:tc>
          <w:tcPr>
            <w:tcW w:w="851" w:type="dxa"/>
            <w:tcBorders>
              <w:bottom w:val="single" w:sz="12" w:space="0" w:color="212492"/>
            </w:tcBorders>
            <w:vAlign w:val="center"/>
          </w:tcPr>
          <w:p w:rsidR="00EB7815" w:rsidRPr="00FC7489" w:rsidRDefault="00EB7815" w:rsidP="008D05FC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4"/>
                <w:szCs w:val="14"/>
              </w:rPr>
            </w:pPr>
            <w:r w:rsidRPr="00FC7489">
              <w:rPr>
                <w:rFonts w:ascii="Fira Sans" w:hAnsi="Fira Sans"/>
                <w:color w:val="000000" w:themeColor="text1"/>
                <w:sz w:val="14"/>
                <w:szCs w:val="14"/>
              </w:rPr>
              <w:t>XII 2019=</w:t>
            </w:r>
            <w:r w:rsidRPr="00FC7489">
              <w:rPr>
                <w:rFonts w:ascii="Fira Sans" w:hAnsi="Fira Sans"/>
                <w:color w:val="000000" w:themeColor="text1"/>
                <w:sz w:val="14"/>
                <w:szCs w:val="14"/>
              </w:rPr>
              <w:br/>
              <w:t>=100</w:t>
            </w:r>
          </w:p>
        </w:tc>
        <w:tc>
          <w:tcPr>
            <w:tcW w:w="850" w:type="dxa"/>
            <w:tcBorders>
              <w:bottom w:val="single" w:sz="12" w:space="0" w:color="212492"/>
            </w:tcBorders>
            <w:vAlign w:val="center"/>
          </w:tcPr>
          <w:p w:rsidR="00EB7815" w:rsidRPr="00FC7489" w:rsidRDefault="00EB7815" w:rsidP="008D05FC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4"/>
                <w:szCs w:val="14"/>
              </w:rPr>
            </w:pPr>
            <w:r w:rsidRPr="00FC7489">
              <w:rPr>
                <w:rFonts w:ascii="Fira Sans" w:hAnsi="Fira Sans"/>
                <w:color w:val="000000" w:themeColor="text1"/>
                <w:sz w:val="14"/>
                <w:szCs w:val="14"/>
              </w:rPr>
              <w:t>VIII 2020=</w:t>
            </w:r>
            <w:r w:rsidRPr="00FC7489">
              <w:rPr>
                <w:rFonts w:ascii="Fira Sans" w:hAnsi="Fira Sans"/>
                <w:color w:val="000000" w:themeColor="text1"/>
                <w:sz w:val="14"/>
                <w:szCs w:val="14"/>
              </w:rPr>
              <w:br/>
              <w:t>=100</w:t>
            </w:r>
          </w:p>
        </w:tc>
        <w:tc>
          <w:tcPr>
            <w:tcW w:w="851" w:type="dxa"/>
            <w:tcBorders>
              <w:bottom w:val="single" w:sz="12" w:space="0" w:color="212492"/>
            </w:tcBorders>
            <w:vAlign w:val="center"/>
          </w:tcPr>
          <w:p w:rsidR="00EB7815" w:rsidRPr="00FC7489" w:rsidRDefault="00EB7815" w:rsidP="008D05FC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4"/>
                <w:szCs w:val="14"/>
              </w:rPr>
            </w:pPr>
            <w:r w:rsidRPr="009E77AF">
              <w:rPr>
                <w:rFonts w:ascii="Fira Sans" w:hAnsi="Fira Sans"/>
                <w:color w:val="000000" w:themeColor="text1"/>
                <w:sz w:val="14"/>
                <w:szCs w:val="14"/>
              </w:rPr>
              <w:t>V</w:t>
            </w:r>
            <w:r w:rsidR="003D3F59" w:rsidRPr="009E77AF">
              <w:rPr>
                <w:rFonts w:ascii="Fira Sans" w:hAnsi="Fira Sans"/>
                <w:color w:val="000000" w:themeColor="text1"/>
                <w:sz w:val="14"/>
                <w:szCs w:val="14"/>
              </w:rPr>
              <w:t>I</w:t>
            </w:r>
            <w:r w:rsidRPr="009E77AF">
              <w:rPr>
                <w:rFonts w:ascii="Fira Sans" w:hAnsi="Fira Sans"/>
                <w:color w:val="000000" w:themeColor="text1"/>
                <w:sz w:val="14"/>
                <w:szCs w:val="14"/>
              </w:rPr>
              <w:t>I-</w:t>
            </w:r>
            <w:r w:rsidRPr="00FC7489">
              <w:rPr>
                <w:rFonts w:ascii="Fira Sans" w:hAnsi="Fira Sans"/>
                <w:color w:val="000000" w:themeColor="text1"/>
                <w:sz w:val="14"/>
                <w:szCs w:val="14"/>
              </w:rPr>
              <w:t>IX 2019=100</w:t>
            </w:r>
          </w:p>
        </w:tc>
        <w:tc>
          <w:tcPr>
            <w:tcW w:w="850" w:type="dxa"/>
            <w:tcBorders>
              <w:bottom w:val="single" w:sz="12" w:space="0" w:color="212492"/>
            </w:tcBorders>
            <w:vAlign w:val="center"/>
          </w:tcPr>
          <w:p w:rsidR="00EB7815" w:rsidRPr="00FC7489" w:rsidRDefault="00EB7815" w:rsidP="008D05FC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4"/>
                <w:szCs w:val="14"/>
              </w:rPr>
            </w:pPr>
            <w:r w:rsidRPr="00FC7489">
              <w:rPr>
                <w:rFonts w:ascii="Fira Sans" w:hAnsi="Fira Sans"/>
                <w:color w:val="000000" w:themeColor="text1"/>
                <w:sz w:val="14"/>
                <w:szCs w:val="14"/>
              </w:rPr>
              <w:t>IV-VI 2020=100</w:t>
            </w:r>
          </w:p>
        </w:tc>
        <w:tc>
          <w:tcPr>
            <w:tcW w:w="851" w:type="dxa"/>
            <w:tcBorders>
              <w:bottom w:val="single" w:sz="12" w:space="0" w:color="212492"/>
            </w:tcBorders>
          </w:tcPr>
          <w:p w:rsidR="00EB7815" w:rsidRPr="00FC7489" w:rsidRDefault="00EB7815" w:rsidP="00CA27EA">
            <w:pPr>
              <w:pStyle w:val="Nagwek1"/>
              <w:tabs>
                <w:tab w:val="right" w:leader="dot" w:pos="4139"/>
              </w:tabs>
              <w:spacing w:before="120" w:line="240" w:lineRule="exact"/>
              <w:jc w:val="center"/>
              <w:outlineLvl w:val="0"/>
              <w:rPr>
                <w:rFonts w:ascii="Fira Sans" w:hAnsi="Fira Sans" w:cs="Arial"/>
                <w:color w:val="000000" w:themeColor="text1"/>
                <w:sz w:val="14"/>
                <w:szCs w:val="14"/>
              </w:rPr>
            </w:pPr>
            <w:r w:rsidRPr="00FC7489">
              <w:rPr>
                <w:rFonts w:ascii="Fira Sans" w:hAnsi="Fira Sans"/>
                <w:color w:val="000000" w:themeColor="text1"/>
                <w:sz w:val="14"/>
                <w:szCs w:val="14"/>
              </w:rPr>
              <w:t>I-IX 2019=100</w:t>
            </w:r>
          </w:p>
        </w:tc>
        <w:tc>
          <w:tcPr>
            <w:tcW w:w="945" w:type="dxa"/>
            <w:vMerge/>
            <w:tcBorders>
              <w:bottom w:val="single" w:sz="12" w:space="0" w:color="212492"/>
            </w:tcBorders>
            <w:vAlign w:val="center"/>
          </w:tcPr>
          <w:p w:rsidR="00EB7815" w:rsidRPr="00876337" w:rsidRDefault="00EB7815" w:rsidP="00EB7815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FC7489" w:rsidRPr="00876337" w:rsidTr="00E517CA">
        <w:trPr>
          <w:cantSplit/>
          <w:trHeight w:val="57"/>
        </w:trPr>
        <w:tc>
          <w:tcPr>
            <w:tcW w:w="2235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EB7815" w:rsidRPr="000B5393" w:rsidRDefault="00EB7815" w:rsidP="00EB7815">
            <w:pPr>
              <w:pStyle w:val="Nagwek5"/>
              <w:tabs>
                <w:tab w:val="right" w:leader="dot" w:pos="4156"/>
              </w:tabs>
              <w:spacing w:before="0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 w:rsidRPr="000B5393"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850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b/>
                <w:color w:val="000000" w:themeColor="text1"/>
                <w:sz w:val="16"/>
                <w:szCs w:val="16"/>
              </w:rPr>
              <w:t>103,2</w:t>
            </w:r>
          </w:p>
        </w:tc>
        <w:tc>
          <w:tcPr>
            <w:tcW w:w="851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b/>
                <w:color w:val="000000" w:themeColor="text1"/>
                <w:sz w:val="16"/>
                <w:szCs w:val="16"/>
              </w:rPr>
              <w:t>102,0</w:t>
            </w:r>
          </w:p>
        </w:tc>
        <w:tc>
          <w:tcPr>
            <w:tcW w:w="850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b/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851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b/>
                <w:color w:val="000000" w:themeColor="text1"/>
                <w:sz w:val="16"/>
                <w:szCs w:val="16"/>
              </w:rPr>
              <w:t>103,0</w:t>
            </w:r>
          </w:p>
        </w:tc>
        <w:tc>
          <w:tcPr>
            <w:tcW w:w="850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b/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851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b/>
                <w:color w:val="000000" w:themeColor="text1"/>
                <w:sz w:val="16"/>
                <w:szCs w:val="16"/>
              </w:rPr>
              <w:t>103,6</w:t>
            </w:r>
          </w:p>
        </w:tc>
        <w:tc>
          <w:tcPr>
            <w:tcW w:w="945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EB7815" w:rsidRPr="00876337" w:rsidRDefault="00EB7815" w:rsidP="00E517CA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317C90">
              <w:rPr>
                <w:rFonts w:cs="Arial"/>
                <w:b/>
                <w:color w:val="000000" w:themeColor="text1"/>
                <w:sz w:val="16"/>
                <w:szCs w:val="16"/>
              </w:rPr>
              <w:t>x</w:t>
            </w:r>
          </w:p>
        </w:tc>
      </w:tr>
      <w:tr w:rsidR="00FC7489" w:rsidRPr="00876337" w:rsidTr="00E517CA">
        <w:trPr>
          <w:cantSplit/>
          <w:trHeight w:val="57"/>
        </w:trPr>
        <w:tc>
          <w:tcPr>
            <w:tcW w:w="223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B7815" w:rsidRPr="000B5393" w:rsidRDefault="00EB7815" w:rsidP="00EB7815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0B5393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Ż</w:t>
            </w:r>
            <w:r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 xml:space="preserve">ywność i napoje </w:t>
            </w:r>
            <w:r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br/>
              <w:t>bezalkoholowe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102,8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100,9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99,6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103,2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97,7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105,8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-0,10</w:t>
            </w:r>
          </w:p>
        </w:tc>
      </w:tr>
      <w:tr w:rsidR="00FC7489" w:rsidRPr="00876337" w:rsidTr="00E517CA">
        <w:trPr>
          <w:cantSplit/>
          <w:trHeight w:val="57"/>
        </w:trPr>
        <w:tc>
          <w:tcPr>
            <w:tcW w:w="223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B7815" w:rsidRPr="000B5393" w:rsidRDefault="00EB7815" w:rsidP="00EB7815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0B5393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 xml:space="preserve">Napoje alkoholowe </w:t>
            </w:r>
            <w:r w:rsidRPr="000B5393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br/>
              <w:t>i wyroby tytoniowe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104,7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104,4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99,9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104,7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104,3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-0,01</w:t>
            </w:r>
          </w:p>
        </w:tc>
      </w:tr>
      <w:tr w:rsidR="00FC7489" w:rsidRPr="00876337" w:rsidTr="00E517CA">
        <w:trPr>
          <w:cantSplit/>
          <w:trHeight w:val="57"/>
        </w:trPr>
        <w:tc>
          <w:tcPr>
            <w:tcW w:w="223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B7815" w:rsidRPr="00452976" w:rsidRDefault="00EB7815" w:rsidP="00452976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452976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Odzież i obuwie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98,0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95,7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102,6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98,1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97,1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97,7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0,12</w:t>
            </w:r>
          </w:p>
        </w:tc>
      </w:tr>
      <w:tr w:rsidR="00FC7489" w:rsidRPr="00876337" w:rsidTr="00E517CA">
        <w:trPr>
          <w:cantSplit/>
          <w:trHeight w:val="57"/>
        </w:trPr>
        <w:tc>
          <w:tcPr>
            <w:tcW w:w="223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B7815" w:rsidRPr="00452976" w:rsidRDefault="00EB7815" w:rsidP="00452976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452976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 xml:space="preserve">Użytkowanie mieszkania </w:t>
            </w:r>
            <w:r w:rsidRPr="00452976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br/>
              <w:t>lub domu i nośniki energii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107,3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106,7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100,4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107,2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100,6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107,2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0,07</w:t>
            </w:r>
          </w:p>
        </w:tc>
      </w:tr>
      <w:tr w:rsidR="00FC7489" w:rsidRPr="00876337" w:rsidTr="00E517CA">
        <w:trPr>
          <w:cantSplit/>
          <w:trHeight w:val="57"/>
        </w:trPr>
        <w:tc>
          <w:tcPr>
            <w:tcW w:w="223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B7815" w:rsidRPr="00452976" w:rsidRDefault="00EB7815" w:rsidP="00452976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452976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Wyposażenie mieszkania i prowadzenie gospodarstwa domowego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101,5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101,5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100,4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101,2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100,5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100,8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0,02</w:t>
            </w:r>
          </w:p>
        </w:tc>
      </w:tr>
      <w:tr w:rsidR="00FC7489" w:rsidRPr="00876337" w:rsidTr="00E517CA">
        <w:trPr>
          <w:cantSplit/>
          <w:trHeight w:val="57"/>
        </w:trPr>
        <w:tc>
          <w:tcPr>
            <w:tcW w:w="223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B7815" w:rsidRPr="00452976" w:rsidRDefault="00EB7815" w:rsidP="00452976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452976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 xml:space="preserve">Zdrowie 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104,9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105,2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101,3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104,7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0,02</w:t>
            </w:r>
          </w:p>
        </w:tc>
      </w:tr>
      <w:tr w:rsidR="00FC7489" w:rsidRPr="00876337" w:rsidTr="00E517CA">
        <w:trPr>
          <w:cantSplit/>
          <w:trHeight w:val="57"/>
        </w:trPr>
        <w:tc>
          <w:tcPr>
            <w:tcW w:w="223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B7815" w:rsidRPr="00452976" w:rsidRDefault="00EB7815" w:rsidP="00452976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452976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Transport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95,1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93,0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99,8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93,2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102,9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94,2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-0,02</w:t>
            </w:r>
          </w:p>
        </w:tc>
      </w:tr>
      <w:tr w:rsidR="00FC7489" w:rsidRPr="00876337" w:rsidTr="00E517CA">
        <w:trPr>
          <w:cantSplit/>
          <w:trHeight w:val="57"/>
        </w:trPr>
        <w:tc>
          <w:tcPr>
            <w:tcW w:w="223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B7815" w:rsidRPr="00452976" w:rsidRDefault="00EB7815" w:rsidP="00452976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452976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Łączność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105,5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105,1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101,3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102,4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103,2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0,06</w:t>
            </w:r>
          </w:p>
        </w:tc>
      </w:tr>
      <w:tr w:rsidR="00FC7489" w:rsidRPr="00876337" w:rsidTr="00E517CA">
        <w:trPr>
          <w:cantSplit/>
          <w:trHeight w:val="57"/>
        </w:trPr>
        <w:tc>
          <w:tcPr>
            <w:tcW w:w="223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B7815" w:rsidRPr="00452976" w:rsidRDefault="00EB7815" w:rsidP="00452976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452976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Rekreacja i kultura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103,6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103,0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100,6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102,7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101,6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102,8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0,04</w:t>
            </w:r>
          </w:p>
        </w:tc>
      </w:tr>
      <w:tr w:rsidR="00FC7489" w:rsidRPr="00876337" w:rsidTr="00E517CA">
        <w:trPr>
          <w:cantSplit/>
          <w:trHeight w:val="57"/>
        </w:trPr>
        <w:tc>
          <w:tcPr>
            <w:tcW w:w="223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B7815" w:rsidRPr="00452976" w:rsidRDefault="00EB7815" w:rsidP="00452976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452976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Edukacja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105,8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104,5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102,6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105,8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101,6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105,3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0,03</w:t>
            </w:r>
          </w:p>
        </w:tc>
      </w:tr>
      <w:tr w:rsidR="00FC7489" w:rsidRPr="00876337" w:rsidTr="00E517CA">
        <w:trPr>
          <w:cantSplit/>
          <w:trHeight w:val="57"/>
        </w:trPr>
        <w:tc>
          <w:tcPr>
            <w:tcW w:w="223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B7815" w:rsidRPr="00452976" w:rsidRDefault="00EB7815" w:rsidP="00452976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452976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Restauracje i hotele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105,3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104,4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100,5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105,7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101,2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105,9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B7815" w:rsidRPr="00EB7815" w:rsidRDefault="00EB7815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B7815">
              <w:rPr>
                <w:rFonts w:cs="Arial"/>
                <w:color w:val="000000" w:themeColor="text1"/>
                <w:sz w:val="16"/>
                <w:szCs w:val="16"/>
              </w:rPr>
              <w:t>0,03</w:t>
            </w:r>
          </w:p>
        </w:tc>
      </w:tr>
      <w:tr w:rsidR="00FC7489" w:rsidRPr="00876337" w:rsidTr="00E517CA">
        <w:trPr>
          <w:cantSplit/>
          <w:trHeight w:val="57"/>
        </w:trPr>
        <w:tc>
          <w:tcPr>
            <w:tcW w:w="2235" w:type="dxa"/>
            <w:tcBorders>
              <w:top w:val="single" w:sz="4" w:space="0" w:color="212492"/>
              <w:bottom w:val="nil"/>
            </w:tcBorders>
            <w:vAlign w:val="center"/>
          </w:tcPr>
          <w:p w:rsidR="00EB7815" w:rsidRPr="000B5393" w:rsidRDefault="00EB7815" w:rsidP="00EB7815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0B5393">
              <w:rPr>
                <w:rFonts w:cstheme="majorBidi"/>
                <w:bCs/>
                <w:color w:val="000000" w:themeColor="text1"/>
                <w:sz w:val="16"/>
                <w:szCs w:val="16"/>
              </w:rPr>
              <w:t>Inne towary i usługi</w:t>
            </w:r>
          </w:p>
        </w:tc>
        <w:tc>
          <w:tcPr>
            <w:tcW w:w="850" w:type="dxa"/>
            <w:tcBorders>
              <w:top w:val="single" w:sz="4" w:space="0" w:color="212492"/>
              <w:bottom w:val="nil"/>
            </w:tcBorders>
            <w:vAlign w:val="center"/>
          </w:tcPr>
          <w:p w:rsidR="00EB7815" w:rsidRPr="004052B4" w:rsidRDefault="006961CA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102,9</w:t>
            </w:r>
          </w:p>
        </w:tc>
        <w:tc>
          <w:tcPr>
            <w:tcW w:w="851" w:type="dxa"/>
            <w:tcBorders>
              <w:top w:val="single" w:sz="4" w:space="0" w:color="212492"/>
              <w:bottom w:val="nil"/>
            </w:tcBorders>
            <w:vAlign w:val="center"/>
          </w:tcPr>
          <w:p w:rsidR="00EB7815" w:rsidRPr="004052B4" w:rsidRDefault="007A2C0C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101,2</w:t>
            </w:r>
          </w:p>
        </w:tc>
        <w:tc>
          <w:tcPr>
            <w:tcW w:w="850" w:type="dxa"/>
            <w:tcBorders>
              <w:top w:val="single" w:sz="4" w:space="0" w:color="212492"/>
              <w:bottom w:val="nil"/>
            </w:tcBorders>
            <w:vAlign w:val="center"/>
          </w:tcPr>
          <w:p w:rsidR="00EB7815" w:rsidRPr="004052B4" w:rsidRDefault="00986C0E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99,6</w:t>
            </w:r>
          </w:p>
        </w:tc>
        <w:tc>
          <w:tcPr>
            <w:tcW w:w="851" w:type="dxa"/>
            <w:tcBorders>
              <w:top w:val="single" w:sz="4" w:space="0" w:color="212492"/>
              <w:bottom w:val="nil"/>
            </w:tcBorders>
            <w:vAlign w:val="center"/>
          </w:tcPr>
          <w:p w:rsidR="00EB7815" w:rsidRPr="008C63C0" w:rsidRDefault="00986C0E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103,8</w:t>
            </w:r>
          </w:p>
        </w:tc>
        <w:tc>
          <w:tcPr>
            <w:tcW w:w="850" w:type="dxa"/>
            <w:tcBorders>
              <w:top w:val="single" w:sz="4" w:space="0" w:color="212492"/>
              <w:bottom w:val="nil"/>
            </w:tcBorders>
            <w:vAlign w:val="center"/>
          </w:tcPr>
          <w:p w:rsidR="00EB7815" w:rsidRPr="004052B4" w:rsidRDefault="00C37388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101,0</w:t>
            </w:r>
          </w:p>
        </w:tc>
        <w:tc>
          <w:tcPr>
            <w:tcW w:w="851" w:type="dxa"/>
            <w:tcBorders>
              <w:top w:val="single" w:sz="4" w:space="0" w:color="212492"/>
              <w:bottom w:val="nil"/>
            </w:tcBorders>
            <w:vAlign w:val="center"/>
          </w:tcPr>
          <w:p w:rsidR="00EB7815" w:rsidRPr="004052B4" w:rsidRDefault="00634C42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102,9</w:t>
            </w:r>
          </w:p>
        </w:tc>
        <w:tc>
          <w:tcPr>
            <w:tcW w:w="945" w:type="dxa"/>
            <w:tcBorders>
              <w:top w:val="single" w:sz="4" w:space="0" w:color="212492"/>
              <w:bottom w:val="nil"/>
            </w:tcBorders>
            <w:vAlign w:val="center"/>
          </w:tcPr>
          <w:p w:rsidR="00EB7815" w:rsidRPr="004052B4" w:rsidRDefault="00BB32AC" w:rsidP="00E517C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-0,02</w:t>
            </w:r>
          </w:p>
        </w:tc>
      </w:tr>
    </w:tbl>
    <w:p w:rsidR="00486EE6" w:rsidRPr="00876337" w:rsidRDefault="00486EE6" w:rsidP="00E52010">
      <w:pPr>
        <w:pStyle w:val="LID"/>
        <w:spacing w:before="0" w:after="0"/>
        <w:rPr>
          <w:highlight w:val="yellow"/>
        </w:rPr>
      </w:pPr>
    </w:p>
    <w:p w:rsidR="00A07F00" w:rsidRPr="00CD352D" w:rsidRDefault="000B5393" w:rsidP="00296EB3">
      <w:pPr>
        <w:spacing w:line="240" w:lineRule="auto"/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  <w:r w:rsidRPr="00CD352D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lastRenderedPageBreak/>
        <w:t>Wpływ</w:t>
      </w:r>
      <w:r w:rsidR="00A07F00" w:rsidRPr="00CD352D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 xml:space="preserve"> zmian cen na wskaźnik</w:t>
      </w:r>
      <w:r w:rsidR="00B97152" w:rsidRPr="00CD352D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 xml:space="preserve"> cen</w:t>
      </w:r>
      <w:r w:rsidR="00A07F00" w:rsidRPr="00CD352D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 xml:space="preserve"> towarów i usług konsumpcyjnych ogółem</w:t>
      </w:r>
    </w:p>
    <w:p w:rsidR="00A07F00" w:rsidRPr="00876337" w:rsidRDefault="00A07F00" w:rsidP="00285768">
      <w:pPr>
        <w:rPr>
          <w:highlight w:val="yellow"/>
        </w:rPr>
      </w:pPr>
      <w:r w:rsidRPr="00A82477">
        <w:t>W</w:t>
      </w:r>
      <w:r w:rsidR="00CE2545">
        <w:t xml:space="preserve">e wrześniu </w:t>
      </w:r>
      <w:r w:rsidRPr="00A82477">
        <w:t xml:space="preserve">br. w porównaniu z poprzednim miesiącem największy wpływ na wskaźnik cen </w:t>
      </w:r>
      <w:r w:rsidR="00917CCF" w:rsidRPr="00A82477">
        <w:br/>
      </w:r>
      <w:r w:rsidRPr="00A82477">
        <w:t xml:space="preserve">towarów i usług konsumpcyjnych ogółem miały </w:t>
      </w:r>
      <w:r w:rsidR="00501254" w:rsidRPr="00A82477">
        <w:t>wyższe</w:t>
      </w:r>
      <w:r w:rsidRPr="00A82477">
        <w:t xml:space="preserve"> ceny </w:t>
      </w:r>
      <w:r w:rsidR="009F66BC">
        <w:t xml:space="preserve">odzieży i obuwia </w:t>
      </w:r>
      <w:r w:rsidR="00FA0677">
        <w:t>(o </w:t>
      </w:r>
      <w:r w:rsidR="009F66BC">
        <w:t>2,6</w:t>
      </w:r>
      <w:r w:rsidR="006920EA">
        <w:t>%)</w:t>
      </w:r>
      <w:r w:rsidR="00E517CA">
        <w:t xml:space="preserve"> oraz w zakresie</w:t>
      </w:r>
      <w:r w:rsidR="00BB6447" w:rsidRPr="00A82477">
        <w:t xml:space="preserve"> </w:t>
      </w:r>
      <w:r w:rsidR="000522BA">
        <w:t>mieszkania (</w:t>
      </w:r>
      <w:r w:rsidR="000522BA" w:rsidRPr="009F66BC">
        <w:t xml:space="preserve">o </w:t>
      </w:r>
      <w:r w:rsidR="009F66BC" w:rsidRPr="009F66BC">
        <w:t>0,4</w:t>
      </w:r>
      <w:r w:rsidR="000522BA" w:rsidRPr="009F66BC">
        <w:t>%)</w:t>
      </w:r>
      <w:r w:rsidR="009F66BC">
        <w:t xml:space="preserve"> i łączności (o 1,3%)</w:t>
      </w:r>
      <w:r w:rsidR="00D636A8">
        <w:t>,</w:t>
      </w:r>
      <w:r w:rsidR="00B611C1" w:rsidRPr="00A82477">
        <w:t xml:space="preserve"> </w:t>
      </w:r>
      <w:r w:rsidRPr="00A82477">
        <w:t xml:space="preserve">które </w:t>
      </w:r>
      <w:r w:rsidR="00B611C1" w:rsidRPr="00A82477">
        <w:t>podwyższyły wskaźnik odpowi</w:t>
      </w:r>
      <w:r w:rsidR="00ED02EA">
        <w:t>ednio o 0,12</w:t>
      </w:r>
      <w:r w:rsidR="00DE64C5" w:rsidRPr="00A82477">
        <w:t xml:space="preserve"> p. proc</w:t>
      </w:r>
      <w:r w:rsidR="00061DB5">
        <w:t xml:space="preserve">, </w:t>
      </w:r>
      <w:r w:rsidR="009F66BC" w:rsidRPr="009F66BC">
        <w:t>0,09</w:t>
      </w:r>
      <w:r w:rsidR="00061DB5" w:rsidRPr="009F66BC">
        <w:t xml:space="preserve"> p. proc</w:t>
      </w:r>
      <w:r w:rsidR="00061DB5">
        <w:t>. i</w:t>
      </w:r>
      <w:r w:rsidR="00B611C1" w:rsidRPr="00A82477">
        <w:t xml:space="preserve"> </w:t>
      </w:r>
      <w:r w:rsidR="000522BA">
        <w:t xml:space="preserve">0,06 p. proc. </w:t>
      </w:r>
      <w:r w:rsidR="00501254" w:rsidRPr="00A82477">
        <w:t>Niższe</w:t>
      </w:r>
      <w:r w:rsidRPr="00A82477">
        <w:t xml:space="preserve"> ceny </w:t>
      </w:r>
      <w:r w:rsidR="000522BA">
        <w:t xml:space="preserve">żywności (o </w:t>
      </w:r>
      <w:r w:rsidR="009F66BC">
        <w:t>0,4</w:t>
      </w:r>
      <w:r w:rsidR="000522BA">
        <w:t xml:space="preserve">%) </w:t>
      </w:r>
      <w:r w:rsidR="009F66BC">
        <w:t>oraz w zakresie transportu</w:t>
      </w:r>
      <w:r w:rsidR="00B611C1" w:rsidRPr="00A82477">
        <w:t xml:space="preserve"> </w:t>
      </w:r>
      <w:r w:rsidR="00486EE6" w:rsidRPr="00A82477">
        <w:t xml:space="preserve">(o </w:t>
      </w:r>
      <w:r w:rsidR="000522BA">
        <w:t>0</w:t>
      </w:r>
      <w:r w:rsidR="0091008E">
        <w:t>,2</w:t>
      </w:r>
      <w:r w:rsidR="00486EE6" w:rsidRPr="00A82477">
        <w:t xml:space="preserve">%) </w:t>
      </w:r>
      <w:r w:rsidR="00501254" w:rsidRPr="00A82477">
        <w:t>obniżyły</w:t>
      </w:r>
      <w:r w:rsidRPr="00A82477">
        <w:t xml:space="preserve"> ten wskaźnik</w:t>
      </w:r>
      <w:r w:rsidR="000522BA">
        <w:t xml:space="preserve"> odpowiednio</w:t>
      </w:r>
      <w:r w:rsidRPr="00A82477">
        <w:t xml:space="preserve"> </w:t>
      </w:r>
      <w:r w:rsidR="00ED02EA">
        <w:t>o 0,10</w:t>
      </w:r>
      <w:r w:rsidR="00287261">
        <w:t> </w:t>
      </w:r>
      <w:r w:rsidR="00B611C1" w:rsidRPr="00A82477">
        <w:t>p. proc.</w:t>
      </w:r>
      <w:r w:rsidR="009F66BC">
        <w:t xml:space="preserve"> i 0,02</w:t>
      </w:r>
      <w:r w:rsidR="000522BA">
        <w:t xml:space="preserve"> p.</w:t>
      </w:r>
      <w:r w:rsidR="005B06A5">
        <w:t xml:space="preserve"> </w:t>
      </w:r>
      <w:r w:rsidR="000522BA">
        <w:t>proc.</w:t>
      </w:r>
      <w:r w:rsidR="00917CCF" w:rsidRPr="00876337">
        <w:rPr>
          <w:b/>
          <w:highlight w:val="yellow"/>
        </w:rPr>
        <w:br/>
      </w:r>
      <w:r w:rsidRPr="00CC6180">
        <w:t xml:space="preserve">W porównaniu z miesiącem analogicznym poprzedniego roku wyższe ceny </w:t>
      </w:r>
      <w:r w:rsidR="008473E0" w:rsidRPr="00CC6180">
        <w:t xml:space="preserve">w zakresie </w:t>
      </w:r>
      <w:r w:rsidR="00F8407A">
        <w:t>mieszkania</w:t>
      </w:r>
      <w:r w:rsidR="005762F6" w:rsidRPr="00CC6180">
        <w:t xml:space="preserve"> </w:t>
      </w:r>
      <w:r w:rsidRPr="00CC6180">
        <w:t>(o </w:t>
      </w:r>
      <w:r w:rsidR="00F8407A">
        <w:t>5,9</w:t>
      </w:r>
      <w:r w:rsidR="00674A8B" w:rsidRPr="00CC6180">
        <w:t>%)</w:t>
      </w:r>
      <w:r w:rsidR="00EC2274" w:rsidRPr="00CC6180">
        <w:t xml:space="preserve">, </w:t>
      </w:r>
      <w:r w:rsidR="00F8407A">
        <w:t xml:space="preserve">żywności </w:t>
      </w:r>
      <w:r w:rsidRPr="00CC6180">
        <w:t>(o</w:t>
      </w:r>
      <w:r w:rsidR="009F66BC">
        <w:t xml:space="preserve"> 2,9</w:t>
      </w:r>
      <w:r w:rsidR="0094622C" w:rsidRPr="00CC6180">
        <w:t>%)</w:t>
      </w:r>
      <w:r w:rsidR="00497A02">
        <w:t xml:space="preserve"> oraz</w:t>
      </w:r>
      <w:r w:rsidR="0094622C" w:rsidRPr="00CC6180">
        <w:t xml:space="preserve"> restauracji i hoteli </w:t>
      </w:r>
      <w:r w:rsidR="009F66BC">
        <w:t>(o 5,3</w:t>
      </w:r>
      <w:r w:rsidR="00310F90">
        <w:t xml:space="preserve">%) </w:t>
      </w:r>
      <w:r w:rsidRPr="00CC6180">
        <w:t>pod</w:t>
      </w:r>
      <w:r w:rsidRPr="00CC6180">
        <w:softHyphen/>
      </w:r>
      <w:r w:rsidR="00D401C9" w:rsidRPr="00CC6180">
        <w:t>wyższyły</w:t>
      </w:r>
      <w:r w:rsidRPr="00CC6180">
        <w:t xml:space="preserve"> wskaźnik </w:t>
      </w:r>
      <w:r w:rsidR="00E82C7E" w:rsidRPr="00CC6180">
        <w:t>cen towarów i </w:t>
      </w:r>
      <w:r w:rsidR="00D401C9" w:rsidRPr="00CC6180">
        <w:t xml:space="preserve">usług konsumpcyjnych </w:t>
      </w:r>
      <w:r w:rsidRPr="00CC6180">
        <w:t>odpowiednio o </w:t>
      </w:r>
      <w:r w:rsidR="005B06A5">
        <w:t>1,43</w:t>
      </w:r>
      <w:r w:rsidRPr="00CC6180">
        <w:t xml:space="preserve"> p. proc.</w:t>
      </w:r>
      <w:r w:rsidR="009F66BC">
        <w:t>, 0</w:t>
      </w:r>
      <w:r w:rsidR="009D1423" w:rsidRPr="00CC6180">
        <w:t>,</w:t>
      </w:r>
      <w:r w:rsidR="009F66BC">
        <w:t>67</w:t>
      </w:r>
      <w:r w:rsidR="00FA0677">
        <w:t> </w:t>
      </w:r>
      <w:r w:rsidR="009D1423" w:rsidRPr="00CC6180">
        <w:t>p. proc.</w:t>
      </w:r>
      <w:r w:rsidR="00497A02">
        <w:t xml:space="preserve"> i</w:t>
      </w:r>
      <w:r w:rsidR="005B06A5">
        <w:t xml:space="preserve"> 0,3</w:t>
      </w:r>
      <w:r w:rsidR="009F66BC">
        <w:t>3</w:t>
      </w:r>
      <w:r w:rsidR="00497A02">
        <w:t xml:space="preserve"> p. proc</w:t>
      </w:r>
      <w:r w:rsidRPr="00497A02">
        <w:t>.</w:t>
      </w:r>
      <w:r w:rsidRPr="00CC6180">
        <w:t xml:space="preserve"> </w:t>
      </w:r>
      <w:r w:rsidR="005F71F7">
        <w:br/>
      </w:r>
      <w:r w:rsidRPr="00CC6180">
        <w:t xml:space="preserve">Niższe ceny </w:t>
      </w:r>
      <w:r w:rsidR="00280D7C" w:rsidRPr="00CC6180">
        <w:t xml:space="preserve">w zakresie </w:t>
      </w:r>
      <w:r w:rsidR="005B06A5">
        <w:t xml:space="preserve">transportu </w:t>
      </w:r>
      <w:r w:rsidR="009F66BC">
        <w:t>(o 4</w:t>
      </w:r>
      <w:r w:rsidR="003405A4">
        <w:t>,</w:t>
      </w:r>
      <w:r w:rsidR="009F66BC">
        <w:t>9</w:t>
      </w:r>
      <w:r w:rsidR="003405A4">
        <w:t>%)</w:t>
      </w:r>
      <w:r w:rsidR="009F66BC">
        <w:t xml:space="preserve"> oraz odzieży i obuwia (o 2,0%)</w:t>
      </w:r>
      <w:r w:rsidR="00674A8B" w:rsidRPr="00CC6180">
        <w:t xml:space="preserve"> </w:t>
      </w:r>
      <w:r w:rsidRPr="00CC6180">
        <w:t xml:space="preserve">obniżyły </w:t>
      </w:r>
      <w:r w:rsidR="00D401C9" w:rsidRPr="00CC6180">
        <w:t xml:space="preserve">ten </w:t>
      </w:r>
      <w:r w:rsidRPr="00CC6180">
        <w:t xml:space="preserve">wskaźnik </w:t>
      </w:r>
      <w:r w:rsidR="006534BE">
        <w:t xml:space="preserve">odpowiednio </w:t>
      </w:r>
      <w:r w:rsidR="009F66BC">
        <w:t>o 0,48</w:t>
      </w:r>
      <w:r w:rsidR="00CC6180" w:rsidRPr="00CC6180">
        <w:t xml:space="preserve"> p. proc</w:t>
      </w:r>
      <w:r w:rsidR="009F66BC">
        <w:t>. i 0,10 p. proc.</w:t>
      </w:r>
    </w:p>
    <w:p w:rsidR="00A07F00" w:rsidRPr="00876337" w:rsidRDefault="00A07F00" w:rsidP="00C27D75">
      <w:pPr>
        <w:rPr>
          <w:highlight w:val="yellow"/>
        </w:rPr>
      </w:pPr>
    </w:p>
    <w:p w:rsidR="00A07F00" w:rsidRDefault="00D07D16" w:rsidP="00B617A5">
      <w:pPr>
        <w:pStyle w:val="tytuwykresu"/>
        <w:ind w:left="794" w:hanging="794"/>
        <w:rPr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773952" behindDoc="0" locked="0" layoutInCell="1" allowOverlap="1" wp14:anchorId="6E180758" wp14:editId="2ADEA7FE">
            <wp:simplePos x="0" y="0"/>
            <wp:positionH relativeFrom="column">
              <wp:posOffset>3175</wp:posOffset>
            </wp:positionH>
            <wp:positionV relativeFrom="paragraph">
              <wp:posOffset>398145</wp:posOffset>
            </wp:positionV>
            <wp:extent cx="5122545" cy="2407285"/>
            <wp:effectExtent l="0" t="0" r="0" b="0"/>
            <wp:wrapSquare wrapText="bothSides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F00" w:rsidRPr="009056A6">
        <w:t xml:space="preserve">Wykres </w:t>
      </w:r>
      <w:r w:rsidR="00761070" w:rsidRPr="009056A6">
        <w:t>1</w:t>
      </w:r>
      <w:r w:rsidR="00A07F00" w:rsidRPr="009056A6">
        <w:t>.</w:t>
      </w:r>
      <w:r w:rsidR="00A07F00" w:rsidRPr="009056A6">
        <w:rPr>
          <w:shd w:val="clear" w:color="auto" w:fill="FFFFFF"/>
        </w:rPr>
        <w:t xml:space="preserve"> Wpływ zmian cen wybranych grup towarów i usług konsumpcyjnych w</w:t>
      </w:r>
      <w:r w:rsidR="00395E87">
        <w:rPr>
          <w:shd w:val="clear" w:color="auto" w:fill="FFFFFF"/>
        </w:rPr>
        <w:t>e wrześniu</w:t>
      </w:r>
      <w:r w:rsidR="0064773F" w:rsidRPr="009056A6">
        <w:rPr>
          <w:shd w:val="clear" w:color="auto" w:fill="FFFFFF"/>
        </w:rPr>
        <w:t xml:space="preserve"> 2020</w:t>
      </w:r>
      <w:r w:rsidR="00287261">
        <w:rPr>
          <w:shd w:val="clear" w:color="auto" w:fill="FFFFFF"/>
        </w:rPr>
        <w:t xml:space="preserve"> </w:t>
      </w:r>
      <w:r w:rsidR="00A07F00" w:rsidRPr="009056A6">
        <w:rPr>
          <w:shd w:val="clear" w:color="auto" w:fill="FFFFFF"/>
        </w:rPr>
        <w:t>r.</w:t>
      </w:r>
      <w:r w:rsidR="0051646A" w:rsidRPr="009056A6">
        <w:rPr>
          <w:noProof/>
          <w:shd w:val="clear" w:color="auto" w:fill="FFFFFF"/>
          <w:lang w:eastAsia="pl-PL"/>
        </w:rPr>
        <w:br/>
        <w:t>(z</w:t>
      </w:r>
      <w:r w:rsidR="0051646A" w:rsidRPr="009056A6">
        <w:rPr>
          <w:shd w:val="clear" w:color="auto" w:fill="FFFFFF"/>
        </w:rPr>
        <w:t>miana w p. proc. do okresu poprzedniego)</w:t>
      </w:r>
    </w:p>
    <w:p w:rsidR="00F60B5D" w:rsidRDefault="00F60B5D" w:rsidP="00B617A5">
      <w:pPr>
        <w:pStyle w:val="tytuwykresu"/>
        <w:ind w:left="794" w:hanging="794"/>
        <w:rPr>
          <w:highlight w:val="yellow"/>
          <w:shd w:val="clear" w:color="auto" w:fill="FFFFFF"/>
        </w:rPr>
      </w:pPr>
    </w:p>
    <w:p w:rsidR="00DB20BC" w:rsidRDefault="005F4399" w:rsidP="00B617A5">
      <w:pPr>
        <w:spacing w:before="0" w:after="160" w:line="259" w:lineRule="auto"/>
        <w:ind w:left="794" w:hanging="794"/>
        <w:rPr>
          <w:b/>
          <w:spacing w:val="-2"/>
          <w:sz w:val="18"/>
        </w:rPr>
      </w:pPr>
      <w:r w:rsidRPr="00927AD2">
        <w:rPr>
          <w:b/>
          <w:spacing w:val="-2"/>
          <w:sz w:val="18"/>
        </w:rPr>
        <w:t xml:space="preserve">Wykres 2. System wag stosowany w obliczeniach wskaźników cen towarów i usług </w:t>
      </w:r>
      <w:r w:rsidR="00B617A5">
        <w:rPr>
          <w:b/>
          <w:spacing w:val="-2"/>
          <w:sz w:val="18"/>
        </w:rPr>
        <w:br/>
      </w:r>
      <w:r w:rsidR="00F570CA">
        <w:rPr>
          <w:b/>
          <w:spacing w:val="-2"/>
          <w:sz w:val="18"/>
        </w:rPr>
        <w:t>konsumpcyjnych w 2020</w:t>
      </w:r>
      <w:r w:rsidRPr="00927AD2">
        <w:rPr>
          <w:b/>
          <w:spacing w:val="-2"/>
          <w:sz w:val="18"/>
        </w:rPr>
        <w:t xml:space="preserve"> r.</w:t>
      </w:r>
    </w:p>
    <w:p w:rsidR="00C73B5E" w:rsidRPr="00876337" w:rsidRDefault="00DB20BC" w:rsidP="00B617A5">
      <w:pPr>
        <w:spacing w:before="0" w:after="160" w:line="259" w:lineRule="auto"/>
        <w:ind w:left="794" w:hanging="794"/>
        <w:rPr>
          <w:b/>
          <w:spacing w:val="-2"/>
          <w:sz w:val="18"/>
          <w:highlight w:val="yellow"/>
        </w:rPr>
      </w:pPr>
      <w:r w:rsidRPr="00AE751C">
        <w:rPr>
          <w:noProof/>
          <w:lang w:eastAsia="pl-PL"/>
        </w:rPr>
        <w:drawing>
          <wp:inline distT="0" distB="0" distL="0" distR="0" wp14:anchorId="3ADF79D7" wp14:editId="2A51FA49">
            <wp:extent cx="5122545" cy="3599815"/>
            <wp:effectExtent l="0" t="0" r="0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C73B5E" w:rsidRPr="00876337">
        <w:rPr>
          <w:highlight w:val="yellow"/>
        </w:rPr>
        <w:br w:type="page"/>
      </w:r>
    </w:p>
    <w:p w:rsidR="003A440F" w:rsidRPr="00CD352D" w:rsidRDefault="009A08F7" w:rsidP="00C27D75">
      <w:pPr>
        <w:pStyle w:val="tytuwykresu"/>
        <w:rPr>
          <w:b w:val="0"/>
          <w:noProof/>
          <w:shd w:val="clear" w:color="auto" w:fill="FFFFFF"/>
          <w:lang w:eastAsia="pl-PL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 wp14:anchorId="25FB7972" wp14:editId="3B6EC35C">
            <wp:simplePos x="0" y="0"/>
            <wp:positionH relativeFrom="column">
              <wp:posOffset>0</wp:posOffset>
            </wp:positionH>
            <wp:positionV relativeFrom="paragraph">
              <wp:posOffset>300893</wp:posOffset>
            </wp:positionV>
            <wp:extent cx="5112000" cy="2527200"/>
            <wp:effectExtent l="0" t="0" r="0" b="6985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40F" w:rsidRPr="008A4C58">
        <w:t xml:space="preserve">Wykres </w:t>
      </w:r>
      <w:r w:rsidR="00CF08EF" w:rsidRPr="008A4C58">
        <w:t>3</w:t>
      </w:r>
      <w:r w:rsidR="003A440F" w:rsidRPr="008A4C58">
        <w:t>.</w:t>
      </w:r>
      <w:r w:rsidR="003A440F" w:rsidRPr="008A4C58">
        <w:rPr>
          <w:shd w:val="clear" w:color="auto" w:fill="FFFFFF"/>
        </w:rPr>
        <w:t xml:space="preserve"> C</w:t>
      </w:r>
      <w:r w:rsidR="003A440F" w:rsidRPr="008A4C58">
        <w:rPr>
          <w:bCs/>
          <w:shd w:val="clear" w:color="auto" w:fill="FFFFFF"/>
        </w:rPr>
        <w:t xml:space="preserve">eny towarów i usług konsumpcyjnych </w:t>
      </w:r>
      <w:r w:rsidR="003A440F" w:rsidRPr="008A4C58">
        <w:rPr>
          <w:shd w:val="clear" w:color="auto" w:fill="FFFFFF"/>
        </w:rPr>
        <w:t>(zmiana w % do okresu poprzedniego)</w:t>
      </w:r>
      <w:r w:rsidR="003A440F" w:rsidRPr="00CD352D">
        <w:rPr>
          <w:b w:val="0"/>
          <w:noProof/>
          <w:shd w:val="clear" w:color="auto" w:fill="FFFFFF"/>
          <w:lang w:eastAsia="pl-PL"/>
        </w:rPr>
        <w:t xml:space="preserve"> </w:t>
      </w:r>
    </w:p>
    <w:p w:rsidR="00DA0243" w:rsidRPr="00876337" w:rsidRDefault="00DA0243" w:rsidP="0026302B">
      <w:pPr>
        <w:pStyle w:val="LID"/>
        <w:rPr>
          <w:b w:val="0"/>
          <w:spacing w:val="-2"/>
          <w:sz w:val="18"/>
          <w:highlight w:val="yellow"/>
        </w:rPr>
      </w:pPr>
    </w:p>
    <w:p w:rsidR="00034160" w:rsidRPr="009B6D11" w:rsidRDefault="009A6451" w:rsidP="000609C1">
      <w:pPr>
        <w:pStyle w:val="tytuwykresu"/>
        <w:ind w:left="822" w:hanging="822"/>
        <w:rPr>
          <w:shd w:val="clear" w:color="auto" w:fill="FFFFFF"/>
        </w:rPr>
      </w:pPr>
      <w:r>
        <w:rPr>
          <w:noProof/>
          <w:lang w:val="en-GB" w:eastAsia="en-GB"/>
        </w:rPr>
        <w:pict w14:anchorId="04BB03F5">
          <v:shape id="Text Box 25" o:spid="_x0000_s1029" type="#_x0000_t202" style="position:absolute;left:0;text-align:left;margin-left:414.75pt;margin-top:315.75pt;width:135.85pt;height:114.2pt;z-index:-251566080;visibility:visible;mso-wrap-distance-top:3.6pt;mso-wrap-distance-bottom:3.6pt;mso-position-vertical-relative:pag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" filled="f" stroked="f">
            <v:textbox>
              <w:txbxContent>
                <w:p w:rsidR="00712AE9" w:rsidRPr="00BF2F65" w:rsidRDefault="00712AE9" w:rsidP="00FB2D00">
                  <w:pPr>
                    <w:pStyle w:val="Tekstprzypisudolnego"/>
                    <w:spacing w:line="240" w:lineRule="exact"/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We wrześniu 2020</w:t>
                  </w:r>
                  <w:r w:rsidRPr="003D67C8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 r.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wskaźnik cen towarów i usług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br/>
                    <w:t>konsumpcyjnych znajdował się w </w:t>
                  </w:r>
                  <w:r w:rsidRPr="009B76FA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granicach odch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yleń od celu inflacyjnego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br/>
                    <w:t xml:space="preserve">określonego przez Radę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br/>
                    <w:t xml:space="preserve">Polityki Pieniężnej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br/>
                    <w:t>(2,5% +/- 1 p. proc.)</w:t>
                  </w:r>
                </w:p>
              </w:txbxContent>
            </v:textbox>
            <w10:wrap type="tight" anchory="page"/>
          </v:shape>
        </w:pict>
      </w:r>
      <w:r w:rsidR="00034160" w:rsidRPr="009B6D11">
        <w:t xml:space="preserve">Wykres </w:t>
      </w:r>
      <w:r w:rsidR="00CF08EF" w:rsidRPr="009B6D11">
        <w:t>4</w:t>
      </w:r>
      <w:r w:rsidR="00034160" w:rsidRPr="009B6D11">
        <w:t>.</w:t>
      </w:r>
      <w:r w:rsidR="00034160" w:rsidRPr="009B6D11">
        <w:rPr>
          <w:shd w:val="clear" w:color="auto" w:fill="FFFFFF"/>
        </w:rPr>
        <w:t xml:space="preserve"> C</w:t>
      </w:r>
      <w:r w:rsidR="00034160" w:rsidRPr="009B6D11">
        <w:rPr>
          <w:bCs/>
          <w:shd w:val="clear" w:color="auto" w:fill="FFFFFF"/>
        </w:rPr>
        <w:t xml:space="preserve">eny towarów i usług konsumpcyjnych </w:t>
      </w:r>
      <w:r w:rsidR="00034160" w:rsidRPr="009B6D11">
        <w:rPr>
          <w:shd w:val="clear" w:color="auto" w:fill="FFFFFF"/>
        </w:rPr>
        <w:t>(zmiana w % do analogicznego okresu roku poprzedniego)</w:t>
      </w:r>
    </w:p>
    <w:p w:rsidR="00034160" w:rsidRPr="00876337" w:rsidRDefault="00C4216E" w:rsidP="00740107">
      <w:pPr>
        <w:spacing w:before="0" w:line="259" w:lineRule="auto"/>
        <w:rPr>
          <w:sz w:val="18"/>
          <w:highlight w:val="yellow"/>
        </w:rPr>
      </w:pPr>
      <w:r>
        <w:rPr>
          <w:noProof/>
          <w:lang w:eastAsia="pl-PL"/>
        </w:rPr>
        <w:drawing>
          <wp:inline distT="0" distB="0" distL="0" distR="0" wp14:anchorId="23497C10" wp14:editId="55292AE8">
            <wp:extent cx="5122545" cy="2591435"/>
            <wp:effectExtent l="0" t="0" r="0" b="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57AF4" w:rsidRDefault="00E57AF4" w:rsidP="000609C1">
      <w:pPr>
        <w:pStyle w:val="tytuwykresu"/>
        <w:ind w:left="822" w:hanging="822"/>
      </w:pPr>
    </w:p>
    <w:p w:rsidR="001E7DBB" w:rsidRPr="00CD352D" w:rsidRDefault="00883763" w:rsidP="000609C1">
      <w:pPr>
        <w:pStyle w:val="tytuwykresu"/>
        <w:ind w:left="822" w:hanging="822"/>
        <w:rPr>
          <w:bCs/>
          <w:shd w:val="clear" w:color="auto" w:fill="FFFFFF"/>
        </w:rPr>
      </w:pPr>
      <w:r w:rsidRPr="00EB4822">
        <w:t xml:space="preserve">Wykres </w:t>
      </w:r>
      <w:r w:rsidR="00CF08EF" w:rsidRPr="00EB4822">
        <w:t>5</w:t>
      </w:r>
      <w:r w:rsidRPr="00EB4822">
        <w:t>.</w:t>
      </w:r>
      <w:r w:rsidRPr="00EB4822">
        <w:rPr>
          <w:shd w:val="clear" w:color="auto" w:fill="FFFFFF"/>
        </w:rPr>
        <w:t xml:space="preserve"> </w:t>
      </w:r>
      <w:r w:rsidR="00761070" w:rsidRPr="00EB4822">
        <w:rPr>
          <w:bCs/>
          <w:shd w:val="clear" w:color="auto" w:fill="FFFFFF"/>
        </w:rPr>
        <w:t xml:space="preserve">Wskaźnik cen towarów i usług konsumpcyjnych (CPI) oraz </w:t>
      </w:r>
      <w:r w:rsidR="001E7DBB" w:rsidRPr="00EB4822">
        <w:rPr>
          <w:bCs/>
          <w:shd w:val="clear" w:color="auto" w:fill="FFFFFF"/>
        </w:rPr>
        <w:t>z</w:t>
      </w:r>
      <w:r w:rsidR="00761070" w:rsidRPr="00EB4822">
        <w:rPr>
          <w:bCs/>
          <w:shd w:val="clear" w:color="auto" w:fill="FFFFFF"/>
        </w:rPr>
        <w:t xml:space="preserve">harmonizowany </w:t>
      </w:r>
      <w:r w:rsidR="001E7DBB" w:rsidRPr="00EB4822">
        <w:rPr>
          <w:bCs/>
          <w:shd w:val="clear" w:color="auto" w:fill="FFFFFF"/>
        </w:rPr>
        <w:t xml:space="preserve">wskaźnik </w:t>
      </w:r>
      <w:r w:rsidR="00511F19" w:rsidRPr="00EB4822">
        <w:rPr>
          <w:bCs/>
          <w:shd w:val="clear" w:color="auto" w:fill="FFFFFF"/>
        </w:rPr>
        <w:br/>
      </w:r>
      <w:r w:rsidR="001E7DBB" w:rsidRPr="00EB4822">
        <w:rPr>
          <w:bCs/>
          <w:shd w:val="clear" w:color="auto" w:fill="FFFFFF"/>
        </w:rPr>
        <w:t xml:space="preserve">cen konsumpcyjnych (HICP) </w:t>
      </w:r>
      <w:r w:rsidR="001E7DBB" w:rsidRPr="00EB4822">
        <w:rPr>
          <w:shd w:val="clear" w:color="auto" w:fill="FFFFFF"/>
        </w:rPr>
        <w:t>(zmiana w % do analogicznego okresu roku poprzedniego)</w:t>
      </w:r>
    </w:p>
    <w:p w:rsidR="00820461" w:rsidRPr="00876337" w:rsidRDefault="00743B8C">
      <w:pPr>
        <w:spacing w:before="0" w:after="160" w:line="259" w:lineRule="auto"/>
        <w:rPr>
          <w:b/>
          <w:noProof/>
          <w:sz w:val="18"/>
          <w:szCs w:val="19"/>
          <w:highlight w:val="yellow"/>
          <w:lang w:eastAsia="pl-PL"/>
        </w:rPr>
      </w:pPr>
      <w:r>
        <w:rPr>
          <w:noProof/>
          <w:lang w:eastAsia="pl-PL"/>
        </w:rPr>
        <w:drawing>
          <wp:inline distT="0" distB="0" distL="0" distR="0" wp14:anchorId="275FEFDB" wp14:editId="26817BC7">
            <wp:extent cx="5122545" cy="2562225"/>
            <wp:effectExtent l="0" t="0" r="0" b="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0A0FD3" w:rsidRPr="00876337">
        <w:rPr>
          <w:sz w:val="18"/>
          <w:highlight w:val="yellow"/>
        </w:rPr>
        <w:t xml:space="preserve"> </w:t>
      </w:r>
      <w:r w:rsidR="00820461" w:rsidRPr="00876337">
        <w:rPr>
          <w:sz w:val="18"/>
          <w:highlight w:val="yellow"/>
        </w:rPr>
        <w:br w:type="page"/>
      </w:r>
    </w:p>
    <w:p w:rsidR="00516A50" w:rsidRPr="00CD352D" w:rsidRDefault="00516A50" w:rsidP="00516A50">
      <w:pPr>
        <w:pStyle w:val="LID"/>
        <w:rPr>
          <w:bCs/>
          <w:sz w:val="18"/>
          <w:shd w:val="clear" w:color="auto" w:fill="FFFFFF"/>
        </w:rPr>
      </w:pPr>
      <w:r w:rsidRPr="00DB20BC">
        <w:rPr>
          <w:sz w:val="18"/>
        </w:rPr>
        <w:lastRenderedPageBreak/>
        <w:t xml:space="preserve">Tablica </w:t>
      </w:r>
      <w:r w:rsidR="00CF08EF" w:rsidRPr="00DB20BC">
        <w:rPr>
          <w:sz w:val="18"/>
        </w:rPr>
        <w:t>2</w:t>
      </w:r>
      <w:r w:rsidRPr="00DB20BC">
        <w:rPr>
          <w:sz w:val="18"/>
        </w:rPr>
        <w:t>.</w:t>
      </w:r>
      <w:r w:rsidRPr="00DB20BC">
        <w:rPr>
          <w:sz w:val="18"/>
          <w:shd w:val="clear" w:color="auto" w:fill="FFFFFF"/>
        </w:rPr>
        <w:t xml:space="preserve"> </w:t>
      </w:r>
      <w:r w:rsidRPr="00DB20BC">
        <w:rPr>
          <w:bCs/>
          <w:sz w:val="18"/>
          <w:shd w:val="clear" w:color="auto" w:fill="FFFFFF"/>
        </w:rPr>
        <w:t>Wskaźniki cen towarów i usług konsumpcyjnych w</w:t>
      </w:r>
      <w:r w:rsidR="00395E87">
        <w:rPr>
          <w:bCs/>
          <w:sz w:val="18"/>
          <w:shd w:val="clear" w:color="auto" w:fill="FFFFFF"/>
        </w:rPr>
        <w:t>e</w:t>
      </w:r>
      <w:r w:rsidRPr="00DB20BC">
        <w:rPr>
          <w:bCs/>
          <w:sz w:val="18"/>
          <w:shd w:val="clear" w:color="auto" w:fill="FFFFFF"/>
        </w:rPr>
        <w:t xml:space="preserve"> </w:t>
      </w:r>
      <w:r w:rsidR="00395E87">
        <w:rPr>
          <w:bCs/>
          <w:sz w:val="18"/>
          <w:shd w:val="clear" w:color="auto" w:fill="FFFFFF"/>
        </w:rPr>
        <w:t>wrześniu</w:t>
      </w:r>
      <w:r w:rsidR="00C946D8" w:rsidRPr="00DB20BC">
        <w:rPr>
          <w:sz w:val="18"/>
        </w:rPr>
        <w:t xml:space="preserve"> 2020</w:t>
      </w:r>
      <w:r w:rsidRPr="00DB20BC">
        <w:rPr>
          <w:sz w:val="18"/>
        </w:rPr>
        <w:t> </w:t>
      </w:r>
      <w:r w:rsidRPr="00DB20BC">
        <w:rPr>
          <w:bCs/>
          <w:sz w:val="18"/>
          <w:shd w:val="clear" w:color="auto" w:fill="FFFFFF"/>
        </w:rPr>
        <w:t>r.</w:t>
      </w:r>
    </w:p>
    <w:p w:rsidR="009E3FA7" w:rsidRPr="00876337" w:rsidRDefault="009E3FA7" w:rsidP="00516A50">
      <w:pPr>
        <w:pStyle w:val="LID"/>
        <w:rPr>
          <w:bCs/>
          <w:sz w:val="18"/>
          <w:highlight w:val="yellow"/>
          <w:shd w:val="clear" w:color="auto" w:fill="FFFFFF"/>
        </w:rPr>
      </w:pPr>
    </w:p>
    <w:tbl>
      <w:tblPr>
        <w:tblW w:w="80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839"/>
        <w:gridCol w:w="865"/>
        <w:gridCol w:w="870"/>
        <w:gridCol w:w="867"/>
        <w:gridCol w:w="867"/>
        <w:gridCol w:w="937"/>
      </w:tblGrid>
      <w:tr w:rsidR="00F10D63" w:rsidRPr="009E77AF" w:rsidTr="004858EB">
        <w:trPr>
          <w:trHeight w:val="315"/>
          <w:tblHeader/>
        </w:trPr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F10D63" w:rsidRPr="00CD352D" w:rsidRDefault="00F10D63" w:rsidP="00A93892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CD352D">
              <w:rPr>
                <w:rFonts w:eastAsia="Times New Roman" w:cs="Arial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F10D63" w:rsidRPr="00CD352D" w:rsidRDefault="005875EB" w:rsidP="00A93892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CD352D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 w:rsidR="0023381A">
              <w:rPr>
                <w:rFonts w:eastAsia="Times New Roman" w:cs="Calibri"/>
                <w:sz w:val="16"/>
                <w:szCs w:val="16"/>
                <w:lang w:eastAsia="pl-PL"/>
              </w:rPr>
              <w:t>X</w:t>
            </w:r>
            <w:r w:rsidR="0024032F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2020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F10D63" w:rsidRPr="009E77AF" w:rsidRDefault="0024032F" w:rsidP="005875EB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9E77AF">
              <w:rPr>
                <w:rFonts w:eastAsia="Times New Roman" w:cs="Calibri"/>
                <w:sz w:val="16"/>
                <w:szCs w:val="16"/>
                <w:lang w:eastAsia="pl-PL"/>
              </w:rPr>
              <w:t>V</w:t>
            </w:r>
            <w:r w:rsidR="0023381A" w:rsidRPr="009E77AF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 w:rsidR="00D07D16" w:rsidRPr="009E77AF">
              <w:rPr>
                <w:rFonts w:eastAsia="Times New Roman" w:cs="Calibri"/>
                <w:sz w:val="16"/>
                <w:szCs w:val="16"/>
                <w:lang w:eastAsia="pl-PL"/>
              </w:rPr>
              <w:t>I-IX</w:t>
            </w:r>
            <w:r w:rsidRPr="009E77AF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2020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F10D63" w:rsidRPr="009E77AF" w:rsidRDefault="0023381A" w:rsidP="00A93892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9E77AF">
              <w:rPr>
                <w:rFonts w:eastAsia="Times New Roman" w:cs="Calibri"/>
                <w:sz w:val="16"/>
                <w:szCs w:val="16"/>
                <w:lang w:eastAsia="pl-PL"/>
              </w:rPr>
              <w:t>I-</w:t>
            </w:r>
            <w:r w:rsidR="005875EB" w:rsidRPr="009E77AF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 w:rsidRPr="009E77AF">
              <w:rPr>
                <w:rFonts w:eastAsia="Times New Roman" w:cs="Calibri"/>
                <w:sz w:val="16"/>
                <w:szCs w:val="16"/>
                <w:lang w:eastAsia="pl-PL"/>
              </w:rPr>
              <w:t>X</w:t>
            </w:r>
            <w:r w:rsidR="0024032F" w:rsidRPr="009E77AF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2020</w:t>
            </w:r>
          </w:p>
        </w:tc>
      </w:tr>
      <w:tr w:rsidR="005875EB" w:rsidRPr="009E77AF" w:rsidTr="004858EB">
        <w:trPr>
          <w:trHeight w:val="465"/>
          <w:tblHeader/>
        </w:trPr>
        <w:tc>
          <w:tcPr>
            <w:tcW w:w="2835" w:type="dxa"/>
            <w:vMerge/>
            <w:tcBorders>
              <w:top w:val="nil"/>
              <w:left w:val="nil"/>
              <w:bottom w:val="single" w:sz="12" w:space="0" w:color="212492"/>
              <w:right w:val="single" w:sz="8" w:space="0" w:color="212492"/>
            </w:tcBorders>
            <w:vAlign w:val="center"/>
            <w:hideMark/>
          </w:tcPr>
          <w:p w:rsidR="005875EB" w:rsidRPr="00CD352D" w:rsidRDefault="005875EB" w:rsidP="005875EB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5875EB" w:rsidRPr="00CD352D" w:rsidRDefault="0024032F" w:rsidP="005875EB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 w:rsidR="0023381A">
              <w:rPr>
                <w:rFonts w:eastAsia="Times New Roman" w:cs="Calibri"/>
                <w:sz w:val="16"/>
                <w:szCs w:val="16"/>
                <w:lang w:eastAsia="pl-PL"/>
              </w:rPr>
              <w:t>X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2019</w:t>
            </w:r>
            <w:r w:rsidR="005875EB" w:rsidRPr="00CD352D">
              <w:rPr>
                <w:rFonts w:eastAsia="Times New Roman" w:cs="Calibri"/>
                <w:sz w:val="16"/>
                <w:szCs w:val="16"/>
                <w:lang w:eastAsia="pl-PL"/>
              </w:rPr>
              <w:t>=</w:t>
            </w:r>
            <w:r w:rsidR="005875EB" w:rsidRPr="00CD352D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865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5875EB" w:rsidRPr="00CD352D" w:rsidRDefault="005875EB" w:rsidP="00CD352D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CD352D">
              <w:rPr>
                <w:rFonts w:eastAsia="Times New Roman" w:cs="Calibri"/>
                <w:sz w:val="16"/>
                <w:szCs w:val="16"/>
                <w:lang w:eastAsia="pl-PL"/>
              </w:rPr>
              <w:t>XII 201</w:t>
            </w:r>
            <w:r w:rsidR="0024032F">
              <w:rPr>
                <w:rFonts w:eastAsia="Times New Roman" w:cs="Calibri"/>
                <w:sz w:val="16"/>
                <w:szCs w:val="16"/>
                <w:lang w:eastAsia="pl-PL"/>
              </w:rPr>
              <w:t>9</w:t>
            </w:r>
            <w:r w:rsidRPr="00CD352D">
              <w:rPr>
                <w:rFonts w:eastAsia="Times New Roman" w:cs="Calibri"/>
                <w:sz w:val="16"/>
                <w:szCs w:val="16"/>
                <w:lang w:eastAsia="pl-PL"/>
              </w:rPr>
              <w:t>=</w:t>
            </w:r>
            <w:r w:rsidRPr="00CD352D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870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5875EB" w:rsidRPr="00CD352D" w:rsidRDefault="0024032F" w:rsidP="005875EB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V</w:t>
            </w:r>
            <w:r w:rsidR="0023381A">
              <w:rPr>
                <w:rFonts w:eastAsia="Times New Roman" w:cs="Calibri"/>
                <w:sz w:val="16"/>
                <w:szCs w:val="16"/>
                <w:lang w:eastAsia="pl-PL"/>
              </w:rPr>
              <w:t>III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2020</w:t>
            </w:r>
            <w:r w:rsidR="005875EB" w:rsidRPr="00CD352D">
              <w:rPr>
                <w:rFonts w:eastAsia="Times New Roman" w:cs="Calibri"/>
                <w:sz w:val="16"/>
                <w:szCs w:val="16"/>
                <w:lang w:eastAsia="pl-PL"/>
              </w:rPr>
              <w:t>=</w:t>
            </w:r>
            <w:r w:rsidR="005875EB" w:rsidRPr="00CD352D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12" w:space="0" w:color="212492"/>
              <w:right w:val="single" w:sz="8" w:space="0" w:color="212492"/>
            </w:tcBorders>
            <w:vAlign w:val="center"/>
          </w:tcPr>
          <w:p w:rsidR="00061DB5" w:rsidRPr="009E77AF" w:rsidRDefault="00061DB5" w:rsidP="00061DB5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9E77AF">
              <w:rPr>
                <w:rFonts w:eastAsia="Times New Roman" w:cs="Calibri"/>
                <w:sz w:val="16"/>
                <w:szCs w:val="16"/>
                <w:lang w:eastAsia="pl-PL"/>
              </w:rPr>
              <w:t>V</w:t>
            </w:r>
            <w:r w:rsidR="0023381A" w:rsidRPr="009E77AF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 w:rsidR="00D07D16" w:rsidRPr="009E77AF">
              <w:rPr>
                <w:rFonts w:eastAsia="Times New Roman" w:cs="Calibri"/>
                <w:sz w:val="16"/>
                <w:szCs w:val="16"/>
                <w:lang w:eastAsia="pl-PL"/>
              </w:rPr>
              <w:t>I-IX</w:t>
            </w:r>
          </w:p>
          <w:p w:rsidR="005875EB" w:rsidRPr="009E77AF" w:rsidRDefault="0024032F" w:rsidP="00061DB5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9E77AF">
              <w:rPr>
                <w:rFonts w:eastAsia="Times New Roman" w:cs="Calibri"/>
                <w:sz w:val="16"/>
                <w:szCs w:val="16"/>
                <w:lang w:eastAsia="pl-PL"/>
              </w:rPr>
              <w:t>2019</w:t>
            </w:r>
            <w:r w:rsidR="005875EB" w:rsidRPr="009E77AF">
              <w:rPr>
                <w:rFonts w:eastAsia="Times New Roman" w:cs="Calibri"/>
                <w:sz w:val="16"/>
                <w:szCs w:val="16"/>
                <w:lang w:eastAsia="pl-PL"/>
              </w:rPr>
              <w:t>=100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12" w:space="0" w:color="212492"/>
              <w:right w:val="single" w:sz="8" w:space="0" w:color="212492"/>
            </w:tcBorders>
            <w:vAlign w:val="center"/>
          </w:tcPr>
          <w:p w:rsidR="00061DB5" w:rsidRPr="009E77AF" w:rsidRDefault="00D07D16" w:rsidP="005875EB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9E77AF">
              <w:rPr>
                <w:rFonts w:eastAsia="Times New Roman" w:cs="Calibri"/>
                <w:sz w:val="16"/>
                <w:szCs w:val="16"/>
                <w:lang w:eastAsia="pl-PL"/>
              </w:rPr>
              <w:t>IV-</w:t>
            </w:r>
            <w:r w:rsidR="0023381A" w:rsidRPr="009E77AF">
              <w:rPr>
                <w:rFonts w:eastAsia="Times New Roman" w:cs="Calibri"/>
                <w:sz w:val="16"/>
                <w:szCs w:val="16"/>
                <w:lang w:eastAsia="pl-PL"/>
              </w:rPr>
              <w:t>V</w:t>
            </w:r>
            <w:r w:rsidRPr="009E77AF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</w:p>
          <w:p w:rsidR="005875EB" w:rsidRPr="009E77AF" w:rsidRDefault="0024032F" w:rsidP="005875EB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9E77AF">
              <w:rPr>
                <w:rFonts w:eastAsia="Times New Roman" w:cs="Calibri"/>
                <w:sz w:val="16"/>
                <w:szCs w:val="16"/>
                <w:lang w:eastAsia="pl-PL"/>
              </w:rPr>
              <w:t>2020</w:t>
            </w:r>
            <w:r w:rsidR="005875EB" w:rsidRPr="009E77AF">
              <w:rPr>
                <w:rFonts w:eastAsia="Times New Roman" w:cs="Calibri"/>
                <w:sz w:val="16"/>
                <w:szCs w:val="16"/>
                <w:lang w:eastAsia="pl-PL"/>
              </w:rPr>
              <w:t>=100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5875EB" w:rsidRPr="009E77AF" w:rsidRDefault="0023381A" w:rsidP="004009D2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9E77AF">
              <w:rPr>
                <w:rFonts w:eastAsia="Times New Roman" w:cs="Calibri"/>
                <w:sz w:val="16"/>
                <w:szCs w:val="16"/>
                <w:lang w:eastAsia="pl-PL"/>
              </w:rPr>
              <w:t>I-</w:t>
            </w:r>
            <w:r w:rsidR="00CD352D" w:rsidRPr="009E77AF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 w:rsidRPr="009E77AF">
              <w:rPr>
                <w:rFonts w:eastAsia="Times New Roman" w:cs="Calibri"/>
                <w:sz w:val="16"/>
                <w:szCs w:val="16"/>
                <w:lang w:eastAsia="pl-PL"/>
              </w:rPr>
              <w:t>X</w:t>
            </w:r>
            <w:r w:rsidR="00CD352D" w:rsidRPr="009E77AF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 w:rsidR="004009D2" w:rsidRPr="009E77AF">
              <w:rPr>
                <w:rFonts w:eastAsia="Times New Roman" w:cs="Calibri"/>
                <w:sz w:val="16"/>
                <w:szCs w:val="16"/>
                <w:lang w:eastAsia="pl-PL"/>
              </w:rPr>
              <w:br/>
            </w:r>
            <w:r w:rsidR="0024032F" w:rsidRPr="009E77AF">
              <w:rPr>
                <w:rFonts w:eastAsia="Times New Roman" w:cs="Calibri"/>
                <w:sz w:val="16"/>
                <w:szCs w:val="16"/>
                <w:lang w:eastAsia="pl-PL"/>
              </w:rPr>
              <w:t>2019</w:t>
            </w:r>
            <w:r w:rsidR="004009D2" w:rsidRPr="009E77AF">
              <w:rPr>
                <w:rFonts w:eastAsia="Times New Roman" w:cs="Calibri"/>
                <w:sz w:val="16"/>
                <w:szCs w:val="16"/>
                <w:lang w:eastAsia="pl-PL"/>
              </w:rPr>
              <w:t>=</w:t>
            </w:r>
            <w:r w:rsidR="005875EB" w:rsidRPr="009E77AF">
              <w:rPr>
                <w:rFonts w:eastAsia="Times New Roman" w:cs="Calibri"/>
                <w:sz w:val="16"/>
                <w:szCs w:val="16"/>
                <w:lang w:eastAsia="pl-PL"/>
              </w:rPr>
              <w:t>100</w:t>
            </w:r>
          </w:p>
        </w:tc>
      </w:tr>
      <w:tr w:rsidR="00392DAC" w:rsidRPr="009E77AF" w:rsidTr="00984F8C">
        <w:trPr>
          <w:trHeight w:val="397"/>
        </w:trPr>
        <w:tc>
          <w:tcPr>
            <w:tcW w:w="2835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E23CD2" w:rsidRDefault="00392DAC" w:rsidP="00392DAC">
            <w:pPr>
              <w:spacing w:before="0"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839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103,2</w:t>
            </w:r>
          </w:p>
        </w:tc>
        <w:tc>
          <w:tcPr>
            <w:tcW w:w="865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Default="00392DAC" w:rsidP="00392DAC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102,0</w:t>
            </w:r>
          </w:p>
        </w:tc>
        <w:tc>
          <w:tcPr>
            <w:tcW w:w="870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100,2</w:t>
            </w:r>
          </w:p>
        </w:tc>
        <w:tc>
          <w:tcPr>
            <w:tcW w:w="867" w:type="dxa"/>
            <w:tcBorders>
              <w:top w:val="single" w:sz="12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b/>
                <w:bCs/>
                <w:color w:val="000000"/>
                <w:sz w:val="16"/>
                <w:szCs w:val="16"/>
              </w:rPr>
              <w:t>103,0</w:t>
            </w:r>
          </w:p>
        </w:tc>
        <w:tc>
          <w:tcPr>
            <w:tcW w:w="867" w:type="dxa"/>
            <w:tcBorders>
              <w:top w:val="single" w:sz="12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b/>
                <w:bCs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937" w:type="dxa"/>
            <w:tcBorders>
              <w:top w:val="single" w:sz="12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b/>
                <w:bCs/>
                <w:color w:val="000000"/>
                <w:sz w:val="16"/>
                <w:szCs w:val="16"/>
              </w:rPr>
              <w:t>103,6</w:t>
            </w:r>
          </w:p>
        </w:tc>
      </w:tr>
      <w:tr w:rsidR="00392DAC" w:rsidRPr="009E77AF" w:rsidTr="004858EB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Towary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2DAC" w:rsidRPr="00EA45E9" w:rsidRDefault="00392DAC" w:rsidP="00392DAC">
            <w:pPr>
              <w:spacing w:before="0" w:after="0" w:line="240" w:lineRule="auto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EA45E9">
              <w:rPr>
                <w:rFonts w:cs="Calibri"/>
                <w:bCs/>
                <w:color w:val="000000"/>
                <w:sz w:val="16"/>
                <w:szCs w:val="16"/>
              </w:rPr>
              <w:t>101,7</w:t>
            </w:r>
          </w:p>
        </w:tc>
        <w:tc>
          <w:tcPr>
            <w:tcW w:w="865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100,6</w:t>
            </w:r>
          </w:p>
        </w:tc>
        <w:tc>
          <w:tcPr>
            <w:tcW w:w="870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392DAC" w:rsidRPr="00EA45E9" w:rsidRDefault="00392DAC" w:rsidP="00392DAC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EA45E9">
              <w:rPr>
                <w:rFonts w:cs="Calibri"/>
                <w:bCs/>
                <w:color w:val="000000"/>
                <w:sz w:val="16"/>
                <w:szCs w:val="16"/>
              </w:rPr>
              <w:t>100,2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bCs/>
                <w:color w:val="000000"/>
                <w:sz w:val="16"/>
                <w:szCs w:val="16"/>
              </w:rPr>
              <w:t>101,6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bCs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bCs/>
                <w:color w:val="000000"/>
                <w:sz w:val="16"/>
                <w:szCs w:val="16"/>
              </w:rPr>
              <w:t>102,4</w:t>
            </w:r>
          </w:p>
        </w:tc>
      </w:tr>
      <w:tr w:rsidR="00392DAC" w:rsidRPr="009E77AF" w:rsidTr="004858EB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</w:t>
            </w:r>
          </w:p>
        </w:tc>
        <w:tc>
          <w:tcPr>
            <w:tcW w:w="839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107,2</w:t>
            </w:r>
          </w:p>
        </w:tc>
        <w:tc>
          <w:tcPr>
            <w:tcW w:w="865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105,8</w:t>
            </w:r>
          </w:p>
        </w:tc>
        <w:tc>
          <w:tcPr>
            <w:tcW w:w="870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107,0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101,6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106,8</w:t>
            </w:r>
          </w:p>
        </w:tc>
      </w:tr>
      <w:tr w:rsidR="00392DAC" w:rsidRPr="009E77AF" w:rsidTr="00DB20BC">
        <w:trPr>
          <w:trHeight w:val="684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t xml:space="preserve">Żywność, napoje bezalkoholowe </w:t>
            </w:r>
            <w:r w:rsidRPr="00AE751C"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br/>
              <w:t xml:space="preserve">i alkoholowe oraz wyroby </w:t>
            </w:r>
            <w:r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br/>
            </w:r>
            <w:r w:rsidRPr="00AE751C"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t>tytoniowe</w:t>
            </w:r>
          </w:p>
        </w:tc>
        <w:tc>
          <w:tcPr>
            <w:tcW w:w="839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103,1</w:t>
            </w:r>
          </w:p>
        </w:tc>
        <w:tc>
          <w:tcPr>
            <w:tcW w:w="865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101,6</w:t>
            </w:r>
          </w:p>
        </w:tc>
        <w:tc>
          <w:tcPr>
            <w:tcW w:w="870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103,5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98,2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105,5</w:t>
            </w:r>
          </w:p>
        </w:tc>
      </w:tr>
      <w:tr w:rsidR="00392DAC" w:rsidRPr="009E77AF" w:rsidTr="004858E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ŻYWNOŚĆ I NAPOJE BEZALKOHOLOWE</w:t>
            </w:r>
          </w:p>
        </w:tc>
        <w:tc>
          <w:tcPr>
            <w:tcW w:w="839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102,8</w:t>
            </w:r>
          </w:p>
        </w:tc>
        <w:tc>
          <w:tcPr>
            <w:tcW w:w="865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100,9</w:t>
            </w:r>
          </w:p>
        </w:tc>
        <w:tc>
          <w:tcPr>
            <w:tcW w:w="870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103,2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105,8</w:t>
            </w:r>
          </w:p>
        </w:tc>
      </w:tr>
      <w:tr w:rsidR="00392DAC" w:rsidRPr="009E77AF" w:rsidTr="004858E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Żywność</w:t>
            </w:r>
          </w:p>
        </w:tc>
        <w:tc>
          <w:tcPr>
            <w:tcW w:w="839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102,9</w:t>
            </w:r>
          </w:p>
        </w:tc>
        <w:tc>
          <w:tcPr>
            <w:tcW w:w="865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100,9</w:t>
            </w:r>
          </w:p>
        </w:tc>
        <w:tc>
          <w:tcPr>
            <w:tcW w:w="870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103,4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97,5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106,1</w:t>
            </w:r>
          </w:p>
        </w:tc>
      </w:tr>
      <w:tr w:rsidR="00392DAC" w:rsidRPr="009E77AF" w:rsidTr="004858E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39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392DAC" w:rsidRPr="009E77AF" w:rsidTr="004858E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Ryż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107,7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108,9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107,6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101,9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107,1</w:t>
            </w:r>
          </w:p>
        </w:tc>
      </w:tr>
      <w:tr w:rsidR="00392DAC" w:rsidRPr="009E77AF" w:rsidTr="004858E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Mąka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106,4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106,5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100,9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106,4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101,4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105,6</w:t>
            </w:r>
          </w:p>
        </w:tc>
      </w:tr>
      <w:tr w:rsidR="00392DAC" w:rsidRPr="009E77AF" w:rsidTr="004858E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Pieczywo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108,4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106,2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108,7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100,7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108,4</w:t>
            </w:r>
          </w:p>
        </w:tc>
      </w:tr>
      <w:tr w:rsidR="00392DAC" w:rsidRPr="009E77AF" w:rsidTr="004858E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Makarony i produkty makaronowe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103,5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104,0</w:t>
            </w:r>
          </w:p>
        </w:tc>
      </w:tr>
      <w:tr w:rsidR="00392DAC" w:rsidRPr="009E77AF" w:rsidTr="004858E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</w:t>
            </w:r>
          </w:p>
        </w:tc>
        <w:tc>
          <w:tcPr>
            <w:tcW w:w="8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103,5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104,4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98,5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108,9</w:t>
            </w:r>
          </w:p>
        </w:tc>
      </w:tr>
      <w:tr w:rsidR="00392DAC" w:rsidRPr="009E77AF" w:rsidTr="004858E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392DAC" w:rsidRPr="009E77AF" w:rsidTr="004858E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wołowe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101,7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102,1</w:t>
            </w:r>
          </w:p>
        </w:tc>
      </w:tr>
      <w:tr w:rsidR="00392DAC" w:rsidRPr="009E77AF" w:rsidTr="004858E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cielęce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103,1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103,6</w:t>
            </w:r>
          </w:p>
        </w:tc>
      </w:tr>
      <w:tr w:rsidR="00392DAC" w:rsidRPr="009E77AF" w:rsidTr="004858E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wieprzowe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92,2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99,4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101,5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94,0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111,9</w:t>
            </w:r>
          </w:p>
        </w:tc>
      </w:tr>
      <w:tr w:rsidR="00392DAC" w:rsidRPr="009E77AF" w:rsidTr="004858E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drobiowe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96,6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97,5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101,5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96,7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100,9</w:t>
            </w:r>
          </w:p>
        </w:tc>
      </w:tr>
      <w:tr w:rsidR="00392DAC" w:rsidRPr="009E77AF" w:rsidTr="004858E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Wędliny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107,6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108,2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99,7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111,3</w:t>
            </w:r>
          </w:p>
        </w:tc>
      </w:tr>
      <w:tr w:rsidR="00392DAC" w:rsidRPr="009E77AF" w:rsidTr="004858E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Ryby i owoce morza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104,1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104,4</w:t>
            </w:r>
          </w:p>
        </w:tc>
      </w:tr>
      <w:tr w:rsidR="00392DAC" w:rsidRPr="009E77AF" w:rsidTr="004858E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Mleko, sery i jaja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103,5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103,4</w:t>
            </w:r>
          </w:p>
        </w:tc>
      </w:tr>
      <w:tr w:rsidR="00392DAC" w:rsidRPr="009E77AF" w:rsidTr="004858E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392DAC" w:rsidRPr="009E77AF" w:rsidTr="004858EB">
        <w:trPr>
          <w:trHeight w:val="318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Mleko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106,7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104,8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99,7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107,4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100,7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106,9</w:t>
            </w:r>
          </w:p>
        </w:tc>
      </w:tr>
      <w:tr w:rsidR="00392DAC" w:rsidRPr="009E77AF" w:rsidTr="004858EB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ind w:left="34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Jogurt, śmietana, napoje </w:t>
            </w: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 desery mleczne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103,2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103,5</w:t>
            </w:r>
          </w:p>
        </w:tc>
      </w:tr>
      <w:tr w:rsidR="00392DAC" w:rsidRPr="009E77AF" w:rsidTr="004858EB">
        <w:trPr>
          <w:trHeight w:val="315"/>
        </w:trPr>
        <w:tc>
          <w:tcPr>
            <w:tcW w:w="2835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Sery i twarogi</w:t>
            </w:r>
          </w:p>
        </w:tc>
        <w:tc>
          <w:tcPr>
            <w:tcW w:w="8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102,9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102,2</w:t>
            </w:r>
          </w:p>
        </w:tc>
        <w:tc>
          <w:tcPr>
            <w:tcW w:w="8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102,9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102,8</w:t>
            </w:r>
          </w:p>
        </w:tc>
      </w:tr>
      <w:tr w:rsidR="00392DAC" w:rsidRPr="009E77AF" w:rsidTr="004858E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Jaja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100,2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100,4</w:t>
            </w:r>
          </w:p>
        </w:tc>
      </w:tr>
      <w:tr w:rsidR="00392DAC" w:rsidRPr="009E77AF" w:rsidTr="004858E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Oleje i tłuszcze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99,1</w:t>
            </w:r>
          </w:p>
        </w:tc>
      </w:tr>
      <w:tr w:rsidR="00392DAC" w:rsidRPr="009E77AF" w:rsidTr="004858E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Tłuszcze roślinne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100,5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100,9</w:t>
            </w:r>
          </w:p>
        </w:tc>
      </w:tr>
      <w:tr w:rsidR="00392DAC" w:rsidRPr="009E77AF" w:rsidTr="004858E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Tłuszcze zwierzęce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101,3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99,4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97,7</w:t>
            </w:r>
          </w:p>
        </w:tc>
      </w:tr>
      <w:tr w:rsidR="00392DAC" w:rsidRPr="009E77AF" w:rsidTr="004858EB">
        <w:trPr>
          <w:trHeight w:val="270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ind w:firstLineChars="300" w:firstLine="48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masło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98,0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101,4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97,4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99,4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95,9</w:t>
            </w:r>
          </w:p>
        </w:tc>
      </w:tr>
      <w:tr w:rsidR="00392DAC" w:rsidRPr="009E77AF" w:rsidTr="00DB20BC">
        <w:trPr>
          <w:trHeight w:val="218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40" w:after="4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Owoce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113,5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112,8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95,5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96,0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120,9</w:t>
            </w:r>
          </w:p>
        </w:tc>
      </w:tr>
      <w:tr w:rsidR="00392DAC" w:rsidRPr="009E77AF" w:rsidTr="00DB20BC">
        <w:trPr>
          <w:trHeight w:val="264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Warzywa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94,2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88,9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92,1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86,4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101,5</w:t>
            </w:r>
          </w:p>
        </w:tc>
      </w:tr>
      <w:tr w:rsidR="00392DAC" w:rsidRPr="009E77AF" w:rsidTr="004858EB">
        <w:trPr>
          <w:trHeight w:val="256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Cukier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104,6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107,5</w:t>
            </w:r>
          </w:p>
        </w:tc>
      </w:tr>
      <w:tr w:rsidR="00392DAC" w:rsidRPr="009E77AF" w:rsidTr="004858E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Napoje bezalkoholowe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101,7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100,2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102,1</w:t>
            </w:r>
          </w:p>
        </w:tc>
      </w:tr>
      <w:tr w:rsidR="00392DAC" w:rsidRPr="009E77AF" w:rsidTr="004858EB">
        <w:trPr>
          <w:trHeight w:val="308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392DAC" w:rsidRPr="009E77AF" w:rsidTr="004858EB">
        <w:trPr>
          <w:trHeight w:val="310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Kawa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100,5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101,1</w:t>
            </w:r>
          </w:p>
        </w:tc>
      </w:tr>
      <w:tr w:rsidR="00392DAC" w:rsidRPr="009E77AF" w:rsidTr="004858EB">
        <w:trPr>
          <w:trHeight w:val="258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Herbata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101,3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101,7</w:t>
            </w:r>
          </w:p>
        </w:tc>
      </w:tr>
      <w:tr w:rsidR="00392DAC" w:rsidRPr="009E77AF" w:rsidTr="004858E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Kakao i czekolada w proszku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106,4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100,5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105,7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101,9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105,3</w:t>
            </w:r>
          </w:p>
        </w:tc>
      </w:tr>
      <w:tr w:rsidR="00392DAC" w:rsidRPr="009E77AF" w:rsidTr="004858E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Wody mineralne lub źródlane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102,7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100,7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103,0</w:t>
            </w:r>
          </w:p>
        </w:tc>
      </w:tr>
      <w:tr w:rsidR="00392DAC" w:rsidRPr="009E77AF" w:rsidTr="004858E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Soki owocowe i warzywne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102,4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100,5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102,9</w:t>
            </w:r>
          </w:p>
        </w:tc>
      </w:tr>
      <w:tr w:rsidR="00392DAC" w:rsidRPr="009E77AF" w:rsidTr="004858E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4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NAPOJE ALKOHOLOWE I WYROBY TYTONIOWE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104,7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104,4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104,7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104,3</w:t>
            </w:r>
          </w:p>
        </w:tc>
      </w:tr>
      <w:tr w:rsidR="00392DAC" w:rsidRPr="009E77AF" w:rsidTr="004858E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Napoje alkoholowe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103,8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100,2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103,6</w:t>
            </w:r>
          </w:p>
        </w:tc>
      </w:tr>
      <w:tr w:rsidR="00392DAC" w:rsidRPr="009E77AF" w:rsidTr="004858E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Wyroby tytoniowe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107,1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106,1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107,1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100,7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106,3</w:t>
            </w:r>
          </w:p>
        </w:tc>
      </w:tr>
      <w:tr w:rsidR="00392DAC" w:rsidRPr="009E77AF" w:rsidTr="004858EB">
        <w:trPr>
          <w:trHeight w:val="344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ODZIEŻ I OBUWIE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98,0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95,7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102,6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98,1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97,1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97,7</w:t>
            </w:r>
          </w:p>
        </w:tc>
      </w:tr>
      <w:tr w:rsidR="00392DAC" w:rsidRPr="009E77AF" w:rsidTr="004858EB">
        <w:trPr>
          <w:trHeight w:val="264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392DAC" w:rsidRPr="009E77AF" w:rsidTr="004858E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Odzież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97,6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95,2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102,5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97,8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97,0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97,2</w:t>
            </w:r>
          </w:p>
        </w:tc>
      </w:tr>
      <w:tr w:rsidR="00392DAC" w:rsidRPr="009E77AF" w:rsidTr="004858EB">
        <w:trPr>
          <w:trHeight w:val="287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Obuwie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98,8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96,5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103,1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98,2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97,0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98,3</w:t>
            </w:r>
          </w:p>
        </w:tc>
      </w:tr>
      <w:tr w:rsidR="00392DAC" w:rsidRPr="009E77AF" w:rsidTr="004858EB">
        <w:trPr>
          <w:trHeight w:val="262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MIESZKANIE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105,8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100,6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105,7</w:t>
            </w:r>
          </w:p>
        </w:tc>
      </w:tr>
      <w:tr w:rsidR="00392DAC" w:rsidRPr="009E77AF" w:rsidTr="004858EB">
        <w:trPr>
          <w:trHeight w:val="465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UŻYTKOWANIE MIESZKANIA LUB DOMU I NOŚNIKI ENERGII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107,3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106,7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107,2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100,6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107,2</w:t>
            </w:r>
          </w:p>
        </w:tc>
      </w:tr>
      <w:tr w:rsidR="00392DAC" w:rsidRPr="009E77AF" w:rsidTr="004858EB">
        <w:trPr>
          <w:trHeight w:val="264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392DAC" w:rsidRPr="009E77AF" w:rsidTr="004858E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Opłaty na rzecz właścicieli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104,9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104,0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100,6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105,1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100,7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105,8</w:t>
            </w:r>
          </w:p>
        </w:tc>
      </w:tr>
      <w:tr w:rsidR="00392DAC" w:rsidRPr="009E77AF" w:rsidTr="004858EB">
        <w:trPr>
          <w:trHeight w:val="270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Zaopatrywanie w wodę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104,1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104,0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102,7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103,3</w:t>
            </w:r>
          </w:p>
        </w:tc>
      </w:tr>
      <w:tr w:rsidR="00392DAC" w:rsidRPr="009E77AF" w:rsidTr="004858EB">
        <w:trPr>
          <w:trHeight w:val="260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Wywóz śmieci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150,4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147,7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102,2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151,1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105,7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151,7</w:t>
            </w:r>
          </w:p>
        </w:tc>
      </w:tr>
      <w:tr w:rsidR="00392DAC" w:rsidRPr="009E77AF" w:rsidTr="004858EB">
        <w:trPr>
          <w:trHeight w:val="277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kanalizacyjne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104,5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104,2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104,6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101,3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104,7</w:t>
            </w:r>
          </w:p>
        </w:tc>
      </w:tr>
      <w:tr w:rsidR="00392DAC" w:rsidRPr="009E77AF" w:rsidTr="004858EB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Nośniki energii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104,6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104,2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104,5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99,4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104,9</w:t>
            </w:r>
          </w:p>
        </w:tc>
      </w:tr>
      <w:tr w:rsidR="00392DAC" w:rsidRPr="009E77AF" w:rsidTr="004858EB">
        <w:trPr>
          <w:trHeight w:val="257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Energia elektryczna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111,7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111,7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111,7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111,7</w:t>
            </w:r>
          </w:p>
        </w:tc>
      </w:tr>
      <w:tr w:rsidR="00392DAC" w:rsidRPr="009E77AF" w:rsidTr="004858EB">
        <w:trPr>
          <w:trHeight w:val="260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40" w:after="4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Gaz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95,7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95,4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95,7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95,6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98,2</w:t>
            </w:r>
          </w:p>
        </w:tc>
      </w:tr>
      <w:tr w:rsidR="00392DAC" w:rsidRPr="009E77AF" w:rsidTr="004858EB">
        <w:trPr>
          <w:trHeight w:val="274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Opał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102,0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102,1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100,5</w:t>
            </w:r>
          </w:p>
        </w:tc>
      </w:tr>
      <w:tr w:rsidR="00392DAC" w:rsidRPr="009E77AF" w:rsidTr="00DB20BC">
        <w:trPr>
          <w:trHeight w:val="326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Energia cieplna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100,5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102,0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102,4</w:t>
            </w:r>
          </w:p>
        </w:tc>
      </w:tr>
      <w:tr w:rsidR="00392DAC" w:rsidRPr="009E77AF" w:rsidTr="00DB20BC">
        <w:trPr>
          <w:trHeight w:val="672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WYPOSAŻENIE MIESZKANIA 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</w: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 PROWADZENIE GOSPODARSTWA DOMOWEGO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101,2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100,5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100,8</w:t>
            </w:r>
          </w:p>
        </w:tc>
      </w:tr>
      <w:tr w:rsidR="00392DAC" w:rsidRPr="009E77AF" w:rsidTr="004858EB">
        <w:trPr>
          <w:trHeight w:val="324"/>
        </w:trPr>
        <w:tc>
          <w:tcPr>
            <w:tcW w:w="2835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39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392DAC" w:rsidRPr="009E77AF" w:rsidTr="004858EB">
        <w:trPr>
          <w:trHeight w:val="465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Meble, artykuły dekoracyjne, </w:t>
            </w: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sprzęt oświetleniowy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101,1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100,2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99,1</w:t>
            </w:r>
          </w:p>
        </w:tc>
      </w:tr>
      <w:tr w:rsidR="00392DAC" w:rsidRPr="009E77AF" w:rsidTr="004858E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Urządzenia gospodarstwa 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</w: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domowego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100,7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99,4</w:t>
            </w:r>
          </w:p>
        </w:tc>
      </w:tr>
      <w:tr w:rsidR="00392DAC" w:rsidRPr="009E77AF" w:rsidTr="004858EB">
        <w:trPr>
          <w:trHeight w:val="249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Środki czyszczące i konserwujące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99,7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102,1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102,0</w:t>
            </w:r>
          </w:p>
        </w:tc>
      </w:tr>
      <w:tr w:rsidR="00392DAC" w:rsidRPr="009E77AF" w:rsidTr="004858EB">
        <w:trPr>
          <w:trHeight w:val="465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prowadzeniem</w:t>
            </w: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gospodarstwa domowego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107,9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106,7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100,8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107,7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101,7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107,1</w:t>
            </w:r>
          </w:p>
        </w:tc>
      </w:tr>
      <w:tr w:rsidR="00392DAC" w:rsidRPr="009E77AF" w:rsidTr="004858EB">
        <w:trPr>
          <w:trHeight w:val="274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ZDROWIE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104,9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105,2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101,3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104,7</w:t>
            </w:r>
          </w:p>
        </w:tc>
      </w:tr>
      <w:tr w:rsidR="00392DAC" w:rsidRPr="009E77AF" w:rsidTr="004858EB">
        <w:trPr>
          <w:trHeight w:val="243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392DAC" w:rsidRPr="009E77AF" w:rsidTr="004858E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Wyroby farmaceutyczne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100,2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103,3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100,8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103,5</w:t>
            </w:r>
          </w:p>
        </w:tc>
      </w:tr>
      <w:tr w:rsidR="00392DAC" w:rsidRPr="009E77AF" w:rsidTr="004858E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Urządzenia i sprzęt terapeutyczny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102,4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100,6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102,0</w:t>
            </w:r>
          </w:p>
        </w:tc>
      </w:tr>
      <w:tr w:rsidR="00392DAC" w:rsidRPr="009E77AF" w:rsidTr="004858E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lekarskie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109,0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107,9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100,7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109,1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101,8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108,3</w:t>
            </w:r>
          </w:p>
        </w:tc>
      </w:tr>
      <w:tr w:rsidR="00392DAC" w:rsidRPr="009E77AF" w:rsidTr="004858E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stomatologiczne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113,8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112,5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100,2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114,2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102,9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110,5</w:t>
            </w:r>
          </w:p>
        </w:tc>
      </w:tr>
      <w:tr w:rsidR="00392DAC" w:rsidRPr="009E77AF" w:rsidTr="004858E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szpitalne i sanatoryjne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103,4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103,8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103,2</w:t>
            </w:r>
          </w:p>
        </w:tc>
      </w:tr>
      <w:tr w:rsidR="00392DAC" w:rsidRPr="009E77AF" w:rsidTr="004858E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TRANSPORT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95,1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93,0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93,2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102,9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94,2</w:t>
            </w:r>
          </w:p>
        </w:tc>
      </w:tr>
      <w:tr w:rsidR="00392DAC" w:rsidRPr="009E77AF" w:rsidTr="004D2434">
        <w:trPr>
          <w:trHeight w:val="176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20" w:after="2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392DAC" w:rsidRPr="009E77AF" w:rsidTr="004858E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98,7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99,7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98,2</w:t>
            </w:r>
          </w:p>
        </w:tc>
      </w:tr>
      <w:tr w:rsidR="00392DAC" w:rsidRPr="009E77AF" w:rsidTr="004858EB">
        <w:trPr>
          <w:trHeight w:val="264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samochody osobowe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98,5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98,7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98,0</w:t>
            </w:r>
          </w:p>
        </w:tc>
      </w:tr>
      <w:tr w:rsidR="00392DAC" w:rsidRPr="009E77AF" w:rsidTr="004858EB">
        <w:trPr>
          <w:trHeight w:val="471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Paliwa do prywatnych środków transportu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90,8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89,6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101,6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87,4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107,2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89,1</w:t>
            </w:r>
          </w:p>
        </w:tc>
      </w:tr>
      <w:tr w:rsidR="00392DAC" w:rsidRPr="009E77AF" w:rsidTr="004858EB">
        <w:trPr>
          <w:trHeight w:val="266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Olej napędowy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88,8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87,4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101,3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86,2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104,5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88,7</w:t>
            </w:r>
          </w:p>
        </w:tc>
      </w:tr>
      <w:tr w:rsidR="00392DAC" w:rsidRPr="009E77AF" w:rsidTr="004858EB">
        <w:trPr>
          <w:trHeight w:val="257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Benzyna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90,4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91,3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101,9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86,6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88,7</w:t>
            </w:r>
          </w:p>
        </w:tc>
      </w:tr>
      <w:tr w:rsidR="00392DAC" w:rsidRPr="009E77AF" w:rsidTr="004858EB">
        <w:trPr>
          <w:trHeight w:val="558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Gaz ciekły i pozostałe paliwa </w:t>
            </w: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 xml:space="preserve">do prywatnych środków 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</w: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transportu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86,0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100,5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98,8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111,6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93,7</w:t>
            </w:r>
          </w:p>
        </w:tc>
      </w:tr>
      <w:tr w:rsidR="00392DAC" w:rsidRPr="009E77AF" w:rsidTr="004858E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transportowe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82,8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89,7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92,3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101,9</w:t>
            </w:r>
          </w:p>
        </w:tc>
      </w:tr>
      <w:tr w:rsidR="00392DAC" w:rsidRPr="009E77AF" w:rsidTr="004858E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ŁĄCZNOŚĆ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101,3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102,4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103,2</w:t>
            </w:r>
          </w:p>
        </w:tc>
      </w:tr>
      <w:tr w:rsidR="00392DAC" w:rsidRPr="009E77AF" w:rsidTr="004858E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392DAC" w:rsidRPr="009E77AF" w:rsidTr="004858E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Sprzęt telekomunikacyjny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89,2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92,1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99,3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89,1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97,6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89,9</w:t>
            </w:r>
          </w:p>
        </w:tc>
      </w:tr>
      <w:tr w:rsidR="00392DAC" w:rsidRPr="009E77AF" w:rsidTr="004858E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telekomunikacyjne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106,2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101,3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104,9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102,5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103,7</w:t>
            </w:r>
          </w:p>
        </w:tc>
      </w:tr>
      <w:tr w:rsidR="00392DAC" w:rsidRPr="009E77AF" w:rsidTr="004858E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REKREACJA I KULTURA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100,6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102,7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101,6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102,8</w:t>
            </w:r>
          </w:p>
        </w:tc>
      </w:tr>
      <w:tr w:rsidR="00392DAC" w:rsidRPr="009E77AF" w:rsidTr="004858E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392DAC" w:rsidRPr="009E77AF" w:rsidTr="004858EB">
        <w:trPr>
          <w:trHeight w:val="442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Sprzęt audiowizualny, </w:t>
            </w:r>
            <w:r w:rsidRPr="00AE75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fotograficzny </w:t>
            </w:r>
            <w:r w:rsidRPr="00AE75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>i informatyczny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97,9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98,6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99,7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97,8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96,6</w:t>
            </w:r>
          </w:p>
        </w:tc>
      </w:tr>
      <w:tr w:rsidR="00392DAC" w:rsidRPr="009E77AF" w:rsidTr="004858EB">
        <w:trPr>
          <w:trHeight w:val="300"/>
        </w:trPr>
        <w:tc>
          <w:tcPr>
            <w:tcW w:w="2835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Usługi związane z rekreacją </w:t>
            </w:r>
            <w:r w:rsidRPr="00AE75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kulturą</w:t>
            </w:r>
          </w:p>
        </w:tc>
        <w:tc>
          <w:tcPr>
            <w:tcW w:w="8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107,5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107,5</w:t>
            </w:r>
          </w:p>
        </w:tc>
        <w:tc>
          <w:tcPr>
            <w:tcW w:w="8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103,8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104,9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102,6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103,2</w:t>
            </w:r>
          </w:p>
        </w:tc>
      </w:tr>
      <w:tr w:rsidR="00392DAC" w:rsidRPr="009E77AF" w:rsidTr="004858EB">
        <w:trPr>
          <w:trHeight w:val="315"/>
        </w:trPr>
        <w:tc>
          <w:tcPr>
            <w:tcW w:w="2835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39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392DAC" w:rsidRPr="009E77AF" w:rsidTr="004858EB">
        <w:trPr>
          <w:trHeight w:val="458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Default="00392DAC" w:rsidP="00392DAC">
            <w:pPr>
              <w:spacing w:before="0" w:after="0" w:line="240" w:lineRule="auto"/>
              <w:ind w:left="74" w:firstLineChars="55" w:firstLine="88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Usługi związane z rekreacją </w:t>
            </w:r>
          </w:p>
          <w:p w:rsidR="00392DAC" w:rsidRPr="00AE751C" w:rsidRDefault="00392DAC" w:rsidP="00392DAC">
            <w:pPr>
              <w:spacing w:before="0" w:after="0" w:line="240" w:lineRule="auto"/>
              <w:ind w:left="74" w:firstLineChars="55" w:firstLine="88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 sportem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106,5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102,0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106,6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101,3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105,2</w:t>
            </w:r>
          </w:p>
        </w:tc>
      </w:tr>
      <w:tr w:rsidR="00392DAC" w:rsidRPr="009E77AF" w:rsidTr="004858EB">
        <w:trPr>
          <w:trHeight w:val="315"/>
        </w:trPr>
        <w:tc>
          <w:tcPr>
            <w:tcW w:w="2835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kulturą</w:t>
            </w:r>
          </w:p>
        </w:tc>
        <w:tc>
          <w:tcPr>
            <w:tcW w:w="8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108,5</w:t>
            </w:r>
          </w:p>
        </w:tc>
        <w:tc>
          <w:tcPr>
            <w:tcW w:w="8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104,6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103,1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102,4</w:t>
            </w:r>
          </w:p>
        </w:tc>
      </w:tr>
      <w:tr w:rsidR="00392DAC" w:rsidRPr="009E77AF" w:rsidTr="004858EB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Default="00392DAC" w:rsidP="00392DAC">
            <w:pPr>
              <w:spacing w:before="0" w:after="0" w:line="240" w:lineRule="auto"/>
              <w:ind w:firstLineChars="200" w:firstLine="32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opłaty radiowo-</w:t>
            </w:r>
          </w:p>
          <w:p w:rsidR="00392DAC" w:rsidRPr="00AE751C" w:rsidRDefault="00392DAC" w:rsidP="00392DAC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telewizyjne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110,6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112,2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107,3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104,7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105,4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101,0</w:t>
            </w:r>
          </w:p>
        </w:tc>
      </w:tr>
      <w:tr w:rsidR="00392DAC" w:rsidRPr="009E77AF" w:rsidTr="004858EB">
        <w:trPr>
          <w:trHeight w:val="315"/>
        </w:trPr>
        <w:tc>
          <w:tcPr>
            <w:tcW w:w="2835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Książki</w:t>
            </w:r>
          </w:p>
        </w:tc>
        <w:tc>
          <w:tcPr>
            <w:tcW w:w="8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96,1</w:t>
            </w:r>
          </w:p>
        </w:tc>
        <w:tc>
          <w:tcPr>
            <w:tcW w:w="8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102,3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102,4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103,4</w:t>
            </w:r>
          </w:p>
        </w:tc>
      </w:tr>
      <w:tr w:rsidR="00392DAC" w:rsidRPr="009E77AF" w:rsidTr="004858E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Gazety i czasopisma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106,2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106,1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100,6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105,8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100,2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105,8</w:t>
            </w:r>
          </w:p>
        </w:tc>
      </w:tr>
      <w:tr w:rsidR="00392DAC" w:rsidRPr="009E77AF" w:rsidTr="004858EB">
        <w:trPr>
          <w:trHeight w:val="498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Artykuły piśmienne, malarskie, kreślarskie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100,5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103,4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101,2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103,3</w:t>
            </w:r>
          </w:p>
        </w:tc>
      </w:tr>
      <w:tr w:rsidR="00392DAC" w:rsidRPr="009E77AF" w:rsidTr="004858E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67044C" w:rsidRDefault="00392DAC" w:rsidP="00392DAC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07D1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98,0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101,1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102,3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104,5</w:t>
            </w:r>
          </w:p>
        </w:tc>
      </w:tr>
      <w:tr w:rsidR="00392DAC" w:rsidRPr="009E77AF" w:rsidTr="004858E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67044C" w:rsidRDefault="00392DAC" w:rsidP="00392DAC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7044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 w kraju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106,9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107,7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97,5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106,9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102,4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107,3</w:t>
            </w:r>
          </w:p>
        </w:tc>
      </w:tr>
      <w:tr w:rsidR="00392DAC" w:rsidRPr="009E77AF" w:rsidTr="004858EB">
        <w:trPr>
          <w:trHeight w:val="428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D07D16" w:rsidRDefault="00392DAC" w:rsidP="00392DAC">
            <w:pPr>
              <w:spacing w:before="0" w:after="0" w:line="240" w:lineRule="auto"/>
              <w:ind w:firstLineChars="100" w:firstLine="16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07D1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Turystyka zorganizowana </w:t>
            </w:r>
          </w:p>
          <w:p w:rsidR="00392DAC" w:rsidRPr="0067044C" w:rsidRDefault="00392DAC" w:rsidP="00392DAC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07D1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za granicą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98,8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98,4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98,4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96,8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102,2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102,5</w:t>
            </w:r>
          </w:p>
        </w:tc>
      </w:tr>
      <w:tr w:rsidR="00392DAC" w:rsidRPr="009E77AF" w:rsidTr="004858E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EDUKACJA</w:t>
            </w:r>
          </w:p>
        </w:tc>
        <w:tc>
          <w:tcPr>
            <w:tcW w:w="8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105,8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104,5</w:t>
            </w:r>
          </w:p>
        </w:tc>
        <w:tc>
          <w:tcPr>
            <w:tcW w:w="8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102,6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105,8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101,6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105,3</w:t>
            </w:r>
          </w:p>
        </w:tc>
      </w:tr>
      <w:tr w:rsidR="00392DAC" w:rsidRPr="009E77AF" w:rsidTr="004858E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RESTAURACJE I HOTELE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104,4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100,5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105,7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101,2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105,9</w:t>
            </w:r>
          </w:p>
        </w:tc>
      </w:tr>
      <w:tr w:rsidR="00392DAC" w:rsidRPr="009E77AF" w:rsidTr="004858E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INNE TOWARY I USŁUGI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103,8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102,9</w:t>
            </w:r>
          </w:p>
        </w:tc>
      </w:tr>
      <w:tr w:rsidR="00392DAC" w:rsidRPr="009E77AF" w:rsidTr="004858E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392DAC" w:rsidRPr="009E77AF" w:rsidTr="004858E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Higiena osobista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104,2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100,7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103,3</w:t>
            </w:r>
          </w:p>
        </w:tc>
      </w:tr>
      <w:tr w:rsidR="00392DAC" w:rsidRPr="009E77AF" w:rsidTr="004858E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392DAC" w:rsidRPr="009E77AF" w:rsidTr="00DB20BC">
        <w:trPr>
          <w:trHeight w:val="451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ind w:left="17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Usługi fryzjerskie, kosmetyczne </w:t>
            </w: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pielęgnacyjne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113,3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112,2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113,3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103,6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110,5</w:t>
            </w:r>
          </w:p>
        </w:tc>
      </w:tr>
      <w:tr w:rsidR="00392DAC" w:rsidRPr="009E77AF" w:rsidTr="00DB20BC">
        <w:trPr>
          <w:trHeight w:val="416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Artykuły do higieny osobistej </w:t>
            </w: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kosmetyki</w:t>
            </w:r>
          </w:p>
        </w:tc>
        <w:tc>
          <w:tcPr>
            <w:tcW w:w="8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102,1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100,8</w:t>
            </w:r>
          </w:p>
        </w:tc>
        <w:tc>
          <w:tcPr>
            <w:tcW w:w="8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99,3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102,2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101,8</w:t>
            </w:r>
          </w:p>
        </w:tc>
      </w:tr>
      <w:tr w:rsidR="00392DAC" w:rsidRPr="009E77AF" w:rsidTr="004858E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Opieka społeczna</w:t>
            </w:r>
          </w:p>
        </w:tc>
        <w:tc>
          <w:tcPr>
            <w:tcW w:w="8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112,6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112,1</w:t>
            </w:r>
          </w:p>
        </w:tc>
        <w:tc>
          <w:tcPr>
            <w:tcW w:w="8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102,2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112,4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103,3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110,1</w:t>
            </w:r>
          </w:p>
        </w:tc>
      </w:tr>
      <w:tr w:rsidR="00392DAC" w:rsidRPr="009E77AF" w:rsidTr="004858E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96,3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91,7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99,0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100,9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101,8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100,6</w:t>
            </w:r>
          </w:p>
        </w:tc>
      </w:tr>
      <w:tr w:rsidR="00392DAC" w:rsidRPr="009E77AF" w:rsidTr="004858EB">
        <w:trPr>
          <w:trHeight w:val="450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92DAC" w:rsidRPr="00AE751C" w:rsidRDefault="00392DAC" w:rsidP="00392DAC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finansowe świadczone przez banki i inne instytucje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140,4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140,4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392DAC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98,2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nil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140,9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110,5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392DAC" w:rsidRPr="009E77AF" w:rsidRDefault="00392DAC" w:rsidP="00392DAC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7AF">
              <w:rPr>
                <w:rFonts w:cs="Calibri"/>
                <w:color w:val="000000"/>
                <w:sz w:val="16"/>
                <w:szCs w:val="16"/>
              </w:rPr>
              <w:t>122,6</w:t>
            </w:r>
          </w:p>
        </w:tc>
      </w:tr>
    </w:tbl>
    <w:p w:rsidR="00DB20BC" w:rsidRPr="00D65AD9" w:rsidRDefault="00D07D16" w:rsidP="00D07D16">
      <w:pPr>
        <w:spacing w:before="240" w:after="240" w:line="259" w:lineRule="auto"/>
        <w:rPr>
          <w:color w:val="0000FF"/>
          <w:sz w:val="16"/>
          <w:szCs w:val="16"/>
          <w:u w:val="single"/>
        </w:rPr>
      </w:pPr>
      <w:r w:rsidRPr="00FE06CE">
        <w:rPr>
          <w:color w:val="222222"/>
          <w:sz w:val="16"/>
          <w:szCs w:val="16"/>
        </w:rPr>
        <w:t>Zalecenia rekomendowane przez Eurostat dotyczące wskaźników cen</w:t>
      </w:r>
      <w:r w:rsidR="00B678FF">
        <w:rPr>
          <w:color w:val="222222"/>
          <w:sz w:val="16"/>
          <w:szCs w:val="16"/>
        </w:rPr>
        <w:t xml:space="preserve"> konsumpcyjnych prezentowane są </w:t>
      </w:r>
      <w:r w:rsidRPr="00FE06CE">
        <w:rPr>
          <w:color w:val="222222"/>
          <w:sz w:val="16"/>
          <w:szCs w:val="16"/>
        </w:rPr>
        <w:t>pod linkiem</w:t>
      </w:r>
      <w:r w:rsidRPr="00DF4364">
        <w:rPr>
          <w:color w:val="001D77"/>
          <w:sz w:val="16"/>
          <w:szCs w:val="16"/>
        </w:rPr>
        <w:t xml:space="preserve"> </w:t>
      </w:r>
      <w:hyperlink r:id="rId16" w:history="1">
        <w:r w:rsidRPr="00DF4364">
          <w:rPr>
            <w:rStyle w:val="Hipercze"/>
            <w:color w:val="001D77"/>
            <w:sz w:val="16"/>
            <w:szCs w:val="16"/>
          </w:rPr>
          <w:t>https://stat.gov.pl/obszary-tematyczne/ceny-handel/wskazniki-cen/wytyczne-dotyczace-opracowania-hicp-w-kontekscie-kryzysu-zwiazanego-z-covid-19,19,1.html</w:t>
        </w:r>
      </w:hyperlink>
    </w:p>
    <w:p w:rsidR="00044EB2" w:rsidRPr="00D65AD9" w:rsidRDefault="00D07D16" w:rsidP="00DB20BC">
      <w:pPr>
        <w:spacing w:before="0" w:after="240" w:line="259" w:lineRule="auto"/>
        <w:rPr>
          <w:color w:val="222222"/>
          <w:sz w:val="16"/>
          <w:szCs w:val="16"/>
          <w:lang w:val="en-GB"/>
        </w:rPr>
      </w:pPr>
      <w:r w:rsidRPr="00550055">
        <w:rPr>
          <w:color w:val="222222"/>
          <w:sz w:val="16"/>
          <w:szCs w:val="16"/>
          <w:lang w:val="en-GB"/>
        </w:rPr>
        <w:t>Dokumenty „</w:t>
      </w:r>
      <w:r w:rsidRPr="00550055">
        <w:rPr>
          <w:i/>
          <w:color w:val="222222"/>
          <w:sz w:val="16"/>
          <w:szCs w:val="16"/>
          <w:lang w:val="en-GB"/>
        </w:rPr>
        <w:t>Guidance on the compilation of the HICP in the context of the COVID-19 crisis</w:t>
      </w:r>
      <w:r w:rsidRPr="00550055">
        <w:rPr>
          <w:color w:val="222222"/>
          <w:sz w:val="16"/>
          <w:szCs w:val="16"/>
          <w:lang w:val="en-GB"/>
        </w:rPr>
        <w:t>” oraz “</w:t>
      </w:r>
      <w:r w:rsidRPr="00550055">
        <w:rPr>
          <w:i/>
          <w:color w:val="222222"/>
          <w:sz w:val="16"/>
          <w:szCs w:val="16"/>
          <w:lang w:val="en-GB"/>
        </w:rPr>
        <w:t>Guidance note on HICP issues emerging from the lifting of lockdown measures</w:t>
      </w:r>
      <w:r w:rsidRPr="00550055">
        <w:rPr>
          <w:color w:val="222222"/>
          <w:sz w:val="16"/>
          <w:szCs w:val="16"/>
          <w:lang w:val="en-GB"/>
        </w:rPr>
        <w:t xml:space="preserve">” zamieszczone zostały przez Eurostat pod nastepującymi linkami </w:t>
      </w:r>
      <w:hyperlink r:id="rId17" w:history="1">
        <w:r w:rsidRPr="00DF4364">
          <w:rPr>
            <w:rStyle w:val="Hipercze"/>
            <w:color w:val="001D77"/>
            <w:sz w:val="16"/>
            <w:szCs w:val="16"/>
            <w:lang w:val="en-GB"/>
          </w:rPr>
          <w:t>https://ec.europa.eu/eurostat/documents/10186/10693286/HICP_guidance.pdf</w:t>
        </w:r>
      </w:hyperlink>
      <w:r w:rsidRPr="00DF4364">
        <w:rPr>
          <w:color w:val="001D77"/>
          <w:sz w:val="16"/>
          <w:szCs w:val="16"/>
          <w:lang w:val="en-GB"/>
        </w:rPr>
        <w:t xml:space="preserve">, </w:t>
      </w:r>
      <w:hyperlink r:id="rId18" w:history="1">
        <w:r w:rsidRPr="00DF4364">
          <w:rPr>
            <w:rStyle w:val="Hipercze"/>
            <w:color w:val="001D77"/>
            <w:sz w:val="16"/>
            <w:szCs w:val="16"/>
            <w:lang w:val="en-GB"/>
          </w:rPr>
          <w:t>https://ec.europa.eu/eurostat/documents/10186/10693286/HICP_lifting_lockdown_measures_guidance.pdf</w:t>
        </w:r>
      </w:hyperlink>
      <w:bookmarkStart w:id="0" w:name="_GoBack"/>
      <w:bookmarkEnd w:id="0"/>
    </w:p>
    <w:p w:rsidR="00D65AD9" w:rsidRPr="008D05FC" w:rsidRDefault="00D65AD9" w:rsidP="00D65AD9">
      <w:pPr>
        <w:pStyle w:val="LID"/>
        <w:spacing w:after="0"/>
        <w:rPr>
          <w:b w:val="0"/>
          <w:color w:val="222222"/>
          <w:lang w:val="en-GB"/>
        </w:rPr>
      </w:pPr>
    </w:p>
    <w:p w:rsidR="00685123" w:rsidRPr="00D65AD9" w:rsidRDefault="00044EB2" w:rsidP="00D65AD9">
      <w:pPr>
        <w:pStyle w:val="LID"/>
        <w:spacing w:after="0"/>
        <w:rPr>
          <w:highlight w:val="yellow"/>
        </w:rPr>
        <w:sectPr w:rsidR="00685123" w:rsidRPr="00D65AD9" w:rsidSect="00EF7B36">
          <w:headerReference w:type="default" r:id="rId19"/>
          <w:footerReference w:type="default" r:id="rId20"/>
          <w:headerReference w:type="first" r:id="rId21"/>
          <w:footerReference w:type="first" r:id="rId22"/>
          <w:footnotePr>
            <w:numFmt w:val="lowerLetter"/>
          </w:footnotePr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 w:rsidRPr="00044EB2">
        <w:rPr>
          <w:b w:val="0"/>
          <w:color w:val="222222"/>
        </w:rPr>
        <w:t>W przypadku cytowania danych Głównego Urzędu Statystycznego prosimy o zamieszczenie informacji: „Źródło danych GUS”, a</w:t>
      </w:r>
      <w:r w:rsidR="00D07D16">
        <w:rPr>
          <w:b w:val="0"/>
          <w:color w:val="222222"/>
        </w:rPr>
        <w:t xml:space="preserve"> w</w:t>
      </w:r>
      <w:r w:rsidRPr="00044EB2">
        <w:rPr>
          <w:b w:val="0"/>
          <w:color w:val="222222"/>
        </w:rPr>
        <w:t xml:space="preserve"> przypadku publikowania obliczeń dokonanych na</w:t>
      </w:r>
      <w:r w:rsidR="00D07D16">
        <w:rPr>
          <w:b w:val="0"/>
          <w:color w:val="222222"/>
        </w:rPr>
        <w:t> </w:t>
      </w:r>
      <w:r w:rsidRPr="00044EB2">
        <w:rPr>
          <w:b w:val="0"/>
          <w:color w:val="222222"/>
        </w:rPr>
        <w:t>danych opublikowanych przez GUS prosimy o zamieszczenie inf</w:t>
      </w:r>
      <w:r w:rsidR="00DB20BC">
        <w:rPr>
          <w:b w:val="0"/>
          <w:color w:val="222222"/>
        </w:rPr>
        <w:t>ormacji: „Opracowanie własne na </w:t>
      </w:r>
      <w:r w:rsidRPr="00044EB2">
        <w:rPr>
          <w:b w:val="0"/>
          <w:color w:val="222222"/>
        </w:rPr>
        <w:t>podstawie danych GUS”.</w:t>
      </w:r>
    </w:p>
    <w:p w:rsidR="000470AA" w:rsidRPr="00876337" w:rsidRDefault="000470AA" w:rsidP="000470AA">
      <w:pPr>
        <w:rPr>
          <w:sz w:val="18"/>
          <w:highlight w:val="yellow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56"/>
        <w:gridCol w:w="3927"/>
      </w:tblGrid>
      <w:tr w:rsidR="00883763" w:rsidRPr="00876337" w:rsidTr="00EE696D">
        <w:trPr>
          <w:trHeight w:val="1912"/>
        </w:trPr>
        <w:tc>
          <w:tcPr>
            <w:tcW w:w="4379" w:type="dxa"/>
          </w:tcPr>
          <w:p w:rsidR="00883763" w:rsidRPr="00A7152F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A7152F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883763" w:rsidRPr="00A7152F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A7152F">
              <w:rPr>
                <w:rFonts w:cs="Arial"/>
                <w:b/>
                <w:color w:val="000000" w:themeColor="text1"/>
                <w:sz w:val="20"/>
              </w:rPr>
              <w:t>Departament Handlu i Usług</w:t>
            </w:r>
          </w:p>
          <w:p w:rsidR="00115458" w:rsidRPr="00CA3165" w:rsidRDefault="00115458" w:rsidP="00115458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CA3165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Dyrektor Ewa Adach-Stankiewicz</w:t>
            </w:r>
          </w:p>
          <w:p w:rsidR="00883763" w:rsidRPr="00CA3165" w:rsidRDefault="00115458" w:rsidP="00115458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highlight w:val="yellow"/>
              </w:rPr>
            </w:pPr>
            <w:r w:rsidRPr="00CA3165">
              <w:rPr>
                <w:rFonts w:ascii="Fira Sans" w:hAnsi="Fira Sans" w:cs="Arial"/>
                <w:color w:val="000000" w:themeColor="text1"/>
                <w:sz w:val="20"/>
                <w:szCs w:val="28"/>
              </w:rPr>
              <w:t>Tel: 22 608 31 24</w:t>
            </w:r>
          </w:p>
        </w:tc>
        <w:tc>
          <w:tcPr>
            <w:tcW w:w="3942" w:type="dxa"/>
          </w:tcPr>
          <w:p w:rsidR="00883763" w:rsidRPr="00D47B8D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D47B8D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D47B8D">
              <w:rPr>
                <w:rFonts w:cs="Arial"/>
                <w:color w:val="000000" w:themeColor="text1"/>
                <w:sz w:val="20"/>
              </w:rPr>
              <w:br/>
            </w:r>
            <w:r w:rsidRPr="00D47B8D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115458" w:rsidRPr="00115458" w:rsidRDefault="00115458" w:rsidP="00115458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11545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Banaszek</w:t>
            </w:r>
          </w:p>
          <w:p w:rsidR="00883763" w:rsidRPr="00115458" w:rsidRDefault="00115458" w:rsidP="00115458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highlight w:val="yellow"/>
                <w:lang w:val="en-GB"/>
              </w:rPr>
            </w:pPr>
            <w:r w:rsidRPr="00115458">
              <w:rPr>
                <w:rFonts w:ascii="Fira Sans" w:hAnsi="Fira Sans" w:cs="Arial"/>
                <w:color w:val="000000" w:themeColor="text1"/>
                <w:sz w:val="20"/>
                <w:szCs w:val="28"/>
              </w:rPr>
              <w:t>Tel: 695 255 011</w:t>
            </w:r>
          </w:p>
        </w:tc>
      </w:tr>
    </w:tbl>
    <w:p w:rsidR="000470AA" w:rsidRPr="00876337" w:rsidRDefault="000470AA" w:rsidP="000470AA">
      <w:pPr>
        <w:rPr>
          <w:sz w:val="18"/>
          <w:highlight w:val="yellow"/>
          <w:lang w:val="en-GB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RPr="00876337" w:rsidTr="00C057E5">
        <w:trPr>
          <w:trHeight w:val="610"/>
        </w:trPr>
        <w:tc>
          <w:tcPr>
            <w:tcW w:w="2721" w:type="pct"/>
            <w:vMerge w:val="restart"/>
          </w:tcPr>
          <w:p w:rsidR="000470AA" w:rsidRPr="00A7152F" w:rsidRDefault="000470AA" w:rsidP="00C057E5">
            <w:pPr>
              <w:spacing w:before="200"/>
              <w:rPr>
                <w:b/>
                <w:sz w:val="20"/>
              </w:rPr>
            </w:pPr>
            <w:r w:rsidRPr="00A7152F">
              <w:rPr>
                <w:b/>
                <w:sz w:val="20"/>
              </w:rPr>
              <w:t xml:space="preserve">Wydział Współpracy z Mediami </w:t>
            </w:r>
          </w:p>
          <w:p w:rsidR="000470AA" w:rsidRPr="00A7152F" w:rsidRDefault="00C057E5" w:rsidP="00C057E5">
            <w:pPr>
              <w:rPr>
                <w:sz w:val="20"/>
              </w:rPr>
            </w:pPr>
            <w:r w:rsidRPr="00A7152F">
              <w:rPr>
                <w:sz w:val="20"/>
              </w:rPr>
              <w:t>T</w:t>
            </w:r>
            <w:r w:rsidR="000609C1">
              <w:rPr>
                <w:sz w:val="20"/>
              </w:rPr>
              <w:t>el</w:t>
            </w:r>
            <w:r w:rsidR="000470AA" w:rsidRPr="00A7152F">
              <w:rPr>
                <w:sz w:val="20"/>
              </w:rPr>
              <w:t xml:space="preserve">: </w:t>
            </w:r>
            <w:r w:rsidR="00097840" w:rsidRPr="00A7152F">
              <w:rPr>
                <w:sz w:val="20"/>
              </w:rPr>
              <w:t>22 608 34 91, 22</w:t>
            </w:r>
            <w:r w:rsidR="000470AA" w:rsidRPr="00A7152F">
              <w:rPr>
                <w:sz w:val="20"/>
              </w:rPr>
              <w:t xml:space="preserve"> 608 38 04 </w:t>
            </w:r>
          </w:p>
          <w:p w:rsidR="000470AA" w:rsidRPr="00876337" w:rsidRDefault="000470AA" w:rsidP="00C057E5">
            <w:pPr>
              <w:rPr>
                <w:sz w:val="18"/>
                <w:highlight w:val="yellow"/>
                <w:lang w:val="en-GB"/>
              </w:rPr>
            </w:pPr>
            <w:r w:rsidRPr="00A7152F">
              <w:rPr>
                <w:b/>
                <w:sz w:val="20"/>
                <w:lang w:val="en-GB"/>
              </w:rPr>
              <w:t>e-</w:t>
            </w:r>
            <w:r w:rsidRPr="00A7152F">
              <w:rPr>
                <w:b/>
                <w:color w:val="000000" w:themeColor="text1"/>
                <w:sz w:val="20"/>
                <w:lang w:val="en-GB"/>
              </w:rPr>
              <w:t xml:space="preserve">mail: </w:t>
            </w:r>
            <w:hyperlink r:id="rId23" w:history="1">
              <w:r w:rsidRPr="00A7152F">
                <w:rPr>
                  <w:rStyle w:val="Hipercze"/>
                  <w:rFonts w:cstheme="minorBidi"/>
                  <w:b/>
                  <w:color w:val="000000" w:themeColor="text1"/>
                  <w:sz w:val="20"/>
                  <w:lang w:val="en-GB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A7152F" w:rsidRDefault="000470AA" w:rsidP="000470AA">
            <w:pPr>
              <w:rPr>
                <w:sz w:val="18"/>
                <w:lang w:val="en-GB"/>
              </w:rPr>
            </w:pPr>
            <w:r w:rsidRPr="00A7152F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50764541" wp14:editId="644B9EC9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0609C1" w:rsidRDefault="009A6451" w:rsidP="000470AA">
            <w:pPr>
              <w:rPr>
                <w:color w:val="000000" w:themeColor="text1"/>
                <w:sz w:val="18"/>
              </w:rPr>
            </w:pPr>
            <w:hyperlink r:id="rId25" w:history="1">
              <w:r w:rsidR="000470AA" w:rsidRPr="000609C1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www.stat.gov.pl</w:t>
              </w:r>
            </w:hyperlink>
          </w:p>
        </w:tc>
      </w:tr>
      <w:tr w:rsidR="000470AA" w:rsidRPr="00876337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876337" w:rsidRDefault="000470AA" w:rsidP="000470AA">
            <w:pPr>
              <w:rPr>
                <w:sz w:val="18"/>
                <w:highlight w:val="yellow"/>
              </w:rPr>
            </w:pPr>
          </w:p>
        </w:tc>
        <w:tc>
          <w:tcPr>
            <w:tcW w:w="369" w:type="pct"/>
            <w:vAlign w:val="center"/>
          </w:tcPr>
          <w:p w:rsidR="000470AA" w:rsidRPr="00A7152F" w:rsidRDefault="000470AA" w:rsidP="000470AA">
            <w:pPr>
              <w:rPr>
                <w:sz w:val="18"/>
              </w:rPr>
            </w:pPr>
            <w:r w:rsidRPr="00A7152F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44176C7F" wp14:editId="51AA180E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0609C1" w:rsidRDefault="009A6451" w:rsidP="000470AA">
            <w:pPr>
              <w:rPr>
                <w:color w:val="000000" w:themeColor="text1"/>
                <w:sz w:val="18"/>
              </w:rPr>
            </w:pPr>
            <w:hyperlink r:id="rId27" w:history="1">
              <w:r w:rsidR="000470AA" w:rsidRPr="000609C1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@GUS_STAT</w:t>
              </w:r>
            </w:hyperlink>
          </w:p>
        </w:tc>
      </w:tr>
      <w:tr w:rsidR="000470AA" w:rsidRPr="00876337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876337" w:rsidRDefault="000470AA" w:rsidP="000470AA">
            <w:pPr>
              <w:rPr>
                <w:sz w:val="18"/>
                <w:highlight w:val="yellow"/>
              </w:rPr>
            </w:pPr>
          </w:p>
        </w:tc>
        <w:tc>
          <w:tcPr>
            <w:tcW w:w="369" w:type="pct"/>
            <w:vAlign w:val="center"/>
          </w:tcPr>
          <w:p w:rsidR="000470AA" w:rsidRPr="00A7152F" w:rsidRDefault="000470AA" w:rsidP="000470AA">
            <w:pPr>
              <w:rPr>
                <w:sz w:val="18"/>
              </w:rPr>
            </w:pPr>
            <w:r w:rsidRPr="00A7152F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0569BBB6" wp14:editId="4452FACD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0609C1" w:rsidRDefault="009A6451" w:rsidP="000470AA">
            <w:pPr>
              <w:rPr>
                <w:color w:val="000000" w:themeColor="text1"/>
                <w:sz w:val="20"/>
              </w:rPr>
            </w:pPr>
            <w:hyperlink r:id="rId29" w:history="1">
              <w:r w:rsidR="000470AA" w:rsidRPr="000609C1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@GlownyUrzadStatystyczny</w:t>
              </w:r>
            </w:hyperlink>
          </w:p>
        </w:tc>
      </w:tr>
    </w:tbl>
    <w:p w:rsidR="00D261A2" w:rsidRPr="00065E4D" w:rsidRDefault="009A6451" w:rsidP="00E76D26">
      <w:pPr>
        <w:rPr>
          <w:sz w:val="18"/>
        </w:rPr>
      </w:pPr>
      <w:r>
        <w:rPr>
          <w:noProof/>
          <w:sz w:val="18"/>
          <w:highlight w:val="yellow"/>
          <w:lang w:val="en-GB" w:eastAsia="en-GB"/>
        </w:rPr>
        <w:pict w14:anchorId="718789BC">
          <v:shape id="_x0000_s1030" type="#_x0000_t202" style="position:absolute;margin-left:1.5pt;margin-top:34.7pt;width:516.5pt;height:349.85pt;z-index:251744256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" fillcolor="#f2f2f2 [3052]" strokecolor="white [3212]">
            <v:textbox>
              <w:txbxContent>
                <w:p w:rsidR="00712AE9" w:rsidRDefault="00712AE9" w:rsidP="00883763">
                  <w:pPr>
                    <w:rPr>
                      <w:b/>
                    </w:rPr>
                  </w:pPr>
                </w:p>
                <w:p w:rsidR="00712AE9" w:rsidRPr="006761A7" w:rsidRDefault="00712AE9" w:rsidP="00883763">
                  <w:pPr>
                    <w:rPr>
                      <w:b/>
                    </w:rPr>
                  </w:pPr>
                  <w:r w:rsidRPr="006761A7">
                    <w:rPr>
                      <w:b/>
                    </w:rPr>
                    <w:t>Powiązane opracowania</w:t>
                  </w:r>
                </w:p>
                <w:p w:rsidR="00712AE9" w:rsidRPr="006761A7" w:rsidRDefault="009A6451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0" w:history="1">
                    <w:r w:rsidR="00712AE9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Komunikaty i obwieszczenia Prezesa GUS</w:t>
                    </w:r>
                  </w:hyperlink>
                </w:p>
                <w:p w:rsidR="00712AE9" w:rsidRPr="006761A7" w:rsidRDefault="009A6451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1" w:history="1">
                    <w:r w:rsidR="00712AE9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Informacje sygnalne</w:t>
                    </w:r>
                  </w:hyperlink>
                </w:p>
                <w:p w:rsidR="00712AE9" w:rsidRPr="00E233EA" w:rsidRDefault="00712AE9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</w:p>
                <w:p w:rsidR="00712AE9" w:rsidRPr="00E233EA" w:rsidRDefault="00712AE9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  <w:r w:rsidRPr="00E233EA">
                    <w:rPr>
                      <w:b/>
                      <w:color w:val="000000" w:themeColor="text1"/>
                      <w:szCs w:val="24"/>
                    </w:rPr>
                    <w:t>Temat dostępny w bazach danych</w:t>
                  </w:r>
                </w:p>
                <w:p w:rsidR="00712AE9" w:rsidRPr="006761A7" w:rsidRDefault="009A6451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2" w:history="1">
                    <w:r w:rsidR="00712AE9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Dziedzinowa Baza Wiedzy (DBW) Ceny</w:t>
                    </w:r>
                  </w:hyperlink>
                </w:p>
                <w:p w:rsidR="00712AE9" w:rsidRPr="006761A7" w:rsidRDefault="009A6451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3" w:history="1">
                    <w:r w:rsidR="00712AE9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Bank Danych Makroekonomicznych (BDM)</w:t>
                    </w:r>
                  </w:hyperlink>
                </w:p>
                <w:p w:rsidR="00712AE9" w:rsidRPr="006761A7" w:rsidRDefault="009A6451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4" w:history="1">
                    <w:r w:rsidR="00712AE9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Bank Danych Lokalnych (BDL)</w:t>
                    </w:r>
                  </w:hyperlink>
                </w:p>
                <w:p w:rsidR="00712AE9" w:rsidRPr="006761A7" w:rsidRDefault="009A6451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5" w:history="1">
                    <w:r w:rsidR="00712AE9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Wskaźniki cen (Obszary tematyczne: Ceny. Handel)</w:t>
                    </w:r>
                  </w:hyperlink>
                </w:p>
                <w:p w:rsidR="00712AE9" w:rsidRPr="006761A7" w:rsidRDefault="009A6451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6" w:history="1">
                    <w:r w:rsidR="00712AE9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Ceny (Obszary tematyczne: Ceny. Handel)</w:t>
                    </w:r>
                  </w:hyperlink>
                </w:p>
                <w:p w:rsidR="00712AE9" w:rsidRPr="006761A7" w:rsidRDefault="00712AE9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</w:p>
                <w:p w:rsidR="00712AE9" w:rsidRDefault="00712AE9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Cs w:val="24"/>
                    </w:rPr>
                    <w:t>Ważniejsze</w:t>
                  </w:r>
                  <w:r w:rsidRPr="00505A92">
                    <w:rPr>
                      <w:b/>
                      <w:color w:val="000000" w:themeColor="text1"/>
                      <w:szCs w:val="24"/>
                    </w:rPr>
                    <w:t xml:space="preserve"> pojęcia dostępne w słowniku</w:t>
                  </w:r>
                </w:p>
                <w:p w:rsidR="00712AE9" w:rsidRPr="006761A7" w:rsidRDefault="009A6451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7" w:history="1">
                    <w:r w:rsidR="00712AE9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Wskaźnik cen towarów i usług konsumpcyjnych</w:t>
                    </w:r>
                  </w:hyperlink>
                </w:p>
                <w:p w:rsidR="00712AE9" w:rsidRPr="00065E4D" w:rsidRDefault="009A6451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8" w:history="1">
                    <w:r w:rsidR="00712AE9" w:rsidRPr="00065E4D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Cena detaliczna</w:t>
                    </w:r>
                  </w:hyperlink>
                </w:p>
              </w:txbxContent>
            </v:textbox>
            <w10:wrap type="square" anchorx="margin"/>
          </v:shape>
        </w:pict>
      </w:r>
    </w:p>
    <w:sectPr w:rsidR="00D261A2" w:rsidRPr="00065E4D" w:rsidSect="00EF7B36">
      <w:headerReference w:type="default" r:id="rId39"/>
      <w:footerReference w:type="default" r:id="rId40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451" w:rsidRDefault="009A6451" w:rsidP="000662E2">
      <w:pPr>
        <w:spacing w:after="0" w:line="240" w:lineRule="auto"/>
      </w:pPr>
      <w:r>
        <w:separator/>
      </w:r>
    </w:p>
  </w:endnote>
  <w:endnote w:type="continuationSeparator" w:id="0">
    <w:p w:rsidR="009A6451" w:rsidRDefault="009A6451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0487"/>
      <w:docPartObj>
        <w:docPartGallery w:val="Page Numbers (Bottom of Page)"/>
        <w:docPartUnique/>
      </w:docPartObj>
    </w:sdtPr>
    <w:sdtEndPr/>
    <w:sdtContent>
      <w:p w:rsidR="00712AE9" w:rsidRDefault="00712AE9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36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0488"/>
      <w:docPartObj>
        <w:docPartGallery w:val="Page Numbers (Bottom of Page)"/>
        <w:docPartUnique/>
      </w:docPartObj>
    </w:sdtPr>
    <w:sdtEndPr/>
    <w:sdtContent>
      <w:p w:rsidR="00712AE9" w:rsidRDefault="00712AE9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3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712AE9" w:rsidRDefault="00712AE9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36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451" w:rsidRDefault="009A6451" w:rsidP="000662E2">
      <w:pPr>
        <w:spacing w:after="0" w:line="240" w:lineRule="auto"/>
      </w:pPr>
      <w:r>
        <w:separator/>
      </w:r>
    </w:p>
  </w:footnote>
  <w:footnote w:type="continuationSeparator" w:id="0">
    <w:p w:rsidR="009A6451" w:rsidRDefault="009A6451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AE9" w:rsidRDefault="009A6451">
    <w:pPr>
      <w:pStyle w:val="Nagwek"/>
    </w:pPr>
    <w:r>
      <w:rPr>
        <w:noProof/>
        <w:lang w:val="en-GB" w:eastAsia="en-GB"/>
      </w:rPr>
      <w:pict w14:anchorId="638A61E8">
        <v:rect id="Prostokąt 24" o:spid="_x0000_s2052" style="position:absolute;margin-left:410.6pt;margin-top:-14.05pt;width:147.6pt;height:1785.85pt;z-index:-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<v:path arrowok="t"/>
        </v:rect>
      </w:pict>
    </w:r>
  </w:p>
  <w:p w:rsidR="00712AE9" w:rsidRDefault="00712AE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AE9" w:rsidRDefault="009A6451">
    <w:pPr>
      <w:pStyle w:val="Nagwek"/>
      <w:rPr>
        <w:noProof/>
        <w:lang w:eastAsia="pl-PL"/>
      </w:rPr>
    </w:pPr>
    <w:r>
      <w:rPr>
        <w:noProof/>
        <w:lang w:val="en-GB" w:eastAsia="en-GB"/>
      </w:rPr>
      <w:pict w14:anchorId="4EDAE024">
        <v:rect id="Prostokąt 10" o:spid="_x0000_s2050" style="position:absolute;margin-left:411.45pt;margin-top:15.3pt;width:147.4pt;height:812.4pt;z-index:-251650048;visibility:visible;mso-width-relative:margin;mso-height-relative:margin;v-text-anchor:middle" wrapcoords="-110 0 -110 21591 21600 21591 21600 0 -110 0" fillcolor="#f2f2f2" stroked="f" strokeweight="1pt">
          <v:path arrowok="t"/>
          <w10:wrap type="tight"/>
        </v:rect>
      </w:pict>
    </w:r>
    <w:r w:rsidR="00712AE9" w:rsidRPr="00502F8C">
      <w:rPr>
        <w:noProof/>
        <w:lang w:eastAsia="pl-PL"/>
      </w:rPr>
      <w:drawing>
        <wp:inline distT="0" distB="0" distL="0" distR="0" wp14:anchorId="7BCC23B5" wp14:editId="6182DDA0">
          <wp:extent cx="1153274" cy="720000"/>
          <wp:effectExtent l="0" t="0" r="0" b="4445"/>
          <wp:docPr id="7" name="Obraz 7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GB" w:eastAsia="en-GB"/>
      </w:rPr>
      <w:pict w14:anchorId="4729B8CA">
        <v:shape id="Schemat blokowy: opóźnienie 6" o:spid="_x0000_s2051" style="position:absolute;margin-left:396.6pt;margin-top:15.65pt;width:162.25pt;height:28.15pt;flip:x;z-index:251668480;visibility:visible;mso-position-horizontal-relative:text;mso-position-vertical-relative:text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ga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7K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waRoGk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<v:stroke joinstyle="miter"/>
          <v:formulas/>
          <v:path arrowok="t" o:connecttype="custom" o:connectlocs="0,0;1881761,0;2060575,178753;1881761,357505;0,357505;0,0" o:connectangles="0,0,0,0,0,0" textboxrect="0,0,3527018,612140"/>
          <v:textbox style="mso-next-textbox:#Schemat blokowy: opóźnienie 6">
            <w:txbxContent>
              <w:p w:rsidR="00712AE9" w:rsidRPr="003C6C8D" w:rsidRDefault="00712AE9" w:rsidP="00074DD8">
                <w:pPr>
                  <w:spacing w:before="0" w:after="0" w:line="240" w:lineRule="auto"/>
                  <w:ind w:left="227"/>
                  <w:jc w:val="both"/>
                  <w:rPr>
                    <w:rFonts w:ascii="Fira Sans SemiBold" w:hAnsi="Fira Sans SemiBold"/>
                  </w:rPr>
                </w:pPr>
                <w:r>
                  <w:rPr>
                    <w:rFonts w:ascii="Fira Sans SemiBold" w:hAnsi="Fira Sans SemiBold"/>
                  </w:rPr>
                  <w:t>INFORMACJE SYGNALNE</w:t>
                </w:r>
              </w:p>
            </w:txbxContent>
          </v:textbox>
        </v:shape>
      </w:pict>
    </w:r>
  </w:p>
  <w:p w:rsidR="00712AE9" w:rsidRDefault="009A6451">
    <w:pPr>
      <w:pStyle w:val="Nagwek"/>
      <w:rPr>
        <w:noProof/>
        <w:lang w:eastAsia="pl-PL"/>
      </w:rPr>
    </w:pPr>
    <w:r>
      <w:rPr>
        <w:noProof/>
        <w:lang w:val="en-GB" w:eastAsia="en-GB"/>
      </w:rPr>
      <w:pict w14:anchorId="26A309B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pt;margin-top:20.95pt;width:112.8pt;height:26.5pt;z-index:2516695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CIw1m&#10;EAIAAP4DAAAOAAAAAAAAAAAAAAAAAC4CAABkcnMvZTJvRG9jLnhtbFBLAQItABQABgAIAAAAIQBr&#10;Z3Ed3gAAAAoBAAAPAAAAAAAAAAAAAAAAAGoEAABkcnMvZG93bnJldi54bWxQSwUGAAAAAAQABADz&#10;AAAAdQUAAAAA&#10;" filled="f" stroked="f">
          <v:textbox style="mso-next-textbox:#_x0000_s2049">
            <w:txbxContent>
              <w:p w:rsidR="00712AE9" w:rsidRPr="00C97596" w:rsidRDefault="00712AE9" w:rsidP="00F37172">
                <w:pPr>
                  <w:jc w:val="both"/>
                  <w:rPr>
                    <w:rFonts w:ascii="Fira Sans SemiBold" w:hAnsi="Fira Sans SemiBold"/>
                    <w:color w:val="001D77"/>
                  </w:rPr>
                </w:pPr>
                <w:r>
                  <w:rPr>
                    <w:rFonts w:ascii="Fira Sans SemiBold" w:hAnsi="Fira Sans SemiBold"/>
                    <w:color w:val="001D77"/>
                  </w:rPr>
                  <w:t>15.10.2020</w:t>
                </w:r>
                <w:r w:rsidRPr="00C97596">
                  <w:rPr>
                    <w:rFonts w:ascii="Fira Sans SemiBold" w:hAnsi="Fira Sans SemiBold"/>
                    <w:color w:val="001D77"/>
                  </w:rPr>
                  <w:t xml:space="preserve"> r.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AE9" w:rsidRDefault="00712AE9">
    <w:pPr>
      <w:pStyle w:val="Nagwek"/>
    </w:pPr>
  </w:p>
  <w:p w:rsidR="00712AE9" w:rsidRDefault="00712A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3.6pt;height:124.8pt;visibility:visible" o:bullet="t">
        <v:imagedata r:id="rId1" o:title=""/>
      </v:shape>
    </w:pict>
  </w:numPicBullet>
  <w:numPicBullet w:numPicBulletId="1">
    <w:pict>
      <v:shape id="_x0000_i1033" type="#_x0000_t75" style="width:123.6pt;height:124.8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53"/>
    <o:shapelayout v:ext="edit">
      <o:idmap v:ext="edit" data="2"/>
    </o:shapelayout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D87"/>
    <w:rsid w:val="00001C5B"/>
    <w:rsid w:val="00003437"/>
    <w:rsid w:val="0000709F"/>
    <w:rsid w:val="000078C9"/>
    <w:rsid w:val="000108B8"/>
    <w:rsid w:val="000152F5"/>
    <w:rsid w:val="0001700C"/>
    <w:rsid w:val="000201FC"/>
    <w:rsid w:val="00024B66"/>
    <w:rsid w:val="00034160"/>
    <w:rsid w:val="0004015D"/>
    <w:rsid w:val="00044EB2"/>
    <w:rsid w:val="0004582E"/>
    <w:rsid w:val="0004646A"/>
    <w:rsid w:val="000470AA"/>
    <w:rsid w:val="000522BA"/>
    <w:rsid w:val="000531EB"/>
    <w:rsid w:val="00057CA1"/>
    <w:rsid w:val="000609C1"/>
    <w:rsid w:val="00061DB5"/>
    <w:rsid w:val="00065E4D"/>
    <w:rsid w:val="000662E2"/>
    <w:rsid w:val="00066883"/>
    <w:rsid w:val="00074DD8"/>
    <w:rsid w:val="000800B4"/>
    <w:rsid w:val="000806F7"/>
    <w:rsid w:val="0009633C"/>
    <w:rsid w:val="00097840"/>
    <w:rsid w:val="000A014D"/>
    <w:rsid w:val="000A0FD3"/>
    <w:rsid w:val="000A350D"/>
    <w:rsid w:val="000A6963"/>
    <w:rsid w:val="000A7F1A"/>
    <w:rsid w:val="000B0727"/>
    <w:rsid w:val="000B5393"/>
    <w:rsid w:val="000C135D"/>
    <w:rsid w:val="000D1D43"/>
    <w:rsid w:val="000D225C"/>
    <w:rsid w:val="000D2465"/>
    <w:rsid w:val="000D2A5C"/>
    <w:rsid w:val="000E0918"/>
    <w:rsid w:val="000F2650"/>
    <w:rsid w:val="001011C3"/>
    <w:rsid w:val="0010223B"/>
    <w:rsid w:val="00110D87"/>
    <w:rsid w:val="001149A1"/>
    <w:rsid w:val="00114DB9"/>
    <w:rsid w:val="00115458"/>
    <w:rsid w:val="00116087"/>
    <w:rsid w:val="00130296"/>
    <w:rsid w:val="00132297"/>
    <w:rsid w:val="00133A82"/>
    <w:rsid w:val="00135B65"/>
    <w:rsid w:val="00142037"/>
    <w:rsid w:val="001423B6"/>
    <w:rsid w:val="001448A7"/>
    <w:rsid w:val="00146621"/>
    <w:rsid w:val="00162325"/>
    <w:rsid w:val="00165856"/>
    <w:rsid w:val="00194845"/>
    <w:rsid w:val="001951DA"/>
    <w:rsid w:val="001A3A7F"/>
    <w:rsid w:val="001A7573"/>
    <w:rsid w:val="001A78D0"/>
    <w:rsid w:val="001B7E7B"/>
    <w:rsid w:val="001C1375"/>
    <w:rsid w:val="001C3269"/>
    <w:rsid w:val="001D1DB4"/>
    <w:rsid w:val="001E1D94"/>
    <w:rsid w:val="001E7DBB"/>
    <w:rsid w:val="001F439C"/>
    <w:rsid w:val="001F60D1"/>
    <w:rsid w:val="002219F4"/>
    <w:rsid w:val="002268BB"/>
    <w:rsid w:val="00231607"/>
    <w:rsid w:val="0023381A"/>
    <w:rsid w:val="0024032F"/>
    <w:rsid w:val="002574F9"/>
    <w:rsid w:val="002576EE"/>
    <w:rsid w:val="00257A17"/>
    <w:rsid w:val="002621B1"/>
    <w:rsid w:val="00262B61"/>
    <w:rsid w:val="0026302B"/>
    <w:rsid w:val="002724FF"/>
    <w:rsid w:val="00275FA6"/>
    <w:rsid w:val="00276811"/>
    <w:rsid w:val="00276C9A"/>
    <w:rsid w:val="00280D7C"/>
    <w:rsid w:val="0028113C"/>
    <w:rsid w:val="00282699"/>
    <w:rsid w:val="00285768"/>
    <w:rsid w:val="00287261"/>
    <w:rsid w:val="00290CB6"/>
    <w:rsid w:val="002926DF"/>
    <w:rsid w:val="00296697"/>
    <w:rsid w:val="00296EB3"/>
    <w:rsid w:val="002A4D80"/>
    <w:rsid w:val="002B0472"/>
    <w:rsid w:val="002B5049"/>
    <w:rsid w:val="002B6B12"/>
    <w:rsid w:val="002B6EDF"/>
    <w:rsid w:val="002C5DB9"/>
    <w:rsid w:val="002D0020"/>
    <w:rsid w:val="002E6140"/>
    <w:rsid w:val="002E6985"/>
    <w:rsid w:val="002E71B6"/>
    <w:rsid w:val="002F77C8"/>
    <w:rsid w:val="003047EF"/>
    <w:rsid w:val="00304F22"/>
    <w:rsid w:val="00305162"/>
    <w:rsid w:val="00306C7C"/>
    <w:rsid w:val="003077B5"/>
    <w:rsid w:val="00310F90"/>
    <w:rsid w:val="003154A4"/>
    <w:rsid w:val="00317C90"/>
    <w:rsid w:val="00321506"/>
    <w:rsid w:val="00322EDD"/>
    <w:rsid w:val="00332320"/>
    <w:rsid w:val="00336B88"/>
    <w:rsid w:val="003405A4"/>
    <w:rsid w:val="00341C29"/>
    <w:rsid w:val="00345893"/>
    <w:rsid w:val="00347D72"/>
    <w:rsid w:val="00357611"/>
    <w:rsid w:val="00367237"/>
    <w:rsid w:val="0037077F"/>
    <w:rsid w:val="00372411"/>
    <w:rsid w:val="0037258A"/>
    <w:rsid w:val="00373882"/>
    <w:rsid w:val="003843DB"/>
    <w:rsid w:val="003901AC"/>
    <w:rsid w:val="00392DAC"/>
    <w:rsid w:val="00393761"/>
    <w:rsid w:val="00395E87"/>
    <w:rsid w:val="00397D18"/>
    <w:rsid w:val="003A1B36"/>
    <w:rsid w:val="003A440F"/>
    <w:rsid w:val="003B1454"/>
    <w:rsid w:val="003B18B6"/>
    <w:rsid w:val="003B5096"/>
    <w:rsid w:val="003C59E0"/>
    <w:rsid w:val="003C6C8D"/>
    <w:rsid w:val="003D3B24"/>
    <w:rsid w:val="003D3F59"/>
    <w:rsid w:val="003D4F95"/>
    <w:rsid w:val="003D5F42"/>
    <w:rsid w:val="003D60A9"/>
    <w:rsid w:val="003D67C8"/>
    <w:rsid w:val="003D7BC2"/>
    <w:rsid w:val="003E3529"/>
    <w:rsid w:val="003E6F8F"/>
    <w:rsid w:val="003F4C97"/>
    <w:rsid w:val="003F54AA"/>
    <w:rsid w:val="003F7143"/>
    <w:rsid w:val="003F7FE6"/>
    <w:rsid w:val="00400193"/>
    <w:rsid w:val="004002CD"/>
    <w:rsid w:val="004009D2"/>
    <w:rsid w:val="004052B4"/>
    <w:rsid w:val="004212E7"/>
    <w:rsid w:val="0042446D"/>
    <w:rsid w:val="004276B0"/>
    <w:rsid w:val="00427BF8"/>
    <w:rsid w:val="00431C02"/>
    <w:rsid w:val="00435CFE"/>
    <w:rsid w:val="00437395"/>
    <w:rsid w:val="00445047"/>
    <w:rsid w:val="00450CDA"/>
    <w:rsid w:val="00452976"/>
    <w:rsid w:val="00453304"/>
    <w:rsid w:val="00454E14"/>
    <w:rsid w:val="004566AB"/>
    <w:rsid w:val="0045762F"/>
    <w:rsid w:val="004601AC"/>
    <w:rsid w:val="00463E39"/>
    <w:rsid w:val="004657FC"/>
    <w:rsid w:val="0047107B"/>
    <w:rsid w:val="004733F6"/>
    <w:rsid w:val="00474E69"/>
    <w:rsid w:val="00481D83"/>
    <w:rsid w:val="0048486C"/>
    <w:rsid w:val="004858EB"/>
    <w:rsid w:val="00486EE6"/>
    <w:rsid w:val="0049189D"/>
    <w:rsid w:val="00493217"/>
    <w:rsid w:val="0049621B"/>
    <w:rsid w:val="00497A02"/>
    <w:rsid w:val="004C1895"/>
    <w:rsid w:val="004C6D40"/>
    <w:rsid w:val="004C732A"/>
    <w:rsid w:val="004D119F"/>
    <w:rsid w:val="004D2434"/>
    <w:rsid w:val="004D3ABE"/>
    <w:rsid w:val="004E21A3"/>
    <w:rsid w:val="004F0C3C"/>
    <w:rsid w:val="004F63FC"/>
    <w:rsid w:val="00501254"/>
    <w:rsid w:val="00501F76"/>
    <w:rsid w:val="00502E6F"/>
    <w:rsid w:val="00505447"/>
    <w:rsid w:val="00505A92"/>
    <w:rsid w:val="00511F19"/>
    <w:rsid w:val="00516071"/>
    <w:rsid w:val="0051646A"/>
    <w:rsid w:val="00516A50"/>
    <w:rsid w:val="005203F1"/>
    <w:rsid w:val="0052058B"/>
    <w:rsid w:val="005214FA"/>
    <w:rsid w:val="00521BC3"/>
    <w:rsid w:val="00526A58"/>
    <w:rsid w:val="00533632"/>
    <w:rsid w:val="0053648F"/>
    <w:rsid w:val="00541E6E"/>
    <w:rsid w:val="0054251F"/>
    <w:rsid w:val="00542AFC"/>
    <w:rsid w:val="005520D8"/>
    <w:rsid w:val="00556CF1"/>
    <w:rsid w:val="005572E4"/>
    <w:rsid w:val="00573DFA"/>
    <w:rsid w:val="005762A7"/>
    <w:rsid w:val="005762F6"/>
    <w:rsid w:val="0058363D"/>
    <w:rsid w:val="005875EB"/>
    <w:rsid w:val="005877DE"/>
    <w:rsid w:val="005916D7"/>
    <w:rsid w:val="0059573F"/>
    <w:rsid w:val="005A2784"/>
    <w:rsid w:val="005A698C"/>
    <w:rsid w:val="005B06A5"/>
    <w:rsid w:val="005B7E80"/>
    <w:rsid w:val="005C1AF8"/>
    <w:rsid w:val="005C209B"/>
    <w:rsid w:val="005D0389"/>
    <w:rsid w:val="005D1C04"/>
    <w:rsid w:val="005D470D"/>
    <w:rsid w:val="005E0799"/>
    <w:rsid w:val="005E2757"/>
    <w:rsid w:val="005E418C"/>
    <w:rsid w:val="005E7100"/>
    <w:rsid w:val="005F4399"/>
    <w:rsid w:val="005F5A80"/>
    <w:rsid w:val="005F71F7"/>
    <w:rsid w:val="006044FF"/>
    <w:rsid w:val="00604FF5"/>
    <w:rsid w:val="00606613"/>
    <w:rsid w:val="00607CC5"/>
    <w:rsid w:val="006149F0"/>
    <w:rsid w:val="0061655B"/>
    <w:rsid w:val="0062307C"/>
    <w:rsid w:val="006321A2"/>
    <w:rsid w:val="00632F88"/>
    <w:rsid w:val="00633014"/>
    <w:rsid w:val="0063437B"/>
    <w:rsid w:val="006346A9"/>
    <w:rsid w:val="00634C42"/>
    <w:rsid w:val="00636A57"/>
    <w:rsid w:val="00644254"/>
    <w:rsid w:val="0064598C"/>
    <w:rsid w:val="0064773F"/>
    <w:rsid w:val="006534BE"/>
    <w:rsid w:val="00660778"/>
    <w:rsid w:val="006673CA"/>
    <w:rsid w:val="0067044C"/>
    <w:rsid w:val="006718A3"/>
    <w:rsid w:val="00673C26"/>
    <w:rsid w:val="00674A8B"/>
    <w:rsid w:val="006812AF"/>
    <w:rsid w:val="00682B23"/>
    <w:rsid w:val="0068327D"/>
    <w:rsid w:val="00683EDE"/>
    <w:rsid w:val="00685123"/>
    <w:rsid w:val="00691225"/>
    <w:rsid w:val="00691316"/>
    <w:rsid w:val="006920EA"/>
    <w:rsid w:val="00694AF0"/>
    <w:rsid w:val="006961CA"/>
    <w:rsid w:val="00696814"/>
    <w:rsid w:val="006A4686"/>
    <w:rsid w:val="006B0B72"/>
    <w:rsid w:val="006B0E9E"/>
    <w:rsid w:val="006B208D"/>
    <w:rsid w:val="006B20B4"/>
    <w:rsid w:val="006B5AE4"/>
    <w:rsid w:val="006C1396"/>
    <w:rsid w:val="006C42C9"/>
    <w:rsid w:val="006D1507"/>
    <w:rsid w:val="006D4054"/>
    <w:rsid w:val="006D5C42"/>
    <w:rsid w:val="006D6B72"/>
    <w:rsid w:val="006E02EC"/>
    <w:rsid w:val="006E3324"/>
    <w:rsid w:val="006F145E"/>
    <w:rsid w:val="006F6B1F"/>
    <w:rsid w:val="007059D5"/>
    <w:rsid w:val="007063C3"/>
    <w:rsid w:val="00712AE9"/>
    <w:rsid w:val="007162EB"/>
    <w:rsid w:val="007211B1"/>
    <w:rsid w:val="0072400B"/>
    <w:rsid w:val="00733D55"/>
    <w:rsid w:val="00740107"/>
    <w:rsid w:val="007408FF"/>
    <w:rsid w:val="00743B8C"/>
    <w:rsid w:val="0074537D"/>
    <w:rsid w:val="00746187"/>
    <w:rsid w:val="00752A67"/>
    <w:rsid w:val="00761070"/>
    <w:rsid w:val="0076254F"/>
    <w:rsid w:val="00774934"/>
    <w:rsid w:val="00776D79"/>
    <w:rsid w:val="007801F5"/>
    <w:rsid w:val="00781552"/>
    <w:rsid w:val="00783CA4"/>
    <w:rsid w:val="007842FB"/>
    <w:rsid w:val="00786124"/>
    <w:rsid w:val="0078756B"/>
    <w:rsid w:val="00792E24"/>
    <w:rsid w:val="00793154"/>
    <w:rsid w:val="0079514B"/>
    <w:rsid w:val="00797060"/>
    <w:rsid w:val="007A2C0C"/>
    <w:rsid w:val="007A2DC1"/>
    <w:rsid w:val="007B74D8"/>
    <w:rsid w:val="007D3319"/>
    <w:rsid w:val="007D335D"/>
    <w:rsid w:val="007D440C"/>
    <w:rsid w:val="007E3314"/>
    <w:rsid w:val="007E4B03"/>
    <w:rsid w:val="007F045B"/>
    <w:rsid w:val="007F324B"/>
    <w:rsid w:val="007F3983"/>
    <w:rsid w:val="007F6195"/>
    <w:rsid w:val="00802A9A"/>
    <w:rsid w:val="0080553C"/>
    <w:rsid w:val="00805B46"/>
    <w:rsid w:val="00817790"/>
    <w:rsid w:val="00820461"/>
    <w:rsid w:val="008207B1"/>
    <w:rsid w:val="00820B10"/>
    <w:rsid w:val="0082498D"/>
    <w:rsid w:val="00825DC2"/>
    <w:rsid w:val="00831172"/>
    <w:rsid w:val="00834AD3"/>
    <w:rsid w:val="0084200F"/>
    <w:rsid w:val="00843795"/>
    <w:rsid w:val="008473E0"/>
    <w:rsid w:val="00847F0F"/>
    <w:rsid w:val="00852448"/>
    <w:rsid w:val="00860851"/>
    <w:rsid w:val="00876337"/>
    <w:rsid w:val="0088258A"/>
    <w:rsid w:val="008832C4"/>
    <w:rsid w:val="00883763"/>
    <w:rsid w:val="00886332"/>
    <w:rsid w:val="00887348"/>
    <w:rsid w:val="008A26D9"/>
    <w:rsid w:val="008A4C58"/>
    <w:rsid w:val="008B4996"/>
    <w:rsid w:val="008B4AE0"/>
    <w:rsid w:val="008C0C29"/>
    <w:rsid w:val="008C63C0"/>
    <w:rsid w:val="008C7A01"/>
    <w:rsid w:val="008D05FC"/>
    <w:rsid w:val="008F3638"/>
    <w:rsid w:val="008F4441"/>
    <w:rsid w:val="008F6F31"/>
    <w:rsid w:val="008F74DF"/>
    <w:rsid w:val="009056A6"/>
    <w:rsid w:val="0091008E"/>
    <w:rsid w:val="009127BA"/>
    <w:rsid w:val="00912EB7"/>
    <w:rsid w:val="00913FBA"/>
    <w:rsid w:val="00916782"/>
    <w:rsid w:val="00917CCF"/>
    <w:rsid w:val="009227A6"/>
    <w:rsid w:val="00927AD2"/>
    <w:rsid w:val="00933B26"/>
    <w:rsid w:val="00933EC1"/>
    <w:rsid w:val="00942DCA"/>
    <w:rsid w:val="0094622C"/>
    <w:rsid w:val="009530DB"/>
    <w:rsid w:val="00953676"/>
    <w:rsid w:val="009668F9"/>
    <w:rsid w:val="0097002A"/>
    <w:rsid w:val="009705EE"/>
    <w:rsid w:val="00971217"/>
    <w:rsid w:val="0097339D"/>
    <w:rsid w:val="00973EBC"/>
    <w:rsid w:val="00977927"/>
    <w:rsid w:val="0098135C"/>
    <w:rsid w:val="0098156A"/>
    <w:rsid w:val="0098469A"/>
    <w:rsid w:val="00984980"/>
    <w:rsid w:val="00984F8C"/>
    <w:rsid w:val="00986C0E"/>
    <w:rsid w:val="00990133"/>
    <w:rsid w:val="00991BAC"/>
    <w:rsid w:val="009A08F7"/>
    <w:rsid w:val="009A6451"/>
    <w:rsid w:val="009A6EA0"/>
    <w:rsid w:val="009B1399"/>
    <w:rsid w:val="009B6D11"/>
    <w:rsid w:val="009B746F"/>
    <w:rsid w:val="009C1335"/>
    <w:rsid w:val="009C1AB2"/>
    <w:rsid w:val="009C5407"/>
    <w:rsid w:val="009C7251"/>
    <w:rsid w:val="009D0FBC"/>
    <w:rsid w:val="009D1423"/>
    <w:rsid w:val="009E2E91"/>
    <w:rsid w:val="009E3BF4"/>
    <w:rsid w:val="009E3FA7"/>
    <w:rsid w:val="009E410D"/>
    <w:rsid w:val="009E77AF"/>
    <w:rsid w:val="009F4D4A"/>
    <w:rsid w:val="009F5815"/>
    <w:rsid w:val="009F5AB7"/>
    <w:rsid w:val="009F66BC"/>
    <w:rsid w:val="00A07F00"/>
    <w:rsid w:val="00A12435"/>
    <w:rsid w:val="00A139F5"/>
    <w:rsid w:val="00A15A51"/>
    <w:rsid w:val="00A2136A"/>
    <w:rsid w:val="00A34C24"/>
    <w:rsid w:val="00A365F4"/>
    <w:rsid w:val="00A37CE0"/>
    <w:rsid w:val="00A459FF"/>
    <w:rsid w:val="00A460E6"/>
    <w:rsid w:val="00A46BD5"/>
    <w:rsid w:val="00A47937"/>
    <w:rsid w:val="00A47D80"/>
    <w:rsid w:val="00A51BB2"/>
    <w:rsid w:val="00A53132"/>
    <w:rsid w:val="00A563F2"/>
    <w:rsid w:val="00A566E8"/>
    <w:rsid w:val="00A6676F"/>
    <w:rsid w:val="00A70953"/>
    <w:rsid w:val="00A7152F"/>
    <w:rsid w:val="00A74937"/>
    <w:rsid w:val="00A810F9"/>
    <w:rsid w:val="00A8165F"/>
    <w:rsid w:val="00A82477"/>
    <w:rsid w:val="00A845DC"/>
    <w:rsid w:val="00A86ECC"/>
    <w:rsid w:val="00A86FCC"/>
    <w:rsid w:val="00A93892"/>
    <w:rsid w:val="00AA569E"/>
    <w:rsid w:val="00AA710D"/>
    <w:rsid w:val="00AB6D25"/>
    <w:rsid w:val="00AC489E"/>
    <w:rsid w:val="00AD4947"/>
    <w:rsid w:val="00AD5F17"/>
    <w:rsid w:val="00AE20FD"/>
    <w:rsid w:val="00AE2D4B"/>
    <w:rsid w:val="00AE3075"/>
    <w:rsid w:val="00AE4F99"/>
    <w:rsid w:val="00B06265"/>
    <w:rsid w:val="00B11B69"/>
    <w:rsid w:val="00B14952"/>
    <w:rsid w:val="00B26993"/>
    <w:rsid w:val="00B31E5A"/>
    <w:rsid w:val="00B322EC"/>
    <w:rsid w:val="00B609CE"/>
    <w:rsid w:val="00B611C1"/>
    <w:rsid w:val="00B617A5"/>
    <w:rsid w:val="00B653AB"/>
    <w:rsid w:val="00B65F9E"/>
    <w:rsid w:val="00B66B19"/>
    <w:rsid w:val="00B67683"/>
    <w:rsid w:val="00B678FF"/>
    <w:rsid w:val="00B81B60"/>
    <w:rsid w:val="00B84277"/>
    <w:rsid w:val="00B86545"/>
    <w:rsid w:val="00B914E9"/>
    <w:rsid w:val="00B91831"/>
    <w:rsid w:val="00B94737"/>
    <w:rsid w:val="00B956EE"/>
    <w:rsid w:val="00B97152"/>
    <w:rsid w:val="00BA1AD0"/>
    <w:rsid w:val="00BA2BA1"/>
    <w:rsid w:val="00BA3562"/>
    <w:rsid w:val="00BA4C86"/>
    <w:rsid w:val="00BA5A42"/>
    <w:rsid w:val="00BB32AC"/>
    <w:rsid w:val="00BB4F09"/>
    <w:rsid w:val="00BB6447"/>
    <w:rsid w:val="00BB6E9C"/>
    <w:rsid w:val="00BC17C7"/>
    <w:rsid w:val="00BC2318"/>
    <w:rsid w:val="00BC427F"/>
    <w:rsid w:val="00BD4E33"/>
    <w:rsid w:val="00BE4B65"/>
    <w:rsid w:val="00BF790C"/>
    <w:rsid w:val="00C0047D"/>
    <w:rsid w:val="00C00EDA"/>
    <w:rsid w:val="00C030DE"/>
    <w:rsid w:val="00C057E5"/>
    <w:rsid w:val="00C11C07"/>
    <w:rsid w:val="00C1766A"/>
    <w:rsid w:val="00C22105"/>
    <w:rsid w:val="00C244B6"/>
    <w:rsid w:val="00C27D75"/>
    <w:rsid w:val="00C3702F"/>
    <w:rsid w:val="00C37388"/>
    <w:rsid w:val="00C4216E"/>
    <w:rsid w:val="00C4500A"/>
    <w:rsid w:val="00C45CAF"/>
    <w:rsid w:val="00C522A5"/>
    <w:rsid w:val="00C55C91"/>
    <w:rsid w:val="00C56FB5"/>
    <w:rsid w:val="00C57F14"/>
    <w:rsid w:val="00C57FE4"/>
    <w:rsid w:val="00C61795"/>
    <w:rsid w:val="00C61D89"/>
    <w:rsid w:val="00C64A37"/>
    <w:rsid w:val="00C67F67"/>
    <w:rsid w:val="00C7158E"/>
    <w:rsid w:val="00C7250B"/>
    <w:rsid w:val="00C7346B"/>
    <w:rsid w:val="00C73B5E"/>
    <w:rsid w:val="00C77C0E"/>
    <w:rsid w:val="00C8000E"/>
    <w:rsid w:val="00C91687"/>
    <w:rsid w:val="00C920B2"/>
    <w:rsid w:val="00C924A8"/>
    <w:rsid w:val="00C945FE"/>
    <w:rsid w:val="00C946D8"/>
    <w:rsid w:val="00C950B4"/>
    <w:rsid w:val="00C95320"/>
    <w:rsid w:val="00C96FAA"/>
    <w:rsid w:val="00C97A04"/>
    <w:rsid w:val="00CA107B"/>
    <w:rsid w:val="00CA228A"/>
    <w:rsid w:val="00CA27EA"/>
    <w:rsid w:val="00CA3165"/>
    <w:rsid w:val="00CA484D"/>
    <w:rsid w:val="00CA4FB6"/>
    <w:rsid w:val="00CC6180"/>
    <w:rsid w:val="00CC72FC"/>
    <w:rsid w:val="00CC739E"/>
    <w:rsid w:val="00CC75D3"/>
    <w:rsid w:val="00CD1E2E"/>
    <w:rsid w:val="00CD352D"/>
    <w:rsid w:val="00CD58B7"/>
    <w:rsid w:val="00CE2545"/>
    <w:rsid w:val="00CF08EF"/>
    <w:rsid w:val="00CF4099"/>
    <w:rsid w:val="00D00796"/>
    <w:rsid w:val="00D02D2C"/>
    <w:rsid w:val="00D07D16"/>
    <w:rsid w:val="00D14C59"/>
    <w:rsid w:val="00D1564D"/>
    <w:rsid w:val="00D261A2"/>
    <w:rsid w:val="00D3440A"/>
    <w:rsid w:val="00D401C9"/>
    <w:rsid w:val="00D43419"/>
    <w:rsid w:val="00D47B8D"/>
    <w:rsid w:val="00D518F8"/>
    <w:rsid w:val="00D538E4"/>
    <w:rsid w:val="00D54B01"/>
    <w:rsid w:val="00D616D2"/>
    <w:rsid w:val="00D636A8"/>
    <w:rsid w:val="00D63B5F"/>
    <w:rsid w:val="00D65AD9"/>
    <w:rsid w:val="00D7066F"/>
    <w:rsid w:val="00D70EF7"/>
    <w:rsid w:val="00D7217D"/>
    <w:rsid w:val="00D7664A"/>
    <w:rsid w:val="00D76A0A"/>
    <w:rsid w:val="00D815F5"/>
    <w:rsid w:val="00D83359"/>
    <w:rsid w:val="00D8397C"/>
    <w:rsid w:val="00D8427E"/>
    <w:rsid w:val="00D94EED"/>
    <w:rsid w:val="00D96026"/>
    <w:rsid w:val="00DA0243"/>
    <w:rsid w:val="00DA2A8B"/>
    <w:rsid w:val="00DA433C"/>
    <w:rsid w:val="00DA52A7"/>
    <w:rsid w:val="00DA7C1C"/>
    <w:rsid w:val="00DB147A"/>
    <w:rsid w:val="00DB1B7A"/>
    <w:rsid w:val="00DB20BC"/>
    <w:rsid w:val="00DC6708"/>
    <w:rsid w:val="00DC7CFA"/>
    <w:rsid w:val="00DE64C5"/>
    <w:rsid w:val="00DF4364"/>
    <w:rsid w:val="00DF712D"/>
    <w:rsid w:val="00E01436"/>
    <w:rsid w:val="00E045BD"/>
    <w:rsid w:val="00E07218"/>
    <w:rsid w:val="00E17A9F"/>
    <w:rsid w:val="00E17B77"/>
    <w:rsid w:val="00E23337"/>
    <w:rsid w:val="00E23CD2"/>
    <w:rsid w:val="00E259EA"/>
    <w:rsid w:val="00E27E85"/>
    <w:rsid w:val="00E30793"/>
    <w:rsid w:val="00E32061"/>
    <w:rsid w:val="00E41FCF"/>
    <w:rsid w:val="00E42FF9"/>
    <w:rsid w:val="00E435E4"/>
    <w:rsid w:val="00E4714C"/>
    <w:rsid w:val="00E517CA"/>
    <w:rsid w:val="00E51AEB"/>
    <w:rsid w:val="00E52010"/>
    <w:rsid w:val="00E522A7"/>
    <w:rsid w:val="00E54452"/>
    <w:rsid w:val="00E57AF4"/>
    <w:rsid w:val="00E63312"/>
    <w:rsid w:val="00E664C5"/>
    <w:rsid w:val="00E671A2"/>
    <w:rsid w:val="00E76D26"/>
    <w:rsid w:val="00E82C7E"/>
    <w:rsid w:val="00E93CDB"/>
    <w:rsid w:val="00E963C8"/>
    <w:rsid w:val="00EA45E9"/>
    <w:rsid w:val="00EB02C9"/>
    <w:rsid w:val="00EB1390"/>
    <w:rsid w:val="00EB2C71"/>
    <w:rsid w:val="00EB4340"/>
    <w:rsid w:val="00EB4822"/>
    <w:rsid w:val="00EB4D71"/>
    <w:rsid w:val="00EB556D"/>
    <w:rsid w:val="00EB5A7D"/>
    <w:rsid w:val="00EB73D7"/>
    <w:rsid w:val="00EB7815"/>
    <w:rsid w:val="00EC2274"/>
    <w:rsid w:val="00ED02EA"/>
    <w:rsid w:val="00ED55C0"/>
    <w:rsid w:val="00ED682B"/>
    <w:rsid w:val="00EE41D5"/>
    <w:rsid w:val="00EE4A70"/>
    <w:rsid w:val="00EE4ADB"/>
    <w:rsid w:val="00EE696D"/>
    <w:rsid w:val="00EF7B36"/>
    <w:rsid w:val="00F037A4"/>
    <w:rsid w:val="00F04C11"/>
    <w:rsid w:val="00F10D63"/>
    <w:rsid w:val="00F12FEC"/>
    <w:rsid w:val="00F26013"/>
    <w:rsid w:val="00F27C8F"/>
    <w:rsid w:val="00F30A0C"/>
    <w:rsid w:val="00F32749"/>
    <w:rsid w:val="00F37172"/>
    <w:rsid w:val="00F4477E"/>
    <w:rsid w:val="00F45717"/>
    <w:rsid w:val="00F53CEB"/>
    <w:rsid w:val="00F570CA"/>
    <w:rsid w:val="00F57391"/>
    <w:rsid w:val="00F60B5D"/>
    <w:rsid w:val="00F65EEC"/>
    <w:rsid w:val="00F6637E"/>
    <w:rsid w:val="00F67D8F"/>
    <w:rsid w:val="00F739B3"/>
    <w:rsid w:val="00F74B10"/>
    <w:rsid w:val="00F80247"/>
    <w:rsid w:val="00F802BE"/>
    <w:rsid w:val="00F80E93"/>
    <w:rsid w:val="00F8407A"/>
    <w:rsid w:val="00F86024"/>
    <w:rsid w:val="00F8611A"/>
    <w:rsid w:val="00F86C02"/>
    <w:rsid w:val="00F90BB1"/>
    <w:rsid w:val="00F93CA3"/>
    <w:rsid w:val="00F97A68"/>
    <w:rsid w:val="00FA0677"/>
    <w:rsid w:val="00FA5128"/>
    <w:rsid w:val="00FB2D00"/>
    <w:rsid w:val="00FB42D4"/>
    <w:rsid w:val="00FB5906"/>
    <w:rsid w:val="00FB762F"/>
    <w:rsid w:val="00FC1516"/>
    <w:rsid w:val="00FC2AED"/>
    <w:rsid w:val="00FC7489"/>
    <w:rsid w:val="00FD5EA7"/>
    <w:rsid w:val="00FF0F23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C93E2AEB-FC3A-4858-A058-B6DA1B5F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0609C1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68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68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68F9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68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68F9"/>
    <w:rPr>
      <w:rFonts w:ascii="Fira Sans" w:hAnsi="Fira Sans"/>
      <w:b/>
      <w:bCs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E23CD2"/>
  </w:style>
  <w:style w:type="table" w:customStyle="1" w:styleId="Tabelasiatki1jasnaakcent111">
    <w:name w:val="Tabela siatki 1 — jasna — akcent 111"/>
    <w:basedOn w:val="Standardowy"/>
    <w:uiPriority w:val="46"/>
    <w:rsid w:val="00E23CD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2">
    <w:name w:val="Siatka tabeli — jasna12"/>
    <w:basedOn w:val="Standardowy"/>
    <w:uiPriority w:val="40"/>
    <w:rsid w:val="00E23C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-Siatka1">
    <w:name w:val="Tabela - Siatka1"/>
    <w:basedOn w:val="Standardowy"/>
    <w:next w:val="Tabela-Siatka"/>
    <w:uiPriority w:val="39"/>
    <w:locked/>
    <w:rsid w:val="00E23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11">
    <w:name w:val="Siatka tabeli — jasna111"/>
    <w:basedOn w:val="Standardowy"/>
    <w:uiPriority w:val="40"/>
    <w:rsid w:val="00E23C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nyWeb">
    <w:name w:val="Normal (Web)"/>
    <w:basedOn w:val="Normalny"/>
    <w:uiPriority w:val="99"/>
    <w:unhideWhenUsed/>
    <w:rsid w:val="00044E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hyperlink" Target="https://ec.europa.eu/eurostat/documents/10186/10693286/HICP_lifting_lockdown_measures_guidance.pdf" TargetMode="External"/><Relationship Id="rId26" Type="http://schemas.openxmlformats.org/officeDocument/2006/relationships/image" Target="media/image6.png"/><Relationship Id="rId39" Type="http://schemas.openxmlformats.org/officeDocument/2006/relationships/header" Target="header3.xml"/><Relationship Id="rId21" Type="http://schemas.openxmlformats.org/officeDocument/2006/relationships/header" Target="header2.xml"/><Relationship Id="rId34" Type="http://schemas.openxmlformats.org/officeDocument/2006/relationships/hyperlink" Target="https://bdl.stat.gov.pl/BDL/start" TargetMode="External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stat.gov.pl/obszary-tematyczne/ceny-handel/wskazniki-cen/wytyczne-dotyczace-opracowania-hicp-w-kontekscie-kryzysu-zwiazanego-z-covid-19,19,1.html" TargetMode="External"/><Relationship Id="rId20" Type="http://schemas.openxmlformats.org/officeDocument/2006/relationships/footer" Target="footer1.xml"/><Relationship Id="rId29" Type="http://schemas.openxmlformats.org/officeDocument/2006/relationships/hyperlink" Target="https://www.facebook.com/GlownyUrzadStatystyczny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24" Type="http://schemas.openxmlformats.org/officeDocument/2006/relationships/image" Target="media/image5.png"/><Relationship Id="rId32" Type="http://schemas.openxmlformats.org/officeDocument/2006/relationships/hyperlink" Target="http://swaid.stat.gov.pl/SitePagesDBW/Ceny.aspx" TargetMode="External"/><Relationship Id="rId37" Type="http://schemas.openxmlformats.org/officeDocument/2006/relationships/hyperlink" Target="http://stat.gov.pl/metainformacje/slownik-pojec/pojecia-stosowane-w-statystyce-publicznej/711,pojecie.html" TargetMode="External"/><Relationship Id="rId40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chart" Target="charts/chart5.xml"/><Relationship Id="rId23" Type="http://schemas.openxmlformats.org/officeDocument/2006/relationships/hyperlink" Target="mailto:obslugaprasowa@stat.gov.pl" TargetMode="External"/><Relationship Id="rId28" Type="http://schemas.openxmlformats.org/officeDocument/2006/relationships/image" Target="media/image7.png"/><Relationship Id="rId36" Type="http://schemas.openxmlformats.org/officeDocument/2006/relationships/hyperlink" Target="http://stat.gov.pl/obszary-tematyczne/ceny-handel/ceny/" TargetMode="External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31" Type="http://schemas.openxmlformats.org/officeDocument/2006/relationships/hyperlink" Target="http://stat.gov.pl/sygnalne/informacje-sygnaln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4.xml"/><Relationship Id="rId22" Type="http://schemas.openxmlformats.org/officeDocument/2006/relationships/footer" Target="footer2.xml"/><Relationship Id="rId27" Type="http://schemas.openxmlformats.org/officeDocument/2006/relationships/hyperlink" Target="https://twitter.com/GUS_STAT" TargetMode="External"/><Relationship Id="rId30" Type="http://schemas.openxmlformats.org/officeDocument/2006/relationships/hyperlink" Target="http://stat.gov.pl/sygnalne/komunikaty-i-obwieszczenia/" TargetMode="External"/><Relationship Id="rId35" Type="http://schemas.openxmlformats.org/officeDocument/2006/relationships/hyperlink" Target="http://stat.gov.pl/obszary-tematyczne/ceny-handel/wskazniki-cen/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chart" Target="charts/chart2.xml"/><Relationship Id="rId17" Type="http://schemas.openxmlformats.org/officeDocument/2006/relationships/hyperlink" Target="https://ec.europa.eu/eurostat/documents/10186/10693286/HICP_guidance.pdf" TargetMode="External"/><Relationship Id="rId25" Type="http://schemas.openxmlformats.org/officeDocument/2006/relationships/hyperlink" Target="https://stat.gov.pl/" TargetMode="External"/><Relationship Id="rId33" Type="http://schemas.openxmlformats.org/officeDocument/2006/relationships/hyperlink" Target="http://bdm.stat.gov.pl/" TargetMode="External"/><Relationship Id="rId38" Type="http://schemas.openxmlformats.org/officeDocument/2006/relationships/hyperlink" Target="http://stat.gov.pl/metainformacje/slownik-pojec/pojecia-stosowane-w-statystyce-publicznej/32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NULL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NULL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9925199093703029"/>
          <c:y val="5.3855340776704272E-2"/>
          <c:w val="0.52658061332077077"/>
          <c:h val="0.790936210405628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334A92"/>
            </a:solidFill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-7.4279464360269484E-3"/>
                  <c:y val="9.151541316541554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438316152645201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38316152645201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954768209071298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9508571160382193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958877435096792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958877435096792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4.9588774350968982E-3"/>
                  <c:y val="-3.993507008366277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4.948386428271628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5.0098184276168717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6.9129952044939755E-3"/>
                  <c:y val="-3.4169516067158572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WPŁYWY!$A$1:$A$10</c:f>
              <c:strCache>
                <c:ptCount val="10"/>
                <c:pt idx="0">
                  <c:v>Owoce</c:v>
                </c:pt>
                <c:pt idx="1">
                  <c:v>Usługi transportowe</c:v>
                </c:pt>
                <c:pt idx="2">
                  <c:v>Turystyka zorganizowana</c:v>
                </c:pt>
                <c:pt idx="3">
                  <c:v>Artykuły do higieny osobistej i kosmetyki</c:v>
                </c:pt>
                <c:pt idx="4">
                  <c:v>Wywóz śmieci</c:v>
                </c:pt>
                <c:pt idx="5">
                  <c:v>Obuwie</c:v>
                </c:pt>
                <c:pt idx="6">
                  <c:v>Gastronomia</c:v>
                </c:pt>
                <c:pt idx="7">
                  <c:v>Usługi telekomunikacyjne</c:v>
                </c:pt>
                <c:pt idx="8">
                  <c:v>Odzież</c:v>
                </c:pt>
                <c:pt idx="9">
                  <c:v>Paliwa do prywatnych środków transportu</c:v>
                </c:pt>
              </c:strCache>
            </c:strRef>
          </c:cat>
          <c:val>
            <c:numRef>
              <c:f>WPŁYWY!$C$1:$C$10</c:f>
              <c:numCache>
                <c:formatCode>0.00</c:formatCode>
                <c:ptCount val="10"/>
                <c:pt idx="0">
                  <c:v>-0.09</c:v>
                </c:pt>
                <c:pt idx="1">
                  <c:v>-0.09</c:v>
                </c:pt>
                <c:pt idx="2">
                  <c:v>-0.03</c:v>
                </c:pt>
                <c:pt idx="3">
                  <c:v>-0.02</c:v>
                </c:pt>
                <c:pt idx="4">
                  <c:v>0.03</c:v>
                </c:pt>
                <c:pt idx="5">
                  <c:v>0.03</c:v>
                </c:pt>
                <c:pt idx="6">
                  <c:v>0.04</c:v>
                </c:pt>
                <c:pt idx="7">
                  <c:v>0.06</c:v>
                </c:pt>
                <c:pt idx="8">
                  <c:v>0.08</c:v>
                </c:pt>
                <c:pt idx="9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6172304"/>
        <c:axId val="1186172848"/>
      </c:barChart>
      <c:catAx>
        <c:axId val="1186172304"/>
        <c:scaling>
          <c:orientation val="minMax"/>
        </c:scaling>
        <c:delete val="0"/>
        <c:axPos val="l"/>
        <c:numFmt formatCode="@" sourceLinked="0"/>
        <c:majorTickMark val="none"/>
        <c:minorTickMark val="none"/>
        <c:tickLblPos val="low"/>
        <c:spPr>
          <a:noFill/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1186172848"/>
        <c:crossesAt val="0"/>
        <c:auto val="1"/>
        <c:lblAlgn val="ctr"/>
        <c:lblOffset val="400"/>
        <c:tickMarkSkip val="1"/>
        <c:noMultiLvlLbl val="0"/>
      </c:catAx>
      <c:valAx>
        <c:axId val="1186172848"/>
        <c:scaling>
          <c:orientation val="minMax"/>
          <c:max val="0.1"/>
          <c:min val="-0.1"/>
        </c:scaling>
        <c:delete val="0"/>
        <c:axPos val="b"/>
        <c:majorGridlines>
          <c:spPr>
            <a:ln w="3175">
              <a:solidFill>
                <a:srgbClr val="C0C0C0"/>
              </a:solidFill>
              <a:prstDash val="sysDot"/>
            </a:ln>
          </c:spPr>
        </c:majorGridlines>
        <c:numFmt formatCode="0.00" sourceLinked="1"/>
        <c:majorTickMark val="out"/>
        <c:minorTickMark val="none"/>
        <c:tickLblPos val="nextTo"/>
        <c:spPr>
          <a:ln w="6350"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1186172304"/>
        <c:crosses val="autoZero"/>
        <c:crossBetween val="between"/>
        <c:majorUnit val="5.000000000000001E-2"/>
        <c:minorUnit val="5.000000000000001E-2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2863205691702072"/>
          <c:y val="4.5267504380125223E-2"/>
          <c:w val="0.51626076491275064"/>
          <c:h val="0.87851429841506423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334A92"/>
            </a:solidFill>
          </c:spPr>
          <c:invertIfNegative val="0"/>
          <c:dLbls>
            <c:numFmt formatCode="#,##0.00" sourceLinked="0"/>
            <c:spPr>
              <a:noFill/>
              <a:ln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'SYSTEM WAG'!$B$2:$B$13</c:f>
              <c:strCache>
                <c:ptCount val="12"/>
                <c:pt idx="0">
                  <c:v>Inne towary i usługi</c:v>
                </c:pt>
                <c:pt idx="1">
                  <c:v>Restauracje i hotele</c:v>
                </c:pt>
                <c:pt idx="2">
                  <c:v>Edukacja</c:v>
                </c:pt>
                <c:pt idx="3">
                  <c:v>Rekreacja i kultura</c:v>
                </c:pt>
                <c:pt idx="4">
                  <c:v>Łączność</c:v>
                </c:pt>
                <c:pt idx="5">
                  <c:v>Transport</c:v>
                </c:pt>
                <c:pt idx="6">
                  <c:v>Zdrowie</c:v>
                </c:pt>
                <c:pt idx="7">
                  <c:v>Wyposażenie mieszkania 
i prowadzenie gospodarstwa domowego</c:v>
                </c:pt>
                <c:pt idx="8">
                  <c:v>Użytkowanie mieszkania 
lub domu i nośniki energii</c:v>
                </c:pt>
                <c:pt idx="9">
                  <c:v>Odzież i obuwie</c:v>
                </c:pt>
                <c:pt idx="10">
                  <c:v>Napoje alkoholowe 
i wyroby tytoniowe</c:v>
                </c:pt>
                <c:pt idx="11">
                  <c:v>Żywność i napoje bezalkoholowe</c:v>
                </c:pt>
              </c:strCache>
            </c:strRef>
          </c:cat>
          <c:val>
            <c:numRef>
              <c:f>'SYSTEM WAG'!$H$2:$H$13</c:f>
              <c:numCache>
                <c:formatCode>0.00</c:formatCode>
                <c:ptCount val="12"/>
                <c:pt idx="0">
                  <c:v>5.72</c:v>
                </c:pt>
                <c:pt idx="1">
                  <c:v>6.12</c:v>
                </c:pt>
                <c:pt idx="2">
                  <c:v>1.1499999999999999</c:v>
                </c:pt>
                <c:pt idx="3">
                  <c:v>6.62</c:v>
                </c:pt>
                <c:pt idx="4">
                  <c:v>4.54</c:v>
                </c:pt>
                <c:pt idx="5">
                  <c:v>9.89</c:v>
                </c:pt>
                <c:pt idx="6">
                  <c:v>5.29</c:v>
                </c:pt>
                <c:pt idx="7">
                  <c:v>5.8</c:v>
                </c:pt>
                <c:pt idx="8">
                  <c:v>18.440000000000001</c:v>
                </c:pt>
                <c:pt idx="9">
                  <c:v>4.9400000000000004</c:v>
                </c:pt>
                <c:pt idx="10">
                  <c:v>6.25</c:v>
                </c:pt>
                <c:pt idx="11">
                  <c:v>25.24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86173392"/>
        <c:axId val="1186173936"/>
      </c:barChart>
      <c:catAx>
        <c:axId val="11861733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>
            <a:solidFill>
              <a:schemeClr val="bg1">
                <a:lumMod val="50000"/>
              </a:schemeClr>
            </a:solidFill>
          </a:ln>
        </c:spPr>
        <c:txPr>
          <a:bodyPr rot="0" vert="horz"/>
          <a:lstStyle/>
          <a:p>
            <a:pPr algn="r">
              <a:defRPr sz="800"/>
            </a:pPr>
            <a:endParaRPr lang="pl-PL"/>
          </a:p>
        </c:txPr>
        <c:crossAx val="1186173936"/>
        <c:crosses val="autoZero"/>
        <c:auto val="0"/>
        <c:lblAlgn val="ctr"/>
        <c:lblOffset val="100"/>
        <c:noMultiLvlLbl val="0"/>
      </c:catAx>
      <c:valAx>
        <c:axId val="1186173936"/>
        <c:scaling>
          <c:orientation val="minMax"/>
        </c:scaling>
        <c:delete val="0"/>
        <c:axPos val="b"/>
        <c:majorGridlines>
          <c:spPr>
            <a:ln w="3175">
              <a:solidFill>
                <a:srgbClr val="B2B2B2"/>
              </a:solidFill>
              <a:prstDash val="sysDot"/>
            </a:ln>
          </c:spPr>
        </c:majorGridlines>
        <c:title>
          <c:tx>
            <c:rich>
              <a:bodyPr anchor="b" anchorCtr="1"/>
              <a:lstStyle/>
              <a:p>
                <a:pPr algn="r">
                  <a:defRPr/>
                </a:pPr>
                <a:r>
                  <a:rPr lang="pl-PL" b="0"/>
                  <a:t>%</a:t>
                </a:r>
              </a:p>
            </c:rich>
          </c:tx>
          <c:layout>
            <c:manualLayout>
              <c:xMode val="edge"/>
              <c:yMode val="edge"/>
              <c:x val="0.96046223117610507"/>
              <c:y val="0.93581559052340313"/>
            </c:manualLayout>
          </c:layout>
          <c:overlay val="0"/>
          <c:spPr>
            <a:noFill/>
            <a:ln>
              <a:noFill/>
            </a:ln>
          </c:spPr>
        </c:title>
        <c:numFmt formatCode="#,##0" sourceLinked="0"/>
        <c:majorTickMark val="out"/>
        <c:minorTickMark val="none"/>
        <c:tickLblPos val="nextTo"/>
        <c:spPr>
          <a:noFill/>
          <a:ln w="6350">
            <a:noFill/>
            <a:prstDash val="sysDot"/>
          </a:ln>
        </c:spPr>
        <c:crossAx val="118617339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Fira Sans" pitchFamily="34" charset="0"/>
          <a:ea typeface="Fira Sans" pitchFamily="34" charset="0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24"/>
            <c:bubble3D val="0"/>
          </c:dPt>
          <c:dPt>
            <c:idx val="25"/>
            <c:bubble3D val="0"/>
          </c:dPt>
          <c:dLbls>
            <c:dLbl>
              <c:idx val="0"/>
              <c:layout>
                <c:manualLayout>
                  <c:x val="-4.1462322130901709E-2"/>
                  <c:y val="4.18640666664079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8082859766814122E-2"/>
                  <c:y val="2.54245248233005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4886190088169113E-2"/>
                  <c:y val="2.09377310480579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2573981114021586E-2"/>
                  <c:y val="-4.45422697249251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4599079354789142E-2"/>
                  <c:y val="3.00884539841499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7650145085820135E-2"/>
                  <c:y val="-2.72799371794595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4247716857724923E-2"/>
                  <c:y val="4.107391800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4227975323367521E-2"/>
                  <c:y val="4.15453579364312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5867348435223836E-2"/>
                  <c:y val="3.98871606608057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5270582150507206E-2"/>
                  <c:y val="-4.42110518987949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1.7129501773629281E-2"/>
                  <c:y val="2.5589322579096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6.6771994710827676E-2"/>
                  <c:y val="9.6407892841711071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7965913138518742E-2"/>
                  <c:y val="-4.34774593115367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1.0444456371647304E-2"/>
                  <c:y val="-2.34607518363819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1.3773249047039556E-2"/>
                  <c:y val="-2.19875718538586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6.7036273874512248E-2"/>
                  <c:y val="1.89267236192997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3.5976911103846362E-2"/>
                  <c:y val="4.1756013250756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2.9118164432355619E-2"/>
                  <c:y val="-4.3755173873754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3.9165316280444451E-2"/>
                  <c:y val="4.0945321792603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1.8852143131304185E-2"/>
                  <c:y val="2.56779782720917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1.3170049395999413E-2"/>
                  <c:y val="-1.95886672748464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6.000355377514182E-2"/>
                  <c:y val="-2.89804487195939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4348846744937977E-3"/>
                  <c:y val="-2.44554399135528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6.4792085838631178E-2"/>
                  <c:y val="-3.53005222642810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5.4959735156323769E-2"/>
                  <c:y val="-3.12986501808440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2.5674301071814804E-2"/>
                  <c:y val="-6.5556993778651609E-2"/>
                </c:manualLayout>
              </c:layout>
              <c:tx>
                <c:rich>
                  <a:bodyPr anchor="t" anchorCtr="0"/>
                  <a:lstStyle/>
                  <a:p>
                    <a:pPr>
                      <a:defRPr sz="1000">
                        <a:latin typeface="Fira Sans" pitchFamily="34" charset="0"/>
                        <a:ea typeface="Fira Sans" pitchFamily="34" charset="0"/>
                      </a:defRPr>
                    </a:pPr>
                    <a:r>
                      <a:rPr lang="en-US" sz="800"/>
                      <a:t>0,7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2.3522786084724048E-2"/>
                  <c:y val="2.71832007072186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'M-1'!$B$38:$B$58</c:f>
              <c:strCache>
                <c:ptCount val="21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</c:strCache>
            </c:strRef>
          </c:cat>
          <c:val>
            <c:numRef>
              <c:f>'M-1'!$C$38:$C$58</c:f>
              <c:numCache>
                <c:formatCode>0.0</c:formatCode>
                <c:ptCount val="21"/>
                <c:pt idx="0">
                  <c:v>-0.2</c:v>
                </c:pt>
                <c:pt idx="1">
                  <c:v>0.4</c:v>
                </c:pt>
                <c:pt idx="2">
                  <c:v>0.3</c:v>
                </c:pt>
                <c:pt idx="3">
                  <c:v>1.1000000000000001</c:v>
                </c:pt>
                <c:pt idx="4">
                  <c:v>0.2</c:v>
                </c:pt>
                <c:pt idx="5">
                  <c:v>0.3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0.2</c:v>
                </c:pt>
                <c:pt idx="10">
                  <c:v>0.1</c:v>
                </c:pt>
                <c:pt idx="11">
                  <c:v>0.8</c:v>
                </c:pt>
                <c:pt idx="12">
                  <c:v>0.9</c:v>
                </c:pt>
                <c:pt idx="13">
                  <c:v>0.7</c:v>
                </c:pt>
                <c:pt idx="14">
                  <c:v>0.2</c:v>
                </c:pt>
                <c:pt idx="15">
                  <c:v>-0.1</c:v>
                </c:pt>
                <c:pt idx="16">
                  <c:v>-0.2</c:v>
                </c:pt>
                <c:pt idx="17">
                  <c:v>0.6</c:v>
                </c:pt>
                <c:pt idx="18">
                  <c:v>-0.2</c:v>
                </c:pt>
                <c:pt idx="19">
                  <c:v>-0.1</c:v>
                </c:pt>
                <c:pt idx="20">
                  <c:v>0.2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86174480"/>
        <c:axId val="1186175024"/>
      </c:lineChart>
      <c:dateAx>
        <c:axId val="1186174480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1186175024"/>
        <c:crossesAt val="0"/>
        <c:auto val="0"/>
        <c:lblOffset val="100"/>
        <c:baseTimeUnit val="days"/>
      </c:dateAx>
      <c:valAx>
        <c:axId val="1186175024"/>
        <c:scaling>
          <c:orientation val="minMax"/>
          <c:max val="1.2000000000000011"/>
          <c:min val="-0.60000000000000064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1186174480"/>
        <c:crossesAt val="1"/>
        <c:crossBetween val="between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27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3.6712576468564982E-2"/>
                  <c:y val="-5.03081221470171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8385861817637717E-2"/>
                  <c:y val="-2.53561086090868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868407881250148E-2"/>
                  <c:y val="-3.52178772341580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0083590846914286E-2"/>
                  <c:y val="-3.05616338155152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2107876545614117E-2"/>
                  <c:y val="-3.98909963796632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7613921579997982E-2"/>
                  <c:y val="-4.01310468286410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4265991626910811E-2"/>
                  <c:y val="-4.14095702817566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9124135916658552E-2"/>
                  <c:y val="-4.13391311191563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0799351293540451E-2"/>
                  <c:y val="-4.29146042134211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5197722914833453E-2"/>
                  <c:y val="-4.13088981398906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4.473125520600358E-2"/>
                  <c:y val="-3.58191287607062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1.2484229051433112E-2"/>
                  <c:y val="1.73959386648639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5.7786713153240278E-2"/>
                  <c:y val="-2.59016570311630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4.0220935206238491E-2"/>
                  <c:y val="-4.11558625449589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1.8683374165693573E-2"/>
                  <c:y val="-2.97780486507808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6889246059500914E-2"/>
                      <c:h val="5.7450489075958532E-2"/>
                    </c:manualLayout>
                  </c15:layout>
                </c:ext>
              </c:extLst>
            </c:dLbl>
            <c:dLbl>
              <c:idx val="15"/>
              <c:layout>
                <c:manualLayout>
                  <c:x val="-5.5295661851286683E-2"/>
                  <c:y val="2.00905129026223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1.8475672363621059E-2"/>
                  <c:y val="2.75108263118689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7.0953363017137849E-3"/>
                  <c:y val="-8.3155716395965831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3.9154040935460724E-2"/>
                  <c:y val="3.31941857186417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1.8602916634447766E-2"/>
                  <c:y val="2.78930327102106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1.3255128439790518E-2"/>
                  <c:y val="-5.4434030142704612E-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3.5278363395018442E-2"/>
                  <c:y val="2.82179783950616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3.0333682179759566E-3"/>
                  <c:y val="-3.53182340532497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1.0334949791819741E-2"/>
                  <c:y val="1.65965137293767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1.276433994611805E-2"/>
                  <c:y val="1.38879496298023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7.2784826812853837E-2"/>
                  <c:y val="-2.212248497510038E-2"/>
                </c:manualLayout>
              </c:layout>
              <c:spPr/>
              <c:txPr>
                <a:bodyPr anchor="t" anchorCtr="0"/>
                <a:lstStyle/>
                <a:p>
                  <a:pPr algn="ctr" rtl="0">
                    <a:defRPr lang="en-US" sz="800" b="0" i="0" u="none" strike="noStrike" kern="1200" baseline="0">
                      <a:solidFill>
                        <a:sysClr val="windowText" lastClr="000000"/>
                      </a:solidFill>
                      <a:latin typeface="Fira Sans" pitchFamily="34" charset="0"/>
                      <a:ea typeface="Fira Sans" pitchFamily="34" charset="0"/>
                      <a:cs typeface="+mn-cs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3961411244358282E-2"/>
                      <c:h val="5.713281828994788E-2"/>
                    </c:manualLayout>
                  </c15:layout>
                </c:ext>
              </c:extLst>
            </c:dLbl>
            <c:dLbl>
              <c:idx val="26"/>
              <c:layout>
                <c:manualLayout>
                  <c:x val="-2.8956234871554618E-2"/>
                  <c:y val="-3.61361882716049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-2.9224093677136003E-2"/>
                  <c:y val="-3.42589929418557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'M-12 (+FE)'!$B$38:$B$58</c:f>
              <c:strCache>
                <c:ptCount val="21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</c:strCache>
            </c:strRef>
          </c:cat>
          <c:val>
            <c:numRef>
              <c:f>'M-12 (+FE)'!$C$38:$C$58</c:f>
              <c:numCache>
                <c:formatCode>0.0</c:formatCode>
                <c:ptCount val="21"/>
                <c:pt idx="0">
                  <c:v>0.7</c:v>
                </c:pt>
                <c:pt idx="1">
                  <c:v>1.2</c:v>
                </c:pt>
                <c:pt idx="2">
                  <c:v>1.7</c:v>
                </c:pt>
                <c:pt idx="3">
                  <c:v>2.2000000000000002</c:v>
                </c:pt>
                <c:pt idx="4">
                  <c:v>2.4</c:v>
                </c:pt>
                <c:pt idx="5">
                  <c:v>2.6</c:v>
                </c:pt>
                <c:pt idx="6">
                  <c:v>2.9</c:v>
                </c:pt>
                <c:pt idx="7">
                  <c:v>2.9</c:v>
                </c:pt>
                <c:pt idx="8">
                  <c:v>2.6</c:v>
                </c:pt>
                <c:pt idx="9">
                  <c:v>2.5</c:v>
                </c:pt>
                <c:pt idx="10">
                  <c:v>2.6</c:v>
                </c:pt>
                <c:pt idx="11">
                  <c:v>3.4</c:v>
                </c:pt>
                <c:pt idx="12">
                  <c:v>4.3</c:v>
                </c:pt>
                <c:pt idx="13">
                  <c:v>4.7</c:v>
                </c:pt>
                <c:pt idx="14">
                  <c:v>4.5999999999999996</c:v>
                </c:pt>
                <c:pt idx="15">
                  <c:v>3.4</c:v>
                </c:pt>
                <c:pt idx="16">
                  <c:v>2.9</c:v>
                </c:pt>
                <c:pt idx="17">
                  <c:v>3.3</c:v>
                </c:pt>
                <c:pt idx="18">
                  <c:v>3</c:v>
                </c:pt>
                <c:pt idx="19">
                  <c:v>2.9</c:v>
                </c:pt>
                <c:pt idx="20">
                  <c:v>3.2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86175568"/>
        <c:axId val="1122327008"/>
      </c:lineChart>
      <c:dateAx>
        <c:axId val="1186175568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1122327008"/>
        <c:crossesAt val="0"/>
        <c:auto val="0"/>
        <c:lblOffset val="100"/>
        <c:baseTimeUnit val="days"/>
      </c:dateAx>
      <c:valAx>
        <c:axId val="1122327008"/>
        <c:scaling>
          <c:orientation val="minMax"/>
          <c:max val="5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1186175568"/>
        <c:crossesAt val="1"/>
        <c:crossBetween val="between"/>
        <c:majorUnit val="0.5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103308106031142E-2"/>
          <c:y val="5.2791985907422512E-2"/>
          <c:w val="0.86402212918953414"/>
          <c:h val="0.80215749189155816"/>
        </c:manualLayout>
      </c:layout>
      <c:lineChart>
        <c:grouping val="standard"/>
        <c:varyColors val="0"/>
        <c:ser>
          <c:idx val="0"/>
          <c:order val="0"/>
          <c:tx>
            <c:strRef>
              <c:f>'CPI_HICP m-12'!$B$2:$C$2</c:f>
              <c:strCache>
                <c:ptCount val="1"/>
                <c:pt idx="0">
                  <c:v>CPI</c:v>
                </c:pt>
              </c:strCache>
            </c:strRef>
          </c:tx>
          <c:spPr>
            <a:ln w="19050">
              <a:solidFill>
                <a:srgbClr val="001D77"/>
              </a:solidFill>
            </a:ln>
          </c:spPr>
          <c:marker>
            <c:symbol val="none"/>
          </c:marker>
          <c:cat>
            <c:strRef>
              <c:f>'CPI_HICP m-12'!$B$39:$B$59</c:f>
              <c:strCache>
                <c:ptCount val="21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</c:strCache>
            </c:strRef>
          </c:cat>
          <c:val>
            <c:numRef>
              <c:f>'CPI_HICP m-12'!$C$39:$C$59</c:f>
              <c:numCache>
                <c:formatCode>0.0</c:formatCode>
                <c:ptCount val="21"/>
                <c:pt idx="0">
                  <c:v>0.7</c:v>
                </c:pt>
                <c:pt idx="1">
                  <c:v>1.2</c:v>
                </c:pt>
                <c:pt idx="2">
                  <c:v>1.7</c:v>
                </c:pt>
                <c:pt idx="3">
                  <c:v>2.2000000000000002</c:v>
                </c:pt>
                <c:pt idx="4">
                  <c:v>2.4</c:v>
                </c:pt>
                <c:pt idx="5">
                  <c:v>2.6</c:v>
                </c:pt>
                <c:pt idx="6">
                  <c:v>2.9</c:v>
                </c:pt>
                <c:pt idx="7">
                  <c:v>2.9</c:v>
                </c:pt>
                <c:pt idx="8">
                  <c:v>2.6</c:v>
                </c:pt>
                <c:pt idx="9">
                  <c:v>2.5</c:v>
                </c:pt>
                <c:pt idx="10">
                  <c:v>2.6</c:v>
                </c:pt>
                <c:pt idx="11">
                  <c:v>3.4</c:v>
                </c:pt>
                <c:pt idx="12">
                  <c:v>4.3</c:v>
                </c:pt>
                <c:pt idx="13">
                  <c:v>4.7</c:v>
                </c:pt>
                <c:pt idx="14">
                  <c:v>4.5999999999999996</c:v>
                </c:pt>
                <c:pt idx="15">
                  <c:v>3.4</c:v>
                </c:pt>
                <c:pt idx="16">
                  <c:v>2.9</c:v>
                </c:pt>
                <c:pt idx="17">
                  <c:v>3.3</c:v>
                </c:pt>
                <c:pt idx="18">
                  <c:v>3</c:v>
                </c:pt>
                <c:pt idx="19">
                  <c:v>2.9</c:v>
                </c:pt>
                <c:pt idx="20">
                  <c:v>3.2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'CPI_HICP m-12'!$D$2:$E$2</c:f>
              <c:strCache>
                <c:ptCount val="1"/>
                <c:pt idx="0">
                  <c:v>HICP</c:v>
                </c:pt>
              </c:strCache>
            </c:strRef>
          </c:tx>
          <c:spPr>
            <a:ln w="19050">
              <a:solidFill>
                <a:srgbClr val="99A5C9"/>
              </a:solidFill>
            </a:ln>
          </c:spPr>
          <c:marker>
            <c:symbol val="none"/>
          </c:marker>
          <c:cat>
            <c:strRef>
              <c:f>'CPI_HICP m-12'!$B$39:$B$59</c:f>
              <c:strCache>
                <c:ptCount val="21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</c:strCache>
            </c:strRef>
          </c:cat>
          <c:val>
            <c:numRef>
              <c:f>'CPI_HICP m-12'!$E$39:$E$58</c:f>
              <c:numCache>
                <c:formatCode>0.0</c:formatCode>
                <c:ptCount val="20"/>
                <c:pt idx="0">
                  <c:v>0.6</c:v>
                </c:pt>
                <c:pt idx="1">
                  <c:v>1.3</c:v>
                </c:pt>
                <c:pt idx="2">
                  <c:v>1.7</c:v>
                </c:pt>
                <c:pt idx="3">
                  <c:v>2.1</c:v>
                </c:pt>
                <c:pt idx="4">
                  <c:v>2.2000000000000002</c:v>
                </c:pt>
                <c:pt idx="5">
                  <c:v>2.2999999999999998</c:v>
                </c:pt>
                <c:pt idx="6">
                  <c:v>2.5</c:v>
                </c:pt>
                <c:pt idx="7">
                  <c:v>2.6</c:v>
                </c:pt>
                <c:pt idx="8">
                  <c:v>2.4</c:v>
                </c:pt>
                <c:pt idx="9">
                  <c:v>2.2999999999999998</c:v>
                </c:pt>
                <c:pt idx="10">
                  <c:v>2.4</c:v>
                </c:pt>
                <c:pt idx="11">
                  <c:v>3</c:v>
                </c:pt>
                <c:pt idx="12">
                  <c:v>3.8</c:v>
                </c:pt>
                <c:pt idx="13">
                  <c:v>4.0999999999999996</c:v>
                </c:pt>
                <c:pt idx="14">
                  <c:v>3.9</c:v>
                </c:pt>
                <c:pt idx="15">
                  <c:v>2.9</c:v>
                </c:pt>
                <c:pt idx="16">
                  <c:v>3.4</c:v>
                </c:pt>
                <c:pt idx="17">
                  <c:v>3.8</c:v>
                </c:pt>
                <c:pt idx="18">
                  <c:v>3.7</c:v>
                </c:pt>
                <c:pt idx="19">
                  <c:v>3.7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22329728"/>
        <c:axId val="1122328640"/>
      </c:lineChart>
      <c:catAx>
        <c:axId val="1122329728"/>
        <c:scaling>
          <c:orientation val="minMax"/>
        </c:scaling>
        <c:delete val="0"/>
        <c:axPos val="b"/>
        <c:numFmt formatCode="d/mm" sourceLinked="0"/>
        <c:majorTickMark val="out"/>
        <c:minorTickMark val="none"/>
        <c:tickLblPos val="low"/>
        <c:spPr>
          <a:ln w="3175">
            <a:solidFill>
              <a:schemeClr val="bg1">
                <a:lumMod val="50000"/>
              </a:schemeClr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pl-PL"/>
          </a:p>
        </c:txPr>
        <c:crossAx val="1122328640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1122328640"/>
        <c:scaling>
          <c:orientation val="minMax"/>
          <c:max val="5"/>
          <c:min val="0"/>
        </c:scaling>
        <c:delete val="0"/>
        <c:axPos val="l"/>
        <c:majorGridlines>
          <c:spPr>
            <a:ln w="3175">
              <a:solidFill>
                <a:srgbClr val="C0C0C0"/>
              </a:solidFill>
              <a:prstDash val="sysDot"/>
            </a:ln>
          </c:spPr>
        </c:majorGridlines>
        <c:numFmt formatCode="0.0" sourceLinked="0"/>
        <c:majorTickMark val="out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pl-PL"/>
          </a:p>
        </c:txPr>
        <c:crossAx val="1122329728"/>
        <c:crosses val="autoZero"/>
        <c:crossBetween val="between"/>
        <c:majorUnit val="1"/>
        <c:minorUnit val="0.1"/>
      </c:valAx>
      <c:spPr>
        <a:noFill/>
        <a:ln w="3175">
          <a:noFill/>
          <a:prstDash val="solid"/>
        </a:ln>
      </c:spPr>
    </c:plotArea>
    <c:legend>
      <c:legendPos val="r"/>
      <c:layout>
        <c:manualLayout>
          <c:xMode val="edge"/>
          <c:yMode val="edge"/>
          <c:x val="0.81969141323705275"/>
          <c:y val="0.6239403220563462"/>
          <c:w val="0.11602738896666102"/>
          <c:h val="0.14737378640231696"/>
        </c:manualLayout>
      </c:layout>
      <c:overlay val="0"/>
      <c:spPr>
        <a:noFill/>
        <a:ln w="38100">
          <a:noFill/>
          <a:prstDash val="solid"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Fira Sans" pitchFamily="34" charset="0"/>
              <a:ea typeface="Fira Sans" pitchFamily="34" charset="0"/>
              <a:cs typeface="Arial CE"/>
            </a:defRPr>
          </a:pPr>
          <a:endParaRPr lang="pl-PL"/>
        </a:p>
      </c:txPr>
    </c:legend>
    <c:plotVisOnly val="0"/>
    <c:dispBlanksAs val="gap"/>
    <c:showDLblsOverMax val="0"/>
  </c:chart>
  <c:spPr>
    <a:noFill/>
    <a:ln w="9525">
      <a:noFill/>
      <a:prstDash val="solid"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MS Sans Serif"/>
          <a:ea typeface="MS Sans Serif"/>
          <a:cs typeface="MS Sans Serif"/>
        </a:defRPr>
      </a:pPr>
      <a:endParaRPr lang="pl-PL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0.56418</cdr:x>
      <cdr:y>0.8682</cdr:y>
    </cdr:from>
    <cdr:to>
      <cdr:x>0.56461</cdr:x>
      <cdr:y>0.94467</cdr:y>
    </cdr:to>
    <cdr:sp macro="" textlink="">
      <cdr:nvSpPr>
        <cdr:cNvPr id="7" name="Łącznik prosty 6"/>
        <cdr:cNvSpPr/>
      </cdr:nvSpPr>
      <cdr:spPr bwMode="auto">
        <a:xfrm xmlns:a="http://schemas.openxmlformats.org/drawingml/2006/main" flipH="1" flipV="1">
          <a:off x="2884194" y="2195145"/>
          <a:ext cx="2198" cy="193345"/>
        </a:xfrm>
        <a:prstGeom xmlns:a="http://schemas.openxmlformats.org/drawingml/2006/main" prst="line">
          <a:avLst/>
        </a:prstGeom>
        <a:ln xmlns:a="http://schemas.openxmlformats.org/drawingml/2006/main" w="6350">
          <a:solidFill>
            <a:schemeClr val="tx1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 wrap="square" lIns="18288" tIns="0" rIns="0" bIns="0" upright="1"/>
        <a:lstStyle xmlns:a="http://schemas.openxmlformats.org/drawingml/2006/main"/>
        <a:p xmlns:a="http://schemas.openxmlformats.org/drawingml/2006/main">
          <a:endParaRPr lang="pl-PL"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  <cdr:relSizeAnchor xmlns:cdr="http://schemas.openxmlformats.org/drawingml/2006/chartDrawing">
    <cdr:from>
      <cdr:x>0.06988</cdr:x>
      <cdr:y>0.93898</cdr:y>
    </cdr:from>
    <cdr:to>
      <cdr:x>0.64722</cdr:x>
      <cdr:y>0.99323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358042" y="2444751"/>
          <a:ext cx="2958124" cy="1412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0.06721</cdr:x>
      <cdr:y>0.9279</cdr:y>
    </cdr:from>
    <cdr:to>
      <cdr:x>0.48735</cdr:x>
      <cdr:y>0.99268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344362" y="2371725"/>
          <a:ext cx="2152654" cy="1655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0.09153</cdr:x>
      <cdr:y>0.93666</cdr:y>
    </cdr:from>
    <cdr:to>
      <cdr:x>0.58919</cdr:x>
      <cdr:y>1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470278" y="2349500"/>
          <a:ext cx="2556963" cy="158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0.57779</cdr:x>
      <cdr:y>0.93033</cdr:y>
    </cdr:from>
    <cdr:to>
      <cdr:x>0.9152</cdr:x>
      <cdr:y>0.99362</cdr:y>
    </cdr:to>
    <cdr:sp macro="" textlink="">
      <cdr:nvSpPr>
        <cdr:cNvPr id="56" name="pole tekstowe 1"/>
        <cdr:cNvSpPr txBox="1"/>
      </cdr:nvSpPr>
      <cdr:spPr>
        <a:xfrm xmlns:a="http://schemas.openxmlformats.org/drawingml/2006/main">
          <a:off x="2953737" y="2352233"/>
          <a:ext cx="1724904" cy="16002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2020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0.09502</cdr:x>
      <cdr:y>0.93504</cdr:y>
    </cdr:from>
    <cdr:to>
      <cdr:x>0.44296</cdr:x>
      <cdr:y>1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485657" y="2412651"/>
          <a:ext cx="1778364" cy="1676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0.06639</cdr:x>
      <cdr:y>0.93049</cdr:y>
    </cdr:from>
    <cdr:to>
      <cdr:x>0.46539</cdr:x>
      <cdr:y>0.99633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341169" y="2389435"/>
          <a:ext cx="2050416" cy="16907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0.06595</cdr:x>
      <cdr:y>0.45677</cdr:y>
    </cdr:from>
    <cdr:to>
      <cdr:x>0.92602</cdr:x>
      <cdr:y>0.45679</cdr:y>
    </cdr:to>
    <cdr:sp macro="" textlink="">
      <cdr:nvSpPr>
        <cdr:cNvPr id="11" name="Łącznik prosty 10"/>
        <cdr:cNvSpPr/>
      </cdr:nvSpPr>
      <cdr:spPr bwMode="auto">
        <a:xfrm xmlns:a="http://schemas.openxmlformats.org/drawingml/2006/main" flipV="1">
          <a:off x="338518" y="1173355"/>
          <a:ext cx="4414515" cy="5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0.067</cdr:x>
      <cdr:y>0.62248</cdr:y>
    </cdr:from>
    <cdr:to>
      <cdr:x>0.92803</cdr:x>
      <cdr:y>0.62276</cdr:y>
    </cdr:to>
    <cdr:sp macro="" textlink="">
      <cdr:nvSpPr>
        <cdr:cNvPr id="14" name="Łącznik prosty 13"/>
        <cdr:cNvSpPr/>
      </cdr:nvSpPr>
      <cdr:spPr bwMode="auto">
        <a:xfrm xmlns:a="http://schemas.openxmlformats.org/drawingml/2006/main">
          <a:off x="343211" y="1613116"/>
          <a:ext cx="4410664" cy="726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0.06469</cdr:x>
      <cdr:y>0.29385</cdr:y>
    </cdr:from>
    <cdr:to>
      <cdr:x>0.92846</cdr:x>
      <cdr:y>0.29476</cdr:y>
    </cdr:to>
    <cdr:sp macro="" textlink="">
      <cdr:nvSpPr>
        <cdr:cNvPr id="15" name="Łącznik prosty 14"/>
        <cdr:cNvSpPr/>
      </cdr:nvSpPr>
      <cdr:spPr bwMode="auto">
        <a:xfrm xmlns:a="http://schemas.openxmlformats.org/drawingml/2006/main" flipV="1">
          <a:off x="330459" y="768056"/>
          <a:ext cx="4412379" cy="2367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0.06735</cdr:x>
      <cdr:y>0.93162</cdr:y>
    </cdr:from>
    <cdr:to>
      <cdr:x>0.58678</cdr:x>
      <cdr:y>0.99515</cdr:y>
    </cdr:to>
    <cdr:sp macro="" textlink="">
      <cdr:nvSpPr>
        <cdr:cNvPr id="21" name="pole tekstowe 1"/>
        <cdr:cNvSpPr txBox="1"/>
      </cdr:nvSpPr>
      <cdr:spPr>
        <a:xfrm xmlns:a="http://schemas.openxmlformats.org/drawingml/2006/main">
          <a:off x="344066" y="2435030"/>
          <a:ext cx="2653393" cy="1660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0.56137</cdr:x>
      <cdr:y>0.93049</cdr:y>
    </cdr:from>
    <cdr:to>
      <cdr:x>0.9278</cdr:x>
      <cdr:y>0.99582</cdr:y>
    </cdr:to>
    <cdr:sp macro="" textlink="">
      <cdr:nvSpPr>
        <cdr:cNvPr id="22" name="pole tekstowe 1"/>
        <cdr:cNvSpPr txBox="1"/>
      </cdr:nvSpPr>
      <cdr:spPr>
        <a:xfrm xmlns:a="http://schemas.openxmlformats.org/drawingml/2006/main">
          <a:off x="2876821" y="2422206"/>
          <a:ext cx="1877838" cy="170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2020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0.56034</cdr:x>
      <cdr:y>0.86553</cdr:y>
    </cdr:from>
    <cdr:to>
      <cdr:x>0.56068</cdr:x>
      <cdr:y>0.94924</cdr:y>
    </cdr:to>
    <cdr:sp macro="" textlink="">
      <cdr:nvSpPr>
        <cdr:cNvPr id="23" name="Łącznik prosty 22"/>
        <cdr:cNvSpPr/>
      </cdr:nvSpPr>
      <cdr:spPr bwMode="auto">
        <a:xfrm xmlns:a="http://schemas.openxmlformats.org/drawingml/2006/main" flipH="1" flipV="1">
          <a:off x="2871551" y="2253105"/>
          <a:ext cx="1742" cy="21791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0.20918</cdr:x>
      <cdr:y>0.21986</cdr:y>
    </cdr:from>
    <cdr:to>
      <cdr:x>0.50922</cdr:x>
      <cdr:y>0.29876</cdr:y>
    </cdr:to>
    <cdr:sp macro="" textlink="">
      <cdr:nvSpPr>
        <cdr:cNvPr id="24" name="pole tekstowe 1"/>
        <cdr:cNvSpPr txBox="1"/>
      </cdr:nvSpPr>
      <cdr:spPr>
        <a:xfrm xmlns:a="http://schemas.openxmlformats.org/drawingml/2006/main">
          <a:off x="1071556" y="569753"/>
          <a:ext cx="1536969" cy="2044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700" b="0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 inflacyjnego</a:t>
          </a:r>
        </a:p>
      </cdr:txBody>
    </cdr:sp>
  </cdr:relSizeAnchor>
  <cdr:relSizeAnchor xmlns:cdr="http://schemas.openxmlformats.org/drawingml/2006/chartDrawing">
    <cdr:from>
      <cdr:x>0.21661</cdr:x>
      <cdr:y>0.62333</cdr:y>
    </cdr:from>
    <cdr:to>
      <cdr:x>0.4978</cdr:x>
      <cdr:y>0.70222</cdr:y>
    </cdr:to>
    <cdr:sp macro="" textlink="">
      <cdr:nvSpPr>
        <cdr:cNvPr id="25" name="pole tekstowe 1"/>
        <cdr:cNvSpPr txBox="1"/>
      </cdr:nvSpPr>
      <cdr:spPr>
        <a:xfrm xmlns:a="http://schemas.openxmlformats.org/drawingml/2006/main">
          <a:off x="1109594" y="1615319"/>
          <a:ext cx="1440409" cy="2044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700" b="0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 inflacyjnego</a:t>
          </a:r>
        </a:p>
      </cdr:txBody>
    </cdr:sp>
  </cdr:relSizeAnchor>
  <cdr:relSizeAnchor xmlns:cdr="http://schemas.openxmlformats.org/drawingml/2006/chartDrawing">
    <cdr:from>
      <cdr:x>0.5332</cdr:x>
      <cdr:y>0.38708</cdr:y>
    </cdr:from>
    <cdr:to>
      <cdr:x>0.72237</cdr:x>
      <cdr:y>0.47388</cdr:y>
    </cdr:to>
    <cdr:sp macro="" textlink="">
      <cdr:nvSpPr>
        <cdr:cNvPr id="16" name="Tekst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731328" y="1003093"/>
          <a:ext cx="969031" cy="22493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pl-PL" sz="700" b="0" i="0" u="none" strike="noStrike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 CE"/>
            </a:rPr>
            <a:t>Cel inflacyjny 2,5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0.06337</cdr:x>
      <cdr:y>0.0639</cdr:y>
    </cdr:from>
    <cdr:to>
      <cdr:x>0.12174</cdr:x>
      <cdr:y>0.18421</cdr:y>
    </cdr:to>
    <cdr:sp macro="" textlink="">
      <cdr:nvSpPr>
        <cdr:cNvPr id="1351681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24736" y="165552"/>
          <a:ext cx="299115" cy="31169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  <cdr:relSizeAnchor xmlns:cdr="http://schemas.openxmlformats.org/drawingml/2006/chartDrawing">
    <cdr:from>
      <cdr:x>0.50952</cdr:x>
      <cdr:y>0.48622</cdr:y>
    </cdr:from>
    <cdr:to>
      <cdr:x>0.52447</cdr:x>
      <cdr:y>0.5397</cdr:y>
    </cdr:to>
    <cdr:sp macro="" textlink="">
      <cdr:nvSpPr>
        <cdr:cNvPr id="1351684" name="Text Box 307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32480" y="1407902"/>
          <a:ext cx="65467" cy="1548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18288" rIns="18288" bIns="18288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800" b="0" i="0" u="none" strike="noStrike" baseline="0">
              <a:solidFill>
                <a:srgbClr val="000000"/>
              </a:solidFill>
              <a:latin typeface="MS Sans Serif"/>
            </a:rPr>
            <a:t> </a:t>
          </a:r>
        </a:p>
      </cdr:txBody>
    </cdr:sp>
  </cdr:relSizeAnchor>
  <cdr:relSizeAnchor xmlns:cdr="http://schemas.openxmlformats.org/drawingml/2006/chartDrawing">
    <cdr:from>
      <cdr:x>0.0649</cdr:x>
      <cdr:y>0.92017</cdr:y>
    </cdr:from>
    <cdr:to>
      <cdr:x>0.55999</cdr:x>
      <cdr:y>0.9836</cdr:y>
    </cdr:to>
    <cdr:sp macro="" textlink="">
      <cdr:nvSpPr>
        <cdr:cNvPr id="5" name="pole tekstowe 1"/>
        <cdr:cNvSpPr txBox="1"/>
      </cdr:nvSpPr>
      <cdr:spPr>
        <a:xfrm xmlns:a="http://schemas.openxmlformats.org/drawingml/2006/main">
          <a:off x="333375" y="2333624"/>
          <a:ext cx="2543175" cy="160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0.08308</cdr:x>
      <cdr:y>0.92137</cdr:y>
    </cdr:from>
    <cdr:to>
      <cdr:x>0.45083</cdr:x>
      <cdr:y>1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424455" y="2372591"/>
          <a:ext cx="1878863" cy="2024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0.22597</cdr:x>
      <cdr:y>0.92017</cdr:y>
    </cdr:from>
    <cdr:to>
      <cdr:x>0.88532</cdr:x>
      <cdr:y>0.98915</cdr:y>
    </cdr:to>
    <cdr:sp macro="" textlink="">
      <cdr:nvSpPr>
        <cdr:cNvPr id="8" name="pole tekstowe 1"/>
        <cdr:cNvSpPr txBox="1"/>
      </cdr:nvSpPr>
      <cdr:spPr>
        <a:xfrm xmlns:a="http://schemas.openxmlformats.org/drawingml/2006/main">
          <a:off x="1158875" y="2360823"/>
          <a:ext cx="3381375" cy="17697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2019                                                                               2020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0.5587</cdr:x>
      <cdr:y>0.8528</cdr:y>
    </cdr:from>
    <cdr:to>
      <cdr:x>0.55926</cdr:x>
      <cdr:y>0.93964</cdr:y>
    </cdr:to>
    <cdr:sp macro="" textlink="">
      <cdr:nvSpPr>
        <cdr:cNvPr id="9" name="Łącznik prosty 8"/>
        <cdr:cNvSpPr/>
      </cdr:nvSpPr>
      <cdr:spPr bwMode="auto">
        <a:xfrm xmlns:a="http://schemas.openxmlformats.org/drawingml/2006/main" flipH="1" flipV="1">
          <a:off x="2861953" y="2185059"/>
          <a:ext cx="2882" cy="22251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pl-PL"/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NazwaPliku xmlns="8C029B3F-2CC4-4A59-AF0D-A90575FA3373">CPI_09_2020.docx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STAT\RozkrutD</Osoba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2.xml><?xml version="1.0" encoding="utf-8"?>
<ds:datastoreItem xmlns:ds="http://schemas.openxmlformats.org/officeDocument/2006/customXml" ds:itemID="{0E8AAC38-C350-4EAE-829B-3C7AAE32B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28F654-8346-4135-B3E1-CA022A8A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7</Pages>
  <Words>1547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10811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2018-07-12T07:13:00Z</cp:lastPrinted>
  <dcterms:created xsi:type="dcterms:W3CDTF">2018-07-11T11:36:00Z</dcterms:created>
  <dcterms:modified xsi:type="dcterms:W3CDTF">2020-10-15T06:24:00Z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  <property fmtid="{D5CDD505-2E9C-101B-9397-08002B2CF9AE}" pid="3" name="ZnakPisma">
    <vt:lpwstr>GUS-HU03.6362</vt:lpwstr>
  </property>
  <property fmtid="{D5CDD505-2E9C-101B-9397-08002B2CF9AE}" pid="4" name="UNPPisma">
    <vt:lpwstr>2020-201483</vt:lpwstr>
  </property>
  <property fmtid="{D5CDD505-2E9C-101B-9397-08002B2CF9AE}" pid="5" name="ZnakSprawy">
    <vt:lpwstr/>
  </property>
  <property fmtid="{D5CDD505-2E9C-101B-9397-08002B2CF9AE}" pid="6" name="ZnakSprawyPrzedPrzeniesieniem">
    <vt:lpwstr/>
  </property>
  <property fmtid="{D5CDD505-2E9C-101B-9397-08002B2CF9AE}" pid="7" name="Autor">
    <vt:lpwstr>Sobocińska Aleksandra</vt:lpwstr>
  </property>
  <property fmtid="{D5CDD505-2E9C-101B-9397-08002B2CF9AE}" pid="8" name="AutorInicjaly">
    <vt:lpwstr>AS</vt:lpwstr>
  </property>
  <property fmtid="{D5CDD505-2E9C-101B-9397-08002B2CF9AE}" pid="9" name="AutorNrTelefonu">
    <vt:lpwstr>(22) 608-3512</vt:lpwstr>
  </property>
  <property fmtid="{D5CDD505-2E9C-101B-9397-08002B2CF9AE}" pid="10" name="Stanowisko">
    <vt:lpwstr>główny specjalista</vt:lpwstr>
  </property>
  <property fmtid="{D5CDD505-2E9C-101B-9397-08002B2CF9AE}" pid="11" name="OpisPisma">
    <vt:lpwstr>Informacja sygnalna "Wskaźniki cen towarów i usług konsumpcyjnych we wrześniu 2020 r.”; EMBARGO: 10:00 15.10.2020 r.</vt:lpwstr>
  </property>
  <property fmtid="{D5CDD505-2E9C-101B-9397-08002B2CF9AE}" pid="12" name="Komorka">
    <vt:lpwstr>Prezes GUS</vt:lpwstr>
  </property>
  <property fmtid="{D5CDD505-2E9C-101B-9397-08002B2CF9AE}" pid="13" name="KodKomorki">
    <vt:lpwstr>Prezes GUS</vt:lpwstr>
  </property>
  <property fmtid="{D5CDD505-2E9C-101B-9397-08002B2CF9AE}" pid="14" name="AktualnaData">
    <vt:lpwstr>2020-10-14</vt:lpwstr>
  </property>
  <property fmtid="{D5CDD505-2E9C-101B-9397-08002B2CF9AE}" pid="15" name="Wydzial">
    <vt:lpwstr>Wydział Cen Konsumpcyjnych</vt:lpwstr>
  </property>
  <property fmtid="{D5CDD505-2E9C-101B-9397-08002B2CF9AE}" pid="16" name="KodWydzialu">
    <vt:lpwstr>HU-03</vt:lpwstr>
  </property>
  <property fmtid="{D5CDD505-2E9C-101B-9397-08002B2CF9AE}" pid="17" name="ZaakceptowanePrzez">
    <vt:lpwstr>n/d</vt:lpwstr>
  </property>
  <property fmtid="{D5CDD505-2E9C-101B-9397-08002B2CF9AE}" pid="18" name="PrzekazanieDo">
    <vt:lpwstr>Wydział Cen Konsumpcyjnych(HU-03)</vt:lpwstr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KodKreskowy">
    <vt:lpwstr/>
  </property>
  <property fmtid="{D5CDD505-2E9C-101B-9397-08002B2CF9AE}" pid="36" name="TrescPisma">
    <vt:lpwstr/>
  </property>
</Properties>
</file>