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A3594E" w14:textId="745871CC" w:rsidR="007160E2" w:rsidRPr="007D605C" w:rsidRDefault="00005CC5" w:rsidP="00915ECB">
      <w:pPr>
        <w:pStyle w:val="Tytuinfomacjisygnalnej"/>
      </w:pPr>
      <w:bookmarkStart w:id="0" w:name="OLE_LINK1"/>
      <w:r>
        <w:t>Indeks kosztów zatrudnienia</w:t>
      </w:r>
      <w:r w:rsidR="00AB2F8F">
        <w:rPr>
          <w:rStyle w:val="Odwoanieprzypisudolnego"/>
        </w:rPr>
        <w:footnoteReference w:id="1"/>
      </w:r>
      <w:r>
        <w:t xml:space="preserve"> </w:t>
      </w:r>
      <w:r w:rsidR="002A4BFF">
        <w:t>w</w:t>
      </w:r>
      <w:r>
        <w:t xml:space="preserve"> kwartałach</w:t>
      </w:r>
      <w:r w:rsidR="00915ECB">
        <w:t xml:space="preserve"> 202</w:t>
      </w:r>
      <w:r w:rsidR="00086E07">
        <w:t>5</w:t>
      </w:r>
      <w:r w:rsidR="00915ECB">
        <w:t xml:space="preserve"> r.</w:t>
      </w:r>
    </w:p>
    <w:bookmarkEnd w:id="0"/>
    <w:p w14:paraId="08A5AC27" w14:textId="3C0E7E8B" w:rsidR="00915ECB" w:rsidRPr="000D040B" w:rsidRDefault="003844B0" w:rsidP="009078CF">
      <w:pPr>
        <w:pStyle w:val="Lead"/>
        <w:spacing w:after="960"/>
        <w:rPr>
          <w:rFonts w:eastAsia="Times New Roman" w:cs="Times New Roman"/>
          <w:bCs/>
          <w:noProof w:val="0"/>
        </w:rPr>
      </w:pPr>
      <w: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13D3548F" wp14:editId="2581D334">
                <wp:simplePos x="0" y="0"/>
                <wp:positionH relativeFrom="page">
                  <wp:posOffset>5739130</wp:posOffset>
                </wp:positionH>
                <wp:positionV relativeFrom="paragraph">
                  <wp:posOffset>1289050</wp:posOffset>
                </wp:positionV>
                <wp:extent cx="1772285" cy="1250950"/>
                <wp:effectExtent l="0" t="0" r="0" b="6350"/>
                <wp:wrapTight wrapText="bothSides">
                  <wp:wrapPolygon edited="0">
                    <wp:start x="697" y="0"/>
                    <wp:lineTo x="697" y="21381"/>
                    <wp:lineTo x="20664" y="21381"/>
                    <wp:lineTo x="20664" y="0"/>
                    <wp:lineTo x="697" y="0"/>
                  </wp:wrapPolygon>
                </wp:wrapTight>
                <wp:docPr id="5" name="Pole tekstowe 4" descr="IKZ to wskaźnik dynamiki zmian w stosunku do roku bazowego. Rokiem bazowym dla prezentowanych danych jest rok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12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A9C02" w14:textId="0754B2BF" w:rsidR="00A600B1" w:rsidRPr="00C73D7A" w:rsidRDefault="00A600B1" w:rsidP="00B217E5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  <w:spacing w:val="-3"/>
                              </w:rPr>
                              <w:t>IKZ to wskaźnik dynamiki zmian w stosunku do roku bazowego. Rokiem bazowym dla prezentowanych danych jest rok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3D3548F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alt="IKZ to wskaźnik dynamiki zmian w stosunku do roku bazowego. Rokiem bazowym dla prezentowanych danych jest rok 2020" style="position:absolute;margin-left:451.9pt;margin-top:101.5pt;width:139.55pt;height:98.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" filled="f" stroked="f">
                <v:textbox>
                  <w:txbxContent>
                    <w:p w14:paraId="788A9C02" w14:textId="0754B2BF" w:rsidR="00A600B1" w:rsidRPr="00C73D7A" w:rsidRDefault="00A600B1" w:rsidP="00B217E5">
                      <w:pPr>
                        <w:pStyle w:val="tekstzboku"/>
                      </w:pPr>
                      <w:r>
                        <w:rPr>
                          <w:rFonts w:cs="Arial"/>
                          <w:spacing w:val="-3"/>
                        </w:rPr>
                        <w:t>IKZ to wskaźnik dynamiki zmian w stosunku do roku bazowego. Rokiem bazowym dla prezentowanych danych jest rok 2020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973AF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B01E4DE" wp14:editId="5E4CBD77">
                <wp:simplePos x="0" y="0"/>
                <wp:positionH relativeFrom="margin">
                  <wp:posOffset>-4445</wp:posOffset>
                </wp:positionH>
                <wp:positionV relativeFrom="paragraph">
                  <wp:posOffset>13335</wp:posOffset>
                </wp:positionV>
                <wp:extent cx="2679700" cy="1240155"/>
                <wp:effectExtent l="0" t="0" r="0" b="0"/>
                <wp:wrapSquare wrapText="bothSides"/>
                <wp:docPr id="10" name="Pole tekstowe 2" descr="170,6 Wartość indeksu kosztów zatrudnienia w 4 kwartale 2025 roku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240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0DC1A" w14:textId="5B4F084A" w:rsidR="00A600B1" w:rsidRPr="00EA0D29" w:rsidRDefault="00A600B1" w:rsidP="009078C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06B5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170,6</w:t>
                            </w:r>
                          </w:p>
                          <w:p w14:paraId="37A8B926" w14:textId="44FBAD5F" w:rsidR="00A600B1" w:rsidRPr="00915ECB" w:rsidRDefault="00A600B1" w:rsidP="00915ECB">
                            <w:pPr>
                              <w:pStyle w:val="Opiswskanika"/>
                            </w:pPr>
                            <w:r>
                              <w:t xml:space="preserve">Wartość indeksu kosztów zatrudnienia w 4 kwartale 2025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B01E4DE" id="Pole tekstowe 2" o:spid="_x0000_s1027" alt="170,6 Wartość indeksu kosztów zatrudnienia w 4 kwartale 2025 roku. &#10;" style="position:absolute;margin-left:-.35pt;margin-top:1.05pt;width:211pt;height:97.6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" fillcolor="#001d77" stroked="f">
                <v:stroke joinstyle="miter"/>
                <v:textbox>
                  <w:txbxContent>
                    <w:p w14:paraId="7020DC1A" w14:textId="5B4F084A" w:rsidR="00A600B1" w:rsidRPr="00EA0D29" w:rsidRDefault="00A600B1" w:rsidP="009078C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06B5C">
                        <w:rPr>
                          <w:rStyle w:val="WartowskanikaZnak"/>
                          <w:sz w:val="72"/>
                          <w:szCs w:val="72"/>
                        </w:rPr>
                        <w:t>170,6</w:t>
                      </w:r>
                    </w:p>
                    <w:p w14:paraId="37A8B926" w14:textId="44FBAD5F" w:rsidR="00A600B1" w:rsidRPr="00915ECB" w:rsidRDefault="00A600B1" w:rsidP="00915ECB">
                      <w:pPr>
                        <w:pStyle w:val="Opiswskanika"/>
                      </w:pPr>
                      <w:r>
                        <w:t xml:space="preserve">Wartość indeksu kosztów zatrudnienia w 4 kwartale 2025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228A5">
        <w:rPr>
          <w:rFonts w:eastAsia="Times New Roman" w:cs="Times New Roman"/>
          <w:bCs/>
          <w:noProof w:val="0"/>
        </w:rPr>
        <w:t xml:space="preserve">W </w:t>
      </w:r>
      <w:r w:rsidR="009F74B3">
        <w:rPr>
          <w:rFonts w:eastAsia="Times New Roman" w:cs="Times New Roman"/>
          <w:bCs/>
          <w:noProof w:val="0"/>
        </w:rPr>
        <w:t>4</w:t>
      </w:r>
      <w:r w:rsidR="00086E07">
        <w:rPr>
          <w:rFonts w:eastAsia="Times New Roman" w:cs="Times New Roman"/>
          <w:bCs/>
          <w:noProof w:val="0"/>
        </w:rPr>
        <w:t xml:space="preserve"> kwartale 2025</w:t>
      </w:r>
      <w:r w:rsidR="00A316F2">
        <w:rPr>
          <w:rFonts w:eastAsia="Times New Roman" w:cs="Times New Roman"/>
          <w:bCs/>
          <w:noProof w:val="0"/>
        </w:rPr>
        <w:t xml:space="preserve"> </w:t>
      </w:r>
      <w:r w:rsidR="00BE7970">
        <w:rPr>
          <w:rFonts w:eastAsia="Times New Roman" w:cs="Times New Roman"/>
          <w:bCs/>
          <w:noProof w:val="0"/>
        </w:rPr>
        <w:t xml:space="preserve">r. </w:t>
      </w:r>
      <w:r w:rsidR="00A316F2">
        <w:rPr>
          <w:rFonts w:eastAsia="Times New Roman" w:cs="Times New Roman"/>
          <w:bCs/>
          <w:noProof w:val="0"/>
        </w:rPr>
        <w:t>indek</w:t>
      </w:r>
      <w:r w:rsidR="00502111">
        <w:rPr>
          <w:rFonts w:eastAsia="Times New Roman" w:cs="Times New Roman"/>
          <w:bCs/>
          <w:noProof w:val="0"/>
        </w:rPr>
        <w:t xml:space="preserve">s kosztów </w:t>
      </w:r>
      <w:r w:rsidR="00220E4B">
        <w:rPr>
          <w:rFonts w:eastAsia="Times New Roman" w:cs="Times New Roman"/>
          <w:bCs/>
          <w:noProof w:val="0"/>
        </w:rPr>
        <w:t>zatrudnienia</w:t>
      </w:r>
      <w:r w:rsidR="00FF2A56">
        <w:rPr>
          <w:rFonts w:eastAsia="Times New Roman" w:cs="Times New Roman"/>
          <w:bCs/>
          <w:noProof w:val="0"/>
        </w:rPr>
        <w:t xml:space="preserve"> </w:t>
      </w:r>
      <w:r w:rsidR="003A290A" w:rsidRPr="00D06B5C">
        <w:rPr>
          <w:rFonts w:eastAsia="Times New Roman" w:cs="Times New Roman"/>
          <w:bCs/>
          <w:noProof w:val="0"/>
        </w:rPr>
        <w:t>wzrósł</w:t>
      </w:r>
      <w:r w:rsidR="00375C71" w:rsidRPr="00D06B5C">
        <w:rPr>
          <w:rFonts w:eastAsia="Times New Roman" w:cs="Times New Roman"/>
          <w:bCs/>
          <w:noProof w:val="0"/>
        </w:rPr>
        <w:t xml:space="preserve"> o </w:t>
      </w:r>
      <w:r w:rsidR="00086E07" w:rsidRPr="00D06B5C">
        <w:rPr>
          <w:rFonts w:eastAsia="Times New Roman" w:cs="Times New Roman"/>
          <w:bCs/>
          <w:noProof w:val="0"/>
        </w:rPr>
        <w:t>5,0</w:t>
      </w:r>
      <w:r w:rsidR="000250A7" w:rsidRPr="00D06B5C">
        <w:rPr>
          <w:rFonts w:eastAsia="Times New Roman" w:cs="Times New Roman"/>
          <w:bCs/>
          <w:noProof w:val="0"/>
        </w:rPr>
        <w:t>%</w:t>
      </w:r>
      <w:r w:rsidR="00C44196" w:rsidRPr="00D06B5C">
        <w:rPr>
          <w:rFonts w:eastAsia="Times New Roman" w:cs="Times New Roman"/>
          <w:bCs/>
          <w:noProof w:val="0"/>
        </w:rPr>
        <w:t xml:space="preserve"> </w:t>
      </w:r>
      <w:r w:rsidR="00A571C1" w:rsidRPr="00D06B5C">
        <w:rPr>
          <w:rFonts w:eastAsia="Times New Roman" w:cs="Times New Roman"/>
          <w:bCs/>
          <w:noProof w:val="0"/>
        </w:rPr>
        <w:t>względem</w:t>
      </w:r>
      <w:r w:rsidR="00A571C1">
        <w:rPr>
          <w:rFonts w:eastAsia="Times New Roman" w:cs="Times New Roman"/>
          <w:bCs/>
          <w:noProof w:val="0"/>
        </w:rPr>
        <w:t xml:space="preserve"> </w:t>
      </w:r>
      <w:r w:rsidR="009F74B3">
        <w:rPr>
          <w:rFonts w:eastAsia="Times New Roman" w:cs="Times New Roman"/>
          <w:bCs/>
          <w:noProof w:val="0"/>
        </w:rPr>
        <w:t>1 </w:t>
      </w:r>
      <w:r w:rsidR="00757C29">
        <w:rPr>
          <w:rFonts w:eastAsia="Times New Roman" w:cs="Times New Roman"/>
          <w:bCs/>
          <w:noProof w:val="0"/>
        </w:rPr>
        <w:t xml:space="preserve">kwartału </w:t>
      </w:r>
      <w:r w:rsidR="000F2114">
        <w:rPr>
          <w:rFonts w:eastAsia="Times New Roman" w:cs="Times New Roman"/>
          <w:bCs/>
          <w:noProof w:val="0"/>
        </w:rPr>
        <w:t>tego samego roku</w:t>
      </w:r>
      <w:r w:rsidR="00D26963" w:rsidRPr="00B45303">
        <w:rPr>
          <w:rFonts w:eastAsia="Times New Roman" w:cs="Times New Roman"/>
          <w:bCs/>
          <w:noProof w:val="0"/>
        </w:rPr>
        <w:t>,</w:t>
      </w:r>
      <w:r w:rsidR="00803BB8" w:rsidRPr="00B45303">
        <w:rPr>
          <w:rFonts w:eastAsia="Times New Roman" w:cs="Times New Roman"/>
          <w:bCs/>
          <w:noProof w:val="0"/>
        </w:rPr>
        <w:t xml:space="preserve"> </w:t>
      </w:r>
      <w:r w:rsidR="009F74B3">
        <w:rPr>
          <w:rFonts w:eastAsia="Times New Roman" w:cs="Times New Roman"/>
          <w:bCs/>
          <w:noProof w:val="0"/>
        </w:rPr>
        <w:t>a </w:t>
      </w:r>
      <w:r w:rsidR="00C44196" w:rsidRPr="00B45303">
        <w:rPr>
          <w:rFonts w:eastAsia="Times New Roman" w:cs="Times New Roman"/>
          <w:bCs/>
          <w:noProof w:val="0"/>
        </w:rPr>
        <w:t>w</w:t>
      </w:r>
      <w:r w:rsidR="009F74B3">
        <w:rPr>
          <w:rFonts w:eastAsia="Times New Roman" w:cs="Times New Roman"/>
          <w:bCs/>
          <w:noProof w:val="0"/>
        </w:rPr>
        <w:t> </w:t>
      </w:r>
      <w:r w:rsidR="00A571C1">
        <w:rPr>
          <w:rFonts w:eastAsia="Times New Roman" w:cs="Times New Roman"/>
          <w:bCs/>
          <w:noProof w:val="0"/>
        </w:rPr>
        <w:t xml:space="preserve">stosunku do </w:t>
      </w:r>
      <w:r w:rsidR="000956F8">
        <w:rPr>
          <w:rFonts w:eastAsia="Times New Roman" w:cs="Times New Roman"/>
          <w:bCs/>
          <w:noProof w:val="0"/>
        </w:rPr>
        <w:t xml:space="preserve">2 i </w:t>
      </w:r>
      <w:r w:rsidR="009F74B3">
        <w:rPr>
          <w:rFonts w:eastAsia="Times New Roman" w:cs="Times New Roman"/>
          <w:bCs/>
          <w:noProof w:val="0"/>
        </w:rPr>
        <w:t>3</w:t>
      </w:r>
      <w:r w:rsidR="00086E07">
        <w:rPr>
          <w:rFonts w:eastAsia="Times New Roman" w:cs="Times New Roman"/>
          <w:bCs/>
          <w:noProof w:val="0"/>
        </w:rPr>
        <w:t xml:space="preserve"> kwartału 2025</w:t>
      </w:r>
      <w:r w:rsidR="00F4504A" w:rsidRPr="00B45303">
        <w:rPr>
          <w:rFonts w:eastAsia="Times New Roman" w:cs="Times New Roman"/>
          <w:bCs/>
          <w:noProof w:val="0"/>
        </w:rPr>
        <w:t> </w:t>
      </w:r>
      <w:r w:rsidR="00967351" w:rsidRPr="00B45303">
        <w:rPr>
          <w:rFonts w:eastAsia="Times New Roman" w:cs="Times New Roman"/>
          <w:bCs/>
          <w:noProof w:val="0"/>
        </w:rPr>
        <w:t>r.</w:t>
      </w:r>
      <w:r w:rsidR="00A571C1">
        <w:rPr>
          <w:rFonts w:eastAsia="Times New Roman" w:cs="Times New Roman"/>
          <w:bCs/>
          <w:noProof w:val="0"/>
        </w:rPr>
        <w:t xml:space="preserve"> </w:t>
      </w:r>
      <w:r w:rsidR="0033286C">
        <w:rPr>
          <w:rFonts w:eastAsia="Times New Roman" w:cs="Times New Roman"/>
          <w:bCs/>
          <w:noProof w:val="0"/>
        </w:rPr>
        <w:t xml:space="preserve">zwiększył </w:t>
      </w:r>
      <w:r w:rsidR="0033286C" w:rsidRPr="00D06B5C">
        <w:rPr>
          <w:rFonts w:eastAsia="Times New Roman" w:cs="Times New Roman"/>
          <w:bCs/>
          <w:noProof w:val="0"/>
        </w:rPr>
        <w:t xml:space="preserve">się </w:t>
      </w:r>
      <w:r w:rsidR="00086E07" w:rsidRPr="00D06B5C">
        <w:rPr>
          <w:rFonts w:eastAsia="Times New Roman" w:cs="Times New Roman"/>
          <w:bCs/>
          <w:noProof w:val="0"/>
        </w:rPr>
        <w:t>o</w:t>
      </w:r>
      <w:r w:rsidR="00F27991">
        <w:rPr>
          <w:rFonts w:eastAsia="Times New Roman" w:cs="Times New Roman"/>
          <w:bCs/>
          <w:noProof w:val="0"/>
        </w:rPr>
        <w:t xml:space="preserve"> 2,</w:t>
      </w:r>
      <w:r w:rsidR="005D495F">
        <w:rPr>
          <w:rFonts w:eastAsia="Times New Roman" w:cs="Times New Roman"/>
          <w:bCs/>
          <w:noProof w:val="0"/>
        </w:rPr>
        <w:t>8</w:t>
      </w:r>
      <w:r w:rsidR="00F27991">
        <w:rPr>
          <w:rFonts w:eastAsia="Times New Roman" w:cs="Times New Roman"/>
          <w:bCs/>
          <w:noProof w:val="0"/>
        </w:rPr>
        <w:t>% i</w:t>
      </w:r>
      <w:r w:rsidR="00086E07" w:rsidRPr="00D06B5C">
        <w:rPr>
          <w:rFonts w:eastAsia="Times New Roman" w:cs="Times New Roman"/>
          <w:bCs/>
          <w:noProof w:val="0"/>
        </w:rPr>
        <w:t xml:space="preserve"> 1,7</w:t>
      </w:r>
      <w:r w:rsidR="00803BB8" w:rsidRPr="00D06B5C">
        <w:rPr>
          <w:rFonts w:eastAsia="Times New Roman" w:cs="Times New Roman"/>
          <w:bCs/>
          <w:noProof w:val="0"/>
        </w:rPr>
        <w:t>%.</w:t>
      </w:r>
    </w:p>
    <w:p w14:paraId="0FDFE095" w14:textId="04FACEBE" w:rsidR="003844B0" w:rsidRDefault="00967ADF" w:rsidP="003844B0">
      <w:pPr>
        <w:spacing w:line="288" w:lineRule="auto"/>
        <w:rPr>
          <w:lang w:eastAsia="pl-PL"/>
        </w:rPr>
      </w:pPr>
      <w:r>
        <w:rPr>
          <w:lang w:eastAsia="pl-PL"/>
        </w:rPr>
        <w:t xml:space="preserve">W 4 kwartale 2025 r. koszty </w:t>
      </w:r>
      <w:r w:rsidR="00F27991">
        <w:rPr>
          <w:lang w:eastAsia="pl-PL"/>
        </w:rPr>
        <w:t>p</w:t>
      </w:r>
      <w:r w:rsidR="00562EF4">
        <w:rPr>
          <w:lang w:eastAsia="pl-PL"/>
        </w:rPr>
        <w:t>racy na godzinę przepracowaną</w:t>
      </w:r>
      <w:r>
        <w:rPr>
          <w:lang w:eastAsia="pl-PL"/>
        </w:rPr>
        <w:t xml:space="preserve"> były wyższe o 70,6% względem roku bazowego</w:t>
      </w:r>
      <w:r w:rsidR="00C55630">
        <w:rPr>
          <w:lang w:eastAsia="pl-PL"/>
        </w:rPr>
        <w:t>,</w:t>
      </w:r>
      <w:r w:rsidR="00EC079B">
        <w:rPr>
          <w:lang w:eastAsia="pl-PL"/>
        </w:rPr>
        <w:t xml:space="preserve"> </w:t>
      </w:r>
      <w:r w:rsidR="00C55630">
        <w:rPr>
          <w:lang w:eastAsia="pl-PL"/>
        </w:rPr>
        <w:t>tj. 2020 r.</w:t>
      </w:r>
      <w:r>
        <w:rPr>
          <w:lang w:eastAsia="pl-PL"/>
        </w:rPr>
        <w:t xml:space="preserve"> </w:t>
      </w:r>
      <w:r w:rsidR="00562EF4">
        <w:rPr>
          <w:lang w:eastAsia="pl-PL"/>
        </w:rPr>
        <w:t xml:space="preserve">Pod koniec </w:t>
      </w:r>
      <w:r w:rsidR="00D906C0">
        <w:rPr>
          <w:lang w:eastAsia="pl-PL"/>
        </w:rPr>
        <w:t>2025</w:t>
      </w:r>
      <w:r w:rsidR="00152B4B">
        <w:rPr>
          <w:lang w:eastAsia="pl-PL"/>
        </w:rPr>
        <w:t xml:space="preserve"> r. </w:t>
      </w:r>
      <w:r w:rsidR="002A143F">
        <w:rPr>
          <w:lang w:eastAsia="pl-PL"/>
        </w:rPr>
        <w:t xml:space="preserve">w Polsce </w:t>
      </w:r>
      <w:r w:rsidR="006D0602">
        <w:rPr>
          <w:lang w:eastAsia="pl-PL"/>
        </w:rPr>
        <w:t>wzrosł</w:t>
      </w:r>
      <w:r w:rsidR="003E7072">
        <w:rPr>
          <w:lang w:eastAsia="pl-PL"/>
        </w:rPr>
        <w:t xml:space="preserve">y </w:t>
      </w:r>
      <w:r w:rsidR="006D0602">
        <w:rPr>
          <w:lang w:eastAsia="pl-PL"/>
        </w:rPr>
        <w:t xml:space="preserve">koszty </w:t>
      </w:r>
      <w:r w:rsidR="00FE3016">
        <w:rPr>
          <w:lang w:eastAsia="pl-PL"/>
        </w:rPr>
        <w:t>pracy</w:t>
      </w:r>
      <w:r w:rsidR="00D906C0">
        <w:rPr>
          <w:lang w:eastAsia="pl-PL"/>
        </w:rPr>
        <w:t xml:space="preserve"> i niezna</w:t>
      </w:r>
      <w:r w:rsidR="00D06B5C">
        <w:rPr>
          <w:lang w:eastAsia="pl-PL"/>
        </w:rPr>
        <w:t>cz</w:t>
      </w:r>
      <w:r w:rsidR="00D906C0">
        <w:rPr>
          <w:lang w:eastAsia="pl-PL"/>
        </w:rPr>
        <w:t xml:space="preserve">nie zwiększyła się </w:t>
      </w:r>
      <w:r w:rsidR="008F5F37">
        <w:rPr>
          <w:lang w:eastAsia="pl-PL"/>
        </w:rPr>
        <w:t>liczba</w:t>
      </w:r>
      <w:r w:rsidR="003E7072">
        <w:rPr>
          <w:lang w:eastAsia="pl-PL"/>
        </w:rPr>
        <w:t xml:space="preserve"> przepracowanych godzin. </w:t>
      </w:r>
      <w:r w:rsidR="00A906E4" w:rsidRPr="00A906E4">
        <w:rPr>
          <w:lang w:eastAsia="pl-PL"/>
        </w:rPr>
        <w:t xml:space="preserve">Koszty </w:t>
      </w:r>
      <w:r w:rsidR="00A906E4">
        <w:rPr>
          <w:lang w:eastAsia="pl-PL"/>
        </w:rPr>
        <w:t>zatrudnienia</w:t>
      </w:r>
      <w:r w:rsidR="00A906E4" w:rsidRPr="00A906E4">
        <w:rPr>
          <w:lang w:eastAsia="pl-PL"/>
        </w:rPr>
        <w:t xml:space="preserve"> w 4 kw</w:t>
      </w:r>
      <w:r w:rsidR="009078CF">
        <w:rPr>
          <w:lang w:eastAsia="pl-PL"/>
        </w:rPr>
        <w:t>artale 2025 r. wzrosły o 7,7% w </w:t>
      </w:r>
      <w:r w:rsidR="00A906E4" w:rsidRPr="00A906E4">
        <w:rPr>
          <w:lang w:eastAsia="pl-PL"/>
        </w:rPr>
        <w:t>porównaniu z 4 kwartałem 2024 r., natomiast liczba przepracowanych godzin była w tym czasie wyższa o 0,2%.</w:t>
      </w:r>
    </w:p>
    <w:p w14:paraId="46C0EEA8" w14:textId="37337FBD" w:rsidR="00E273AB" w:rsidRDefault="003453A7" w:rsidP="003844B0">
      <w:pPr>
        <w:spacing w:line="288" w:lineRule="auto"/>
      </w:pPr>
      <w:r>
        <w:rPr>
          <w:rFonts w:cs="Arial"/>
          <w:spacing w:val="-3"/>
        </w:rPr>
        <w:t>W 2025 </w:t>
      </w:r>
      <w:r w:rsidR="00D06B5C">
        <w:rPr>
          <w:rFonts w:cs="Arial"/>
          <w:spacing w:val="-3"/>
        </w:rPr>
        <w:t>r. n</w:t>
      </w:r>
      <w:r w:rsidR="00C054B0">
        <w:rPr>
          <w:lang w:eastAsia="pl-PL"/>
        </w:rPr>
        <w:t>ajniższą</w:t>
      </w:r>
      <w:r w:rsidR="00672C8A">
        <w:rPr>
          <w:lang w:eastAsia="pl-PL"/>
        </w:rPr>
        <w:t xml:space="preserve"> </w:t>
      </w:r>
      <w:r w:rsidR="00F46BDE">
        <w:rPr>
          <w:lang w:eastAsia="pl-PL"/>
        </w:rPr>
        <w:t>wartoś</w:t>
      </w:r>
      <w:r w:rsidR="00C054B0">
        <w:rPr>
          <w:lang w:eastAsia="pl-PL"/>
        </w:rPr>
        <w:t>ć</w:t>
      </w:r>
      <w:r w:rsidR="00026BE4">
        <w:rPr>
          <w:lang w:eastAsia="pl-PL"/>
        </w:rPr>
        <w:t xml:space="preserve"> IKZ</w:t>
      </w:r>
      <w:r w:rsidR="003664B9">
        <w:rPr>
          <w:lang w:eastAsia="pl-PL"/>
        </w:rPr>
        <w:t xml:space="preserve"> </w:t>
      </w:r>
      <w:r w:rsidR="00672C8A">
        <w:rPr>
          <w:lang w:eastAsia="pl-PL"/>
        </w:rPr>
        <w:t>odnotowano</w:t>
      </w:r>
      <w:r w:rsidR="003664B9">
        <w:rPr>
          <w:lang w:eastAsia="pl-PL"/>
        </w:rPr>
        <w:t xml:space="preserve"> w </w:t>
      </w:r>
      <w:r w:rsidR="009F74B3">
        <w:rPr>
          <w:lang w:eastAsia="pl-PL"/>
        </w:rPr>
        <w:t>1</w:t>
      </w:r>
      <w:r w:rsidR="003664B9">
        <w:rPr>
          <w:lang w:eastAsia="pl-PL"/>
        </w:rPr>
        <w:t xml:space="preserve"> </w:t>
      </w:r>
      <w:r w:rsidR="00F46BDE">
        <w:rPr>
          <w:lang w:eastAsia="pl-PL"/>
        </w:rPr>
        <w:t>kwartale</w:t>
      </w:r>
      <w:r w:rsidR="00823E2B">
        <w:rPr>
          <w:lang w:eastAsia="pl-PL"/>
        </w:rPr>
        <w:t xml:space="preserve"> </w:t>
      </w:r>
      <w:r w:rsidR="00C51A31">
        <w:t xml:space="preserve">– </w:t>
      </w:r>
      <w:r w:rsidR="00823E2B">
        <w:rPr>
          <w:lang w:eastAsia="pl-PL"/>
        </w:rPr>
        <w:t>162,5</w:t>
      </w:r>
      <w:r w:rsidR="00D06B5C">
        <w:rPr>
          <w:lang w:eastAsia="pl-PL"/>
        </w:rPr>
        <w:t xml:space="preserve">. </w:t>
      </w:r>
      <w:r w:rsidR="00E273AB" w:rsidRPr="00E273AB">
        <w:rPr>
          <w:lang w:eastAsia="pl-PL"/>
        </w:rPr>
        <w:t xml:space="preserve">W kolejnych kwartałach wskaźnik rósł: w 2 kwartale był wyższy o 2,1%, w 3 kwartale </w:t>
      </w:r>
      <w:r w:rsidR="003844B0">
        <w:rPr>
          <w:lang w:eastAsia="pl-PL"/>
        </w:rPr>
        <w:t>o 3,3%, a w 4 kwartale o 5,0% w </w:t>
      </w:r>
      <w:r w:rsidR="00E273AB" w:rsidRPr="00E273AB">
        <w:rPr>
          <w:lang w:eastAsia="pl-PL"/>
        </w:rPr>
        <w:t>porównaniu z 1 kwartałem.</w:t>
      </w:r>
      <w:r w:rsidR="00E273AB">
        <w:rPr>
          <w:lang w:eastAsia="pl-PL"/>
        </w:rPr>
        <w:t xml:space="preserve"> </w:t>
      </w:r>
      <w:r w:rsidR="00E273AB" w:rsidRPr="00E273AB">
        <w:rPr>
          <w:lang w:eastAsia="pl-PL"/>
        </w:rPr>
        <w:t>W podziale na sekcje PKD 2007 najwyższe wartości IKZ przez cały rok notowano w sekcji Opieka zdrowotna i pomoc społeczna (Q).</w:t>
      </w:r>
      <w:r w:rsidR="00E273AB">
        <w:rPr>
          <w:lang w:eastAsia="pl-PL"/>
        </w:rPr>
        <w:t xml:space="preserve"> </w:t>
      </w:r>
      <w:bookmarkStart w:id="1" w:name="_Hlk227240647"/>
      <w:r w:rsidR="002C5F9D">
        <w:t>Wartości te wyniosły odpowiednio: 185,0</w:t>
      </w:r>
      <w:r w:rsidR="00154BED">
        <w:t xml:space="preserve"> w 1 kwartale</w:t>
      </w:r>
      <w:r w:rsidR="002C5F9D">
        <w:t>, 187,9</w:t>
      </w:r>
      <w:r w:rsidR="00154BED">
        <w:t xml:space="preserve"> w 2 kwartale</w:t>
      </w:r>
      <w:r w:rsidR="002C5F9D">
        <w:t>, 189,9</w:t>
      </w:r>
      <w:r w:rsidR="00154BED">
        <w:t xml:space="preserve"> w 3 kwartale</w:t>
      </w:r>
      <w:r w:rsidR="002C5F9D">
        <w:t xml:space="preserve"> oraz 192,0</w:t>
      </w:r>
      <w:r w:rsidR="00F65123">
        <w:br/>
      </w:r>
      <w:r w:rsidR="002C5F9D">
        <w:t xml:space="preserve">w </w:t>
      </w:r>
      <w:r w:rsidR="00154BED">
        <w:t>4</w:t>
      </w:r>
      <w:r w:rsidR="002C5F9D">
        <w:t xml:space="preserve"> kwartale</w:t>
      </w:r>
      <w:bookmarkEnd w:id="1"/>
      <w:r w:rsidR="002C5F9D">
        <w:t xml:space="preserve">. </w:t>
      </w:r>
      <w:r w:rsidR="00E273AB" w:rsidRPr="00E273AB">
        <w:t xml:space="preserve">Najniższe wartości występowały natomiast w różnych sekcjach w zależności </w:t>
      </w:r>
      <w:r w:rsidR="003844B0">
        <w:t>od kwartału: w 1 i 3 kwartale w </w:t>
      </w:r>
      <w:r w:rsidR="00E273AB" w:rsidRPr="00E273AB">
        <w:t>sekcji</w:t>
      </w:r>
      <w:r w:rsidR="00E273AB">
        <w:t xml:space="preserve"> </w:t>
      </w:r>
      <w:r w:rsidR="00E273AB" w:rsidRPr="00823E2B">
        <w:t>Wytwarzanie i zaopatrywanie w energię elektryczną, gaz, parę wodną i gorą</w:t>
      </w:r>
      <w:r w:rsidR="003844B0">
        <w:t>cą wodę</w:t>
      </w:r>
      <w:r w:rsidR="00E273AB" w:rsidRPr="003844B0">
        <w:rPr>
          <w:vertAlign w:val="superscript"/>
        </w:rPr>
        <w:t xml:space="preserve">∆ </w:t>
      </w:r>
      <w:r w:rsidR="00E273AB" w:rsidRPr="00823E2B">
        <w:t>(D)</w:t>
      </w:r>
      <w:r w:rsidR="00E273AB">
        <w:t xml:space="preserve"> – 152,2 oraz 147,2;</w:t>
      </w:r>
      <w:r w:rsidR="00E273AB" w:rsidRPr="00E273AB">
        <w:t xml:space="preserve"> w 2 kwartale w sekcji </w:t>
      </w:r>
      <w:r w:rsidR="003844B0">
        <w:t>Obsługa rynku nieruchomości</w:t>
      </w:r>
      <w:r w:rsidR="00E273AB" w:rsidRPr="003844B0">
        <w:rPr>
          <w:vertAlign w:val="superscript"/>
        </w:rPr>
        <w:t>∆</w:t>
      </w:r>
      <w:r w:rsidR="00E273AB" w:rsidRPr="00A600B1">
        <w:t xml:space="preserve"> (L) – </w:t>
      </w:r>
      <w:r w:rsidR="00E273AB">
        <w:t>155,1;</w:t>
      </w:r>
      <w:r w:rsidR="003844B0">
        <w:t xml:space="preserve"> a w </w:t>
      </w:r>
      <w:r w:rsidR="003844B0" w:rsidRPr="003844B0">
        <w:t>4</w:t>
      </w:r>
      <w:r w:rsidR="003844B0">
        <w:t> </w:t>
      </w:r>
      <w:r w:rsidR="00E273AB" w:rsidRPr="003844B0">
        <w:t>kwartale</w:t>
      </w:r>
      <w:r w:rsidR="00E273AB" w:rsidRPr="00E273AB">
        <w:t xml:space="preserve"> w sekcji </w:t>
      </w:r>
      <w:r w:rsidR="00E273AB">
        <w:t xml:space="preserve">Górnictwo i </w:t>
      </w:r>
      <w:r w:rsidR="00052BF1">
        <w:t xml:space="preserve">wydobywanie (B) - </w:t>
      </w:r>
      <w:r w:rsidR="00E273AB">
        <w:t>147,8.</w:t>
      </w:r>
    </w:p>
    <w:p w14:paraId="776E091E" w14:textId="02497462" w:rsidR="006C2FAA" w:rsidRDefault="009078CF" w:rsidP="00F74AD8">
      <w:pPr>
        <w:spacing w:before="360" w:line="240" w:lineRule="auto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875328" behindDoc="0" locked="0" layoutInCell="1" allowOverlap="1" wp14:anchorId="6A6D548D" wp14:editId="2D3B21CC">
            <wp:simplePos x="0" y="0"/>
            <wp:positionH relativeFrom="margin">
              <wp:posOffset>-123416</wp:posOffset>
            </wp:positionH>
            <wp:positionV relativeFrom="paragraph">
              <wp:posOffset>362905</wp:posOffset>
            </wp:positionV>
            <wp:extent cx="5041900" cy="2316480"/>
            <wp:effectExtent l="0" t="0" r="6350" b="7620"/>
            <wp:wrapTopAndBottom/>
            <wp:docPr id="6" name="Obraz 6" descr="Wykres liniowy prezentuje wartości ogólnego indeksu kosztów zatrudnienia dla poszczególnych kwartałów od 2016 do 2025 roku. Widać wyraźną tendencję wzrostową wskaźnika. W pierwszym kwartale 2016 roku osiągnął on wartość 76,7, a w czwartym kwartale 2025 roku 170,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8" w:rsidRPr="00120358">
        <w:rPr>
          <w:b/>
        </w:rPr>
        <w:t>Wykres 1. Indeks kosztów zatrudnienia</w:t>
      </w:r>
      <w:r w:rsidR="00B217E5">
        <w:rPr>
          <w:b/>
        </w:rPr>
        <w:t xml:space="preserve"> (2020=100)</w:t>
      </w:r>
      <w:r w:rsidR="00B217E5" w:rsidRPr="00B217E5">
        <w:rPr>
          <w:noProof/>
          <w:lang w:eastAsia="pl-PL"/>
        </w:rPr>
        <w:t xml:space="preserve"> </w:t>
      </w:r>
    </w:p>
    <w:p w14:paraId="7AB1E558" w14:textId="77777777" w:rsidR="003844B0" w:rsidRDefault="003844B0">
      <w:pPr>
        <w:spacing w:before="0" w:after="160" w:line="259" w:lineRule="auto"/>
        <w:rPr>
          <w:b/>
          <w:color w:val="001D77"/>
        </w:rPr>
      </w:pPr>
      <w:r>
        <w:rPr>
          <w:b/>
          <w:color w:val="001D77"/>
        </w:rPr>
        <w:br w:type="page"/>
      </w:r>
    </w:p>
    <w:p w14:paraId="142DA715" w14:textId="55AD2923" w:rsidR="00800B0A" w:rsidRPr="006C2FAA" w:rsidRDefault="00715DED" w:rsidP="009078CF">
      <w:pPr>
        <w:spacing w:before="360" w:line="240" w:lineRule="auto"/>
        <w:rPr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46A3FDFA" wp14:editId="4D36D0C4">
                <wp:simplePos x="0" y="0"/>
                <wp:positionH relativeFrom="page">
                  <wp:align>right</wp:align>
                </wp:positionH>
                <wp:positionV relativeFrom="paragraph">
                  <wp:posOffset>227330</wp:posOffset>
                </wp:positionV>
                <wp:extent cx="1772285" cy="1250950"/>
                <wp:effectExtent l="0" t="0" r="0" b="6350"/>
                <wp:wrapTight wrapText="bothSides">
                  <wp:wrapPolygon edited="0">
                    <wp:start x="697" y="0"/>
                    <wp:lineTo x="697" y="21381"/>
                    <wp:lineTo x="20664" y="21381"/>
                    <wp:lineTo x="20664" y="0"/>
                    <wp:lineTo x="697" y="0"/>
                  </wp:wrapPolygon>
                </wp:wrapTight>
                <wp:docPr id="7" name="Pole tekstowe 4" descr="W 4 kwartale 2025 roku Polska należała do państw członkowskich UE o najwyższych wartościach indeksu kosztów zatrud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12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D891D" w14:textId="731A64FF" w:rsidR="00A600B1" w:rsidRPr="00C73D7A" w:rsidRDefault="00A600B1" w:rsidP="00E537D4">
                            <w:pPr>
                              <w:pStyle w:val="tekstzboku"/>
                            </w:pPr>
                            <w:r>
                              <w:t xml:space="preserve">W 4 kwartale 2025 </w:t>
                            </w:r>
                            <w:r w:rsidRPr="00C73D7A">
                              <w:t xml:space="preserve">r. Polska </w:t>
                            </w:r>
                            <w:r>
                              <w:t>należała do</w:t>
                            </w:r>
                            <w:r w:rsidRPr="00C73D7A">
                              <w:t xml:space="preserve"> państw członkowskich </w:t>
                            </w:r>
                            <w:r>
                              <w:t>UE o </w:t>
                            </w:r>
                            <w:r w:rsidRPr="00C73D7A">
                              <w:t>najwyższych wartościach indeksu kosztów zatrudnienia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A3FDFA" id="_x0000_s1028" type="#_x0000_t202" alt="W 4 kwartale 2025 roku Polska należała do państw członkowskich UE o najwyższych wartościach indeksu kosztów zatrudnienia" style="position:absolute;margin-left:88.35pt;margin-top:17.9pt;width:139.55pt;height:98.5pt;z-index:-251470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" filled="f" stroked="f">
                <v:textbox>
                  <w:txbxContent>
                    <w:p w14:paraId="342D891D" w14:textId="731A64FF" w:rsidR="00A600B1" w:rsidRPr="00C73D7A" w:rsidRDefault="00A600B1" w:rsidP="00E537D4">
                      <w:pPr>
                        <w:pStyle w:val="tekstzboku"/>
                      </w:pPr>
                      <w:r>
                        <w:t xml:space="preserve">W 4 kwartale 2025 </w:t>
                      </w:r>
                      <w:r w:rsidRPr="00C73D7A">
                        <w:t xml:space="preserve">r. Polska </w:t>
                      </w:r>
                      <w:r>
                        <w:t>należała do</w:t>
                      </w:r>
                      <w:r w:rsidRPr="00C73D7A">
                        <w:t xml:space="preserve"> państw członkowskich </w:t>
                      </w:r>
                      <w:r>
                        <w:t>UE o </w:t>
                      </w:r>
                      <w:r w:rsidRPr="00C73D7A">
                        <w:t>najwyższych wartościach indeksu kosztów zatrudnienia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00B0A" w:rsidRPr="00E537D4">
        <w:rPr>
          <w:b/>
          <w:color w:val="001D77"/>
        </w:rPr>
        <w:t>Polska na tle UE</w:t>
      </w:r>
    </w:p>
    <w:p w14:paraId="4D9DCEFF" w14:textId="03DD23A5" w:rsidR="009078CF" w:rsidRDefault="00484193" w:rsidP="00F74AD8">
      <w:pPr>
        <w:spacing w:line="288" w:lineRule="auto"/>
        <w:rPr>
          <w:lang w:eastAsia="pl-PL"/>
        </w:rPr>
      </w:pPr>
      <w:r>
        <w:rPr>
          <w:color w:val="000000" w:themeColor="text1"/>
        </w:rPr>
        <w:t>Indeks</w:t>
      </w:r>
      <w:r w:rsidR="00E537D4" w:rsidRPr="00E537D4">
        <w:rPr>
          <w:color w:val="000000" w:themeColor="text1"/>
        </w:rPr>
        <w:t xml:space="preserve"> kosztów zatrudnienia </w:t>
      </w:r>
      <w:r>
        <w:rPr>
          <w:color w:val="000000" w:themeColor="text1"/>
        </w:rPr>
        <w:t>umożliwia</w:t>
      </w:r>
      <w:r w:rsidRPr="00E537D4">
        <w:rPr>
          <w:color w:val="000000" w:themeColor="text1"/>
        </w:rPr>
        <w:t xml:space="preserve"> porównywanie </w:t>
      </w:r>
      <w:r>
        <w:rPr>
          <w:color w:val="000000" w:themeColor="text1"/>
        </w:rPr>
        <w:t xml:space="preserve">dynamiki kosztów pracy w </w:t>
      </w:r>
      <w:r w:rsidR="00E537D4" w:rsidRPr="00E537D4">
        <w:rPr>
          <w:color w:val="000000" w:themeColor="text1"/>
        </w:rPr>
        <w:t>państw</w:t>
      </w:r>
      <w:r>
        <w:rPr>
          <w:color w:val="000000" w:themeColor="text1"/>
        </w:rPr>
        <w:t>ach</w:t>
      </w:r>
      <w:r w:rsidR="00E537D4" w:rsidRPr="00E537D4">
        <w:rPr>
          <w:color w:val="000000" w:themeColor="text1"/>
        </w:rPr>
        <w:t xml:space="preserve"> członkowskich Unii Europejskiej.</w:t>
      </w:r>
      <w:r w:rsidR="00B74006">
        <w:rPr>
          <w:color w:val="000000" w:themeColor="text1"/>
        </w:rPr>
        <w:t xml:space="preserve"> Polska znajduje się w grupie </w:t>
      </w:r>
      <w:r w:rsidR="00893745">
        <w:rPr>
          <w:color w:val="000000" w:themeColor="text1"/>
        </w:rPr>
        <w:t>krajów</w:t>
      </w:r>
      <w:r w:rsidR="00B74006">
        <w:rPr>
          <w:color w:val="000000" w:themeColor="text1"/>
        </w:rPr>
        <w:t xml:space="preserve"> </w:t>
      </w:r>
      <w:r w:rsidR="00ED21E5">
        <w:rPr>
          <w:color w:val="000000" w:themeColor="text1"/>
        </w:rPr>
        <w:t>o</w:t>
      </w:r>
      <w:r w:rsidR="00DE7D1A">
        <w:rPr>
          <w:color w:val="000000" w:themeColor="text1"/>
        </w:rPr>
        <w:t xml:space="preserve"> </w:t>
      </w:r>
      <w:r w:rsidR="00893745" w:rsidRPr="00893745">
        <w:rPr>
          <w:color w:val="000000" w:themeColor="text1"/>
        </w:rPr>
        <w:t>najwyższej wartości tego wskaźnika</w:t>
      </w:r>
      <w:r w:rsidR="00CD71EE">
        <w:rPr>
          <w:color w:val="000000" w:themeColor="text1"/>
        </w:rPr>
        <w:t>,</w:t>
      </w:r>
      <w:r w:rsidR="005566CA">
        <w:rPr>
          <w:color w:val="000000" w:themeColor="text1"/>
        </w:rPr>
        <w:t xml:space="preserve"> tj. zajmuje piąte miejsce</w:t>
      </w:r>
      <w:r w:rsidR="00D31696">
        <w:rPr>
          <w:color w:val="000000" w:themeColor="text1"/>
        </w:rPr>
        <w:t>.</w:t>
      </w:r>
      <w:r w:rsidR="00DE7D1A">
        <w:rPr>
          <w:color w:val="000000" w:themeColor="text1"/>
        </w:rPr>
        <w:t xml:space="preserve"> </w:t>
      </w:r>
      <w:r w:rsidR="00240E2D">
        <w:rPr>
          <w:lang w:eastAsia="pl-PL"/>
        </w:rPr>
        <w:t>W</w:t>
      </w:r>
      <w:r w:rsidR="00DA7DB0">
        <w:rPr>
          <w:lang w:eastAsia="pl-PL"/>
        </w:rPr>
        <w:t> </w:t>
      </w:r>
      <w:r w:rsidR="009F74B3">
        <w:rPr>
          <w:lang w:eastAsia="pl-PL"/>
        </w:rPr>
        <w:t>4 </w:t>
      </w:r>
      <w:r w:rsidR="000375DE" w:rsidRPr="00E22E15">
        <w:rPr>
          <w:lang w:eastAsia="pl-PL"/>
        </w:rPr>
        <w:t>kwartale</w:t>
      </w:r>
      <w:r w:rsidR="0015465C">
        <w:rPr>
          <w:lang w:eastAsia="pl-PL"/>
        </w:rPr>
        <w:t xml:space="preserve"> 2025</w:t>
      </w:r>
      <w:r w:rsidR="00240E2D">
        <w:rPr>
          <w:lang w:eastAsia="pl-PL"/>
        </w:rPr>
        <w:t xml:space="preserve"> r</w:t>
      </w:r>
      <w:r w:rsidR="00B11700">
        <w:rPr>
          <w:lang w:eastAsia="pl-PL"/>
        </w:rPr>
        <w:t xml:space="preserve">. </w:t>
      </w:r>
      <w:r w:rsidR="00583824" w:rsidRPr="00E22E15">
        <w:rPr>
          <w:rFonts w:cs="Arial"/>
        </w:rPr>
        <w:t xml:space="preserve">indeks </w:t>
      </w:r>
      <w:r w:rsidR="00583824" w:rsidRPr="00E22E15">
        <w:rPr>
          <w:lang w:eastAsia="pl-PL"/>
        </w:rPr>
        <w:t>kosztów zatrudnienia</w:t>
      </w:r>
      <w:r w:rsidR="003844B0">
        <w:rPr>
          <w:rFonts w:cs="Arial"/>
        </w:rPr>
        <w:t xml:space="preserve"> w </w:t>
      </w:r>
      <w:r w:rsidR="00583824" w:rsidRPr="00E22E15">
        <w:rPr>
          <w:rFonts w:cs="Arial"/>
        </w:rPr>
        <w:t xml:space="preserve">Polsce </w:t>
      </w:r>
      <w:r w:rsidR="0015465C">
        <w:rPr>
          <w:rFonts w:cs="Arial"/>
        </w:rPr>
        <w:t>wyniósł 170,6</w:t>
      </w:r>
      <w:r w:rsidR="00583824" w:rsidRPr="00B17FF2">
        <w:rPr>
          <w:rFonts w:cs="Arial"/>
        </w:rPr>
        <w:t xml:space="preserve">. </w:t>
      </w:r>
      <w:r w:rsidR="00893745">
        <w:rPr>
          <w:rFonts w:cs="Arial"/>
        </w:rPr>
        <w:t>W</w:t>
      </w:r>
      <w:r w:rsidR="00240E2D">
        <w:rPr>
          <w:rFonts w:cs="Arial"/>
        </w:rPr>
        <w:t xml:space="preserve">śród </w:t>
      </w:r>
      <w:r w:rsidR="00893745">
        <w:rPr>
          <w:rFonts w:cs="Arial"/>
        </w:rPr>
        <w:t>krajów najniższą wartość</w:t>
      </w:r>
      <w:r w:rsidR="00D06B5C">
        <w:rPr>
          <w:rFonts w:cs="Arial"/>
        </w:rPr>
        <w:t xml:space="preserve"> IKZ</w:t>
      </w:r>
      <w:r w:rsidR="00240E2D">
        <w:rPr>
          <w:rFonts w:cs="Arial"/>
        </w:rPr>
        <w:t xml:space="preserve"> </w:t>
      </w:r>
      <w:r w:rsidR="000375DE" w:rsidRPr="00B17FF2">
        <w:rPr>
          <w:lang w:eastAsia="pl-PL"/>
        </w:rPr>
        <w:t xml:space="preserve">odnotowano </w:t>
      </w:r>
      <w:r w:rsidR="00A7333B">
        <w:rPr>
          <w:lang w:eastAsia="pl-PL"/>
        </w:rPr>
        <w:t>we Włoszech</w:t>
      </w:r>
      <w:r w:rsidR="00101937">
        <w:rPr>
          <w:lang w:eastAsia="pl-PL"/>
        </w:rPr>
        <w:t> </w:t>
      </w:r>
      <w:r w:rsidR="00C26603" w:rsidRPr="00B17FF2">
        <w:rPr>
          <w:lang w:eastAsia="pl-PL"/>
        </w:rPr>
        <w:t>–</w:t>
      </w:r>
      <w:r w:rsidR="0015465C">
        <w:rPr>
          <w:lang w:eastAsia="pl-PL"/>
        </w:rPr>
        <w:t> 110,7</w:t>
      </w:r>
      <w:r w:rsidR="005F07CB" w:rsidRPr="00B17FF2">
        <w:rPr>
          <w:lang w:eastAsia="pl-PL"/>
        </w:rPr>
        <w:t>,</w:t>
      </w:r>
      <w:r w:rsidR="000375DE" w:rsidRPr="00B17FF2">
        <w:rPr>
          <w:rFonts w:cs="Arial"/>
        </w:rPr>
        <w:t xml:space="preserve"> a </w:t>
      </w:r>
      <w:r w:rsidR="00931943">
        <w:rPr>
          <w:rFonts w:cs="Arial"/>
        </w:rPr>
        <w:t xml:space="preserve">najwyższą </w:t>
      </w:r>
      <w:r w:rsidR="00837B70" w:rsidRPr="00B17FF2">
        <w:rPr>
          <w:lang w:eastAsia="pl-PL"/>
        </w:rPr>
        <w:t xml:space="preserve">w </w:t>
      </w:r>
      <w:r w:rsidR="00202C60">
        <w:rPr>
          <w:lang w:eastAsia="pl-PL"/>
        </w:rPr>
        <w:t>Bułgarii</w:t>
      </w:r>
      <w:r w:rsidR="00377292" w:rsidRPr="00B17FF2">
        <w:rPr>
          <w:lang w:eastAsia="pl-PL"/>
        </w:rPr>
        <w:t xml:space="preserve"> </w:t>
      </w:r>
      <w:r w:rsidR="00C26603" w:rsidRPr="00B17FF2">
        <w:rPr>
          <w:lang w:eastAsia="pl-PL"/>
        </w:rPr>
        <w:t>–</w:t>
      </w:r>
      <w:r w:rsidR="00377292" w:rsidRPr="00B17FF2">
        <w:rPr>
          <w:lang w:eastAsia="pl-PL"/>
        </w:rPr>
        <w:t xml:space="preserve"> </w:t>
      </w:r>
      <w:r w:rsidR="0015465C">
        <w:rPr>
          <w:lang w:eastAsia="pl-PL"/>
        </w:rPr>
        <w:t>191,1</w:t>
      </w:r>
      <w:r w:rsidR="00C054B0">
        <w:rPr>
          <w:lang w:eastAsia="pl-PL"/>
        </w:rPr>
        <w:t>.</w:t>
      </w:r>
    </w:p>
    <w:p w14:paraId="5F4028D1" w14:textId="25F7DF70" w:rsidR="00AC492A" w:rsidRDefault="009078CF" w:rsidP="003844B0">
      <w:pPr>
        <w:spacing w:before="360" w:line="240" w:lineRule="auto"/>
        <w:rPr>
          <w:b/>
        </w:rPr>
      </w:pPr>
      <w:r w:rsidRPr="009078CF">
        <w:rPr>
          <w:b/>
          <w:noProof/>
          <w:lang w:eastAsia="pl-PL"/>
        </w:rPr>
        <w:drawing>
          <wp:anchor distT="0" distB="0" distL="114300" distR="114300" simplePos="0" relativeHeight="251876352" behindDoc="0" locked="0" layoutInCell="1" allowOverlap="1" wp14:anchorId="702DFDB4" wp14:editId="3213DD85">
            <wp:simplePos x="0" y="0"/>
            <wp:positionH relativeFrom="margin">
              <wp:align>left</wp:align>
            </wp:positionH>
            <wp:positionV relativeFrom="paragraph">
              <wp:posOffset>408305</wp:posOffset>
            </wp:positionV>
            <wp:extent cx="5041265" cy="4281805"/>
            <wp:effectExtent l="0" t="0" r="6985" b="4445"/>
            <wp:wrapTopAndBottom/>
            <wp:docPr id="8" name="Obraz 8" descr="Kartogram prezentuje wartości ogólnego indeksu kosztów zatrudnienia w czwartym kwartale 2025 roku w wybranych krajach Europy. Ogólny indeks kosztów zatrudnienia dla Polski wyniósł 170,6. Wartości (w kolejności malejącej) dla innych państw wynoszą odpowiednio: Bułgaria:191,1, Węgry:180,0, Litwa:176,7, Rumunia:172,7, Chorwacja:169,7, Łotwa:157,6, Słowenia:153,5, Estonia:151,4, Islandia:149,4, Słowacja:146,0, Irlandia:138,2, Portugalia:130,2, Czechy:129,9, Austria:129,5, Niderlandy:129,5, Grecja:128,1, Cypr:126,6, Norwegia:126,0, Luksemburg:121,5, Niemcy:121,5, Szwecja:121,1, Malta:119,2, Hiszpania:118,6, Finlandia:117,6, Dania:116,6, Francja:115,2, Włochy:110,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bdg01\WOU_SHARE\PUBLIKACJE\PUBLIKACJE_2026\!SYGNALNE\ogolnopolskie\IKZ\grafika\mapa_p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2B7" w:rsidRPr="00F74AD8">
        <w:rPr>
          <w:b/>
        </w:rPr>
        <w:t xml:space="preserve">Mapa </w:t>
      </w:r>
      <w:r w:rsidR="00347391" w:rsidRPr="00F74AD8">
        <w:rPr>
          <w:b/>
        </w:rPr>
        <w:fldChar w:fldCharType="begin"/>
      </w:r>
      <w:r w:rsidR="00AC492A" w:rsidRPr="00F74AD8">
        <w:rPr>
          <w:b/>
        </w:rPr>
        <w:instrText xml:space="preserve"> SEQ Kartogram \* ARABIC </w:instrText>
      </w:r>
      <w:r w:rsidR="00347391" w:rsidRPr="00F74AD8">
        <w:rPr>
          <w:b/>
        </w:rPr>
        <w:fldChar w:fldCharType="separate"/>
      </w:r>
      <w:r w:rsidR="00915804">
        <w:rPr>
          <w:b/>
          <w:noProof/>
        </w:rPr>
        <w:t>1</w:t>
      </w:r>
      <w:r w:rsidR="00347391" w:rsidRPr="00F74AD8">
        <w:rPr>
          <w:b/>
        </w:rPr>
        <w:fldChar w:fldCharType="end"/>
      </w:r>
      <w:r w:rsidR="00AC492A" w:rsidRPr="00F74AD8">
        <w:rPr>
          <w:b/>
        </w:rPr>
        <w:t xml:space="preserve">. </w:t>
      </w:r>
      <w:r w:rsidR="0026773F" w:rsidRPr="00F74AD8">
        <w:rPr>
          <w:b/>
        </w:rPr>
        <w:t>I</w:t>
      </w:r>
      <w:r w:rsidR="00D4046F" w:rsidRPr="00F74AD8">
        <w:rPr>
          <w:b/>
        </w:rPr>
        <w:t xml:space="preserve">ndeks kosztów zatrudnienia dla </w:t>
      </w:r>
      <w:r w:rsidR="00F00262" w:rsidRPr="00F74AD8">
        <w:rPr>
          <w:b/>
        </w:rPr>
        <w:t xml:space="preserve">wybranych </w:t>
      </w:r>
      <w:r w:rsidR="00D4046F" w:rsidRPr="00F74AD8">
        <w:rPr>
          <w:b/>
        </w:rPr>
        <w:t>krajów</w:t>
      </w:r>
      <w:r w:rsidR="00A80AF2" w:rsidRPr="00F74AD8">
        <w:rPr>
          <w:b/>
        </w:rPr>
        <w:t xml:space="preserve"> </w:t>
      </w:r>
      <w:r w:rsidR="00F00262" w:rsidRPr="00F74AD8">
        <w:rPr>
          <w:b/>
        </w:rPr>
        <w:t>Europy</w:t>
      </w:r>
      <w:r w:rsidR="0004610C">
        <w:rPr>
          <w:b/>
        </w:rPr>
        <w:t xml:space="preserve"> </w:t>
      </w:r>
      <w:r w:rsidR="008277A5" w:rsidRPr="00F74AD8">
        <w:rPr>
          <w:b/>
        </w:rPr>
        <w:t>w </w:t>
      </w:r>
      <w:r w:rsidR="009F74B3" w:rsidRPr="00F74AD8">
        <w:rPr>
          <w:b/>
        </w:rPr>
        <w:t>4</w:t>
      </w:r>
      <w:r w:rsidR="000A2E68" w:rsidRPr="00F74AD8">
        <w:rPr>
          <w:b/>
        </w:rPr>
        <w:t xml:space="preserve"> </w:t>
      </w:r>
      <w:r w:rsidR="00AC492A" w:rsidRPr="00F74AD8">
        <w:rPr>
          <w:b/>
        </w:rPr>
        <w:t>kw</w:t>
      </w:r>
      <w:r w:rsidR="008277A5" w:rsidRPr="00F74AD8">
        <w:rPr>
          <w:b/>
        </w:rPr>
        <w:t>artale</w:t>
      </w:r>
      <w:r w:rsidR="00AC492A" w:rsidRPr="00F74AD8">
        <w:rPr>
          <w:b/>
        </w:rPr>
        <w:t> 202</w:t>
      </w:r>
      <w:r w:rsidR="00090188" w:rsidRPr="00F74AD8">
        <w:rPr>
          <w:b/>
        </w:rPr>
        <w:t>5</w:t>
      </w:r>
      <w:r w:rsidR="000A2E68" w:rsidRPr="00F74AD8">
        <w:rPr>
          <w:b/>
        </w:rPr>
        <w:t> </w:t>
      </w:r>
      <w:r w:rsidR="008277A5" w:rsidRPr="00F74AD8">
        <w:rPr>
          <w:b/>
        </w:rPr>
        <w:t>r</w:t>
      </w:r>
      <w:r w:rsidR="00D35CD0" w:rsidRPr="00F74AD8">
        <w:rPr>
          <w:b/>
        </w:rPr>
        <w:t>.</w:t>
      </w:r>
      <w:r w:rsidR="008277A5" w:rsidRPr="00F74AD8">
        <w:rPr>
          <w:b/>
        </w:rPr>
        <w:t xml:space="preserve"> </w:t>
      </w:r>
    </w:p>
    <w:p w14:paraId="0C983D2A" w14:textId="2CEE801E" w:rsidR="00C34FF2" w:rsidRPr="009078CF" w:rsidRDefault="0052244D" w:rsidP="00DA7DB0">
      <w:pPr>
        <w:pStyle w:val="Przypis"/>
        <w:spacing w:after="120" w:line="240" w:lineRule="exact"/>
        <w:rPr>
          <w:sz w:val="16"/>
          <w:szCs w:val="16"/>
          <w:lang w:val="pl-PL"/>
        </w:rPr>
      </w:pPr>
      <w:r w:rsidRPr="009078CF">
        <w:rPr>
          <w:sz w:val="16"/>
          <w:szCs w:val="16"/>
          <w:lang w:val="pl-PL"/>
        </w:rPr>
        <w:t xml:space="preserve">Źródło danych: </w:t>
      </w:r>
      <w:hyperlink r:id="rId10" w:history="1">
        <w:r w:rsidRPr="009078CF">
          <w:rPr>
            <w:rStyle w:val="Hipercze"/>
            <w:rFonts w:cstheme="minorBidi"/>
            <w:sz w:val="16"/>
            <w:szCs w:val="16"/>
            <w:lang w:val="pl-PL"/>
          </w:rPr>
          <w:t>Eurostat</w:t>
        </w:r>
      </w:hyperlink>
      <w:r w:rsidR="004D0D44" w:rsidRPr="009078CF">
        <w:rPr>
          <w:sz w:val="16"/>
          <w:szCs w:val="16"/>
          <w:lang w:val="pl-PL"/>
        </w:rPr>
        <w:t>.</w:t>
      </w:r>
    </w:p>
    <w:p w14:paraId="0B930EF4" w14:textId="23C053F0" w:rsidR="000D3B8B" w:rsidRDefault="0081501F" w:rsidP="009078CF">
      <w:pPr>
        <w:spacing w:before="360" w:line="288" w:lineRule="auto"/>
      </w:pPr>
      <w:r>
        <w:t xml:space="preserve">W </w:t>
      </w:r>
      <w:r w:rsidR="00BA5CD3">
        <w:t xml:space="preserve">Polsce zróżnicowanie wartości </w:t>
      </w:r>
      <w:r w:rsidR="00F45FD8">
        <w:t xml:space="preserve">IKZ </w:t>
      </w:r>
      <w:r w:rsidR="00BA5CD3">
        <w:t xml:space="preserve">według </w:t>
      </w:r>
      <w:r w:rsidR="00C834D8">
        <w:t>rodzajów działalności</w:t>
      </w:r>
      <w:r w:rsidR="00BA5CD3">
        <w:t xml:space="preserve"> </w:t>
      </w:r>
      <w:r w:rsidR="00893745">
        <w:t xml:space="preserve">jest większe </w:t>
      </w:r>
      <w:r w:rsidR="00BA5CD3">
        <w:t xml:space="preserve">niż w Unii Europejskiej. W </w:t>
      </w:r>
      <w:r w:rsidR="00893745">
        <w:t>4</w:t>
      </w:r>
      <w:r w:rsidR="00BA5CD3">
        <w:t xml:space="preserve"> kwartale 202</w:t>
      </w:r>
      <w:r w:rsidR="00D32E16">
        <w:t>5</w:t>
      </w:r>
      <w:r w:rsidR="00B11700">
        <w:t xml:space="preserve"> </w:t>
      </w:r>
      <w:r w:rsidR="00BA5CD3">
        <w:t xml:space="preserve">r. </w:t>
      </w:r>
      <w:r w:rsidR="005B25FA">
        <w:t xml:space="preserve">w </w:t>
      </w:r>
      <w:r w:rsidR="00346689">
        <w:t xml:space="preserve">sekcjach </w:t>
      </w:r>
      <w:r w:rsidR="00B227C9">
        <w:t xml:space="preserve">od </w:t>
      </w:r>
      <w:r w:rsidR="00346689">
        <w:t>B</w:t>
      </w:r>
      <w:r w:rsidR="00B227C9">
        <w:t xml:space="preserve"> do </w:t>
      </w:r>
      <w:r w:rsidR="00346689">
        <w:t xml:space="preserve">S </w:t>
      </w:r>
      <w:r w:rsidR="00F45FD8">
        <w:t xml:space="preserve">indeks kosztów zatrudnienia </w:t>
      </w:r>
      <w:r w:rsidR="00D32E16">
        <w:t>w Polsce</w:t>
      </w:r>
      <w:r w:rsidR="0030798C">
        <w:t xml:space="preserve"> </w:t>
      </w:r>
      <w:r w:rsidR="00893745">
        <w:t>przewyższał</w:t>
      </w:r>
      <w:r w:rsidR="000F2114">
        <w:t xml:space="preserve"> </w:t>
      </w:r>
      <w:r w:rsidR="0030798C">
        <w:t>ś</w:t>
      </w:r>
      <w:r w:rsidR="00385AD8">
        <w:t>redni</w:t>
      </w:r>
      <w:r w:rsidR="00893745">
        <w:t>ą</w:t>
      </w:r>
      <w:r w:rsidR="00385AD8">
        <w:t xml:space="preserve"> wartość dla 27 państw UE</w:t>
      </w:r>
      <w:r w:rsidR="00417359">
        <w:t xml:space="preserve">. </w:t>
      </w:r>
      <w:r w:rsidR="00893745">
        <w:t>Największą różnicę odnotowano w sekcji</w:t>
      </w:r>
      <w:r w:rsidR="00B27B0C">
        <w:t xml:space="preserve"> Opieka zdrowotna i pomoc społeczna</w:t>
      </w:r>
      <w:r w:rsidR="00B367D9">
        <w:t xml:space="preserve"> (Q)</w:t>
      </w:r>
      <w:r w:rsidR="00893745">
        <w:t xml:space="preserve">, gdzie </w:t>
      </w:r>
      <w:r w:rsidR="00B27B0C">
        <w:t>i</w:t>
      </w:r>
      <w:r w:rsidR="00CB3360">
        <w:t>ndek</w:t>
      </w:r>
      <w:r w:rsidR="00893745">
        <w:t>s kosztów zatrudnienia był</w:t>
      </w:r>
      <w:r w:rsidR="0015465C">
        <w:t xml:space="preserve"> o 55,7</w:t>
      </w:r>
      <w:r w:rsidR="00CB3360">
        <w:t xml:space="preserve">% wyższy </w:t>
      </w:r>
      <w:r w:rsidR="000F2114">
        <w:t xml:space="preserve">od </w:t>
      </w:r>
      <w:r w:rsidR="00CB3360">
        <w:t>średni</w:t>
      </w:r>
      <w:r w:rsidR="000F2114">
        <w:t xml:space="preserve">ej </w:t>
      </w:r>
      <w:r w:rsidR="00893745">
        <w:t>unijnej.</w:t>
      </w:r>
      <w:r w:rsidR="00CB3360">
        <w:t xml:space="preserve"> </w:t>
      </w:r>
      <w:r w:rsidR="00385AD8">
        <w:t>Naj</w:t>
      </w:r>
      <w:r w:rsidR="00B75823">
        <w:t>mniejsz</w:t>
      </w:r>
      <w:r w:rsidR="0004610C">
        <w:t>ą</w:t>
      </w:r>
      <w:r w:rsidR="00893745">
        <w:t xml:space="preserve"> różnic</w:t>
      </w:r>
      <w:r w:rsidR="0004610C">
        <w:t>ę</w:t>
      </w:r>
      <w:r w:rsidR="00385AD8">
        <w:t xml:space="preserve"> </w:t>
      </w:r>
      <w:r w:rsidR="0004610C">
        <w:t>odnotowano</w:t>
      </w:r>
      <w:r w:rsidR="003844B0">
        <w:t xml:space="preserve"> w </w:t>
      </w:r>
      <w:r w:rsidR="00385AD8">
        <w:t>sek</w:t>
      </w:r>
      <w:r w:rsidR="00DA7DB0">
        <w:t>cj</w:t>
      </w:r>
      <w:r w:rsidR="00562EF4">
        <w:t>i</w:t>
      </w:r>
      <w:r w:rsidR="00922DD5">
        <w:t xml:space="preserve"> Górnictwo i </w:t>
      </w:r>
      <w:r w:rsidR="0015465C">
        <w:t>wydobywanie</w:t>
      </w:r>
      <w:r w:rsidR="00B367D9">
        <w:t xml:space="preserve"> (B)</w:t>
      </w:r>
      <w:r w:rsidR="0015465C">
        <w:t xml:space="preserve"> (12,8</w:t>
      </w:r>
      <w:r w:rsidR="00385AD8">
        <w:t>%).</w:t>
      </w:r>
    </w:p>
    <w:p w14:paraId="3652F6E4" w14:textId="47F18646" w:rsidR="009078CF" w:rsidRDefault="009078CF">
      <w:pPr>
        <w:spacing w:before="0" w:after="160" w:line="259" w:lineRule="auto"/>
        <w:rPr>
          <w:b/>
        </w:rPr>
      </w:pPr>
      <w:r>
        <w:rPr>
          <w:b/>
        </w:rPr>
        <w:br w:type="page"/>
      </w:r>
    </w:p>
    <w:p w14:paraId="17A0CCFB" w14:textId="25F7287E" w:rsidR="007B740D" w:rsidRDefault="009078CF" w:rsidP="007B740D">
      <w:pPr>
        <w:spacing w:before="360" w:line="240" w:lineRule="auto"/>
        <w:ind w:left="851" w:hanging="851"/>
        <w:rPr>
          <w:b/>
        </w:rPr>
      </w:pPr>
      <w:r w:rsidRPr="009078CF">
        <w:rPr>
          <w:b/>
          <w:noProof/>
          <w:lang w:eastAsia="pl-PL"/>
        </w:rPr>
        <w:lastRenderedPageBreak/>
        <w:drawing>
          <wp:anchor distT="0" distB="0" distL="114300" distR="114300" simplePos="0" relativeHeight="251877376" behindDoc="0" locked="0" layoutInCell="1" allowOverlap="1" wp14:anchorId="37E72C79" wp14:editId="54829ED3">
            <wp:simplePos x="0" y="0"/>
            <wp:positionH relativeFrom="margin">
              <wp:align>left</wp:align>
            </wp:positionH>
            <wp:positionV relativeFrom="paragraph">
              <wp:posOffset>327329</wp:posOffset>
            </wp:positionV>
            <wp:extent cx="5041265" cy="4265930"/>
            <wp:effectExtent l="0" t="0" r="6985" b="1270"/>
            <wp:wrapTopAndBottom/>
            <wp:docPr id="9" name="Obraz 9" descr="Wykres słupkowy grupowany prezentuje wartości ogólnego indeksu kosztów zatrudnienia w Polsce i w całej Unii Europejskiej według sekcji PKD. Uszeregowanie danych pod względem kolejności alfabetycznej sekcji PKD. Wartości dla poszczególnych sekcji PKD wynoszą odpowiednio: w sekcji Górnictwo i wydobywanie (B): w Polsce: 147,8; w UE: 131,0, w sekcji Przetwórstwo przemysłowe (C): w Polsce: 167,7; w UE: 123,3, w sekcji Wytwarzanie i zaopatrywanie w energię elektryczną, gaz, parę wodną i gorącą wodę (D): w Polsce: 164,8; w UE: 122,9, w sekcji Dostawa wody; gospodarowanie ściekami i odpadami; rekultywacja (E): w Polsce: 168,2; w UE: 124,7, w sekcji Budownictwo (F): w Polsce: 162,2; w UE: 128,4, w sekcji Handel; naprawa pojazdów samochodowych ∆ (G): w Polsce: 165,3; w UE: 124,1, w sekcji Transport i gospodarka magazynowa (H): w Polsce: 190,0; w UE: 127,5, w sekcji Zakwaterowanie i gastronomia (I): w Polsce: 169,1; w UE: 123,7, w sekcji Informacja i komunikacja (J): w Polsce: 166,0; w UE: 125,9, w sekcji Działalność finansowa i ubezpieczeniowa (K): w Polsce: 167,2; w UE: 122,4, w sekcji Obsługa rynku nieruchomości (L): w Polsce: 162,9; w UE: 121,8, w sekcji Działalność profesjonalna, naukowa i techniczna (M): w Polsce: 167,1; w UE: 127,5, w sekcji Administrowanie i działalność wspierająca (N): w Polsce: 180,7; w UE: 128,4, w sekcji Administracja publiczna i obrona narodowa; obowiązkowe zabezpieczenia społeczne (O): w Polsce: 179,2; w UE: 119,9, w sekcji Edukacja (P): w Polsce: 169,3; w UE: 120,7, w sekcji Opieka zdrowotna i pomoc społeczna (Q): w Polsce: 192,0; w UE: 123,3, w sekcji Działalność związana z kulturą, rozrywką i rekreacją (R): w Polsce: 179,6; w UE: 118,1, w sekcji Pozostała działalność usługowa (S): w Polsce: 160,7; w UE: 119,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bdg01\WOU_SHARE\PUBLIKACJE\PUBLIKACJE_2026\!SYGNALNE\ogolnopolskie\IKZ\grafika\wyk3_p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0D" w:rsidRPr="007B740D">
        <w:rPr>
          <w:b/>
        </w:rPr>
        <w:t xml:space="preserve">Wykres </w:t>
      </w:r>
      <w:r w:rsidR="00C55630">
        <w:rPr>
          <w:b/>
        </w:rPr>
        <w:t>2</w:t>
      </w:r>
      <w:r w:rsidR="007B740D" w:rsidRPr="007B740D">
        <w:rPr>
          <w:b/>
        </w:rPr>
        <w:t>. Indeks kosztów zatrudnienia według sekcji PKD 2007</w:t>
      </w:r>
      <w:r w:rsidR="00346689">
        <w:rPr>
          <w:b/>
        </w:rPr>
        <w:t xml:space="preserve"> (B-S)</w:t>
      </w:r>
      <w:r w:rsidR="009F74B3">
        <w:rPr>
          <w:b/>
        </w:rPr>
        <w:t xml:space="preserve"> w 4</w:t>
      </w:r>
      <w:r w:rsidR="007B740D" w:rsidRPr="007B740D">
        <w:rPr>
          <w:b/>
        </w:rPr>
        <w:t xml:space="preserve"> kwartale 202</w:t>
      </w:r>
      <w:r w:rsidR="00090188">
        <w:rPr>
          <w:b/>
        </w:rPr>
        <w:t>5</w:t>
      </w:r>
      <w:r w:rsidR="007B740D" w:rsidRPr="007B740D">
        <w:rPr>
          <w:b/>
        </w:rPr>
        <w:t xml:space="preserve"> r.</w:t>
      </w:r>
      <w:r w:rsidR="007B740D">
        <w:rPr>
          <w:b/>
        </w:rPr>
        <w:t xml:space="preserve"> dla Polski i Unii Europejskiej</w:t>
      </w:r>
    </w:p>
    <w:p w14:paraId="41A6964F" w14:textId="2EE1245A" w:rsidR="00F74AD8" w:rsidRPr="0048289F" w:rsidRDefault="007B0E2F" w:rsidP="00FC5660">
      <w:pPr>
        <w:pStyle w:val="Przypis"/>
        <w:spacing w:after="120" w:line="240" w:lineRule="exact"/>
        <w:rPr>
          <w:sz w:val="16"/>
          <w:szCs w:val="16"/>
          <w:lang w:val="pl-PL"/>
        </w:rPr>
      </w:pPr>
      <w:r w:rsidRPr="0048289F">
        <w:rPr>
          <w:sz w:val="16"/>
          <w:szCs w:val="16"/>
          <w:lang w:val="pl-PL"/>
        </w:rPr>
        <w:t xml:space="preserve">Źródło danych: </w:t>
      </w:r>
      <w:hyperlink r:id="rId12" w:history="1">
        <w:r w:rsidRPr="004D0D44">
          <w:rPr>
            <w:rStyle w:val="Hipercze"/>
            <w:rFonts w:cstheme="minorBidi"/>
            <w:sz w:val="16"/>
            <w:szCs w:val="16"/>
            <w:lang w:val="pl-PL"/>
          </w:rPr>
          <w:t>Eurostat</w:t>
        </w:r>
      </w:hyperlink>
      <w:r w:rsidR="004D0D44">
        <w:rPr>
          <w:sz w:val="16"/>
          <w:szCs w:val="16"/>
          <w:lang w:val="pl-PL"/>
        </w:rPr>
        <w:t>.</w:t>
      </w:r>
    </w:p>
    <w:p w14:paraId="5B31011F" w14:textId="01FF2D85" w:rsidR="00567A79" w:rsidRPr="00337FA2" w:rsidRDefault="00567A79" w:rsidP="009078CF">
      <w:pPr>
        <w:pStyle w:val="Nagwek1"/>
        <w:spacing w:before="360"/>
      </w:pPr>
      <w:r w:rsidRPr="00337FA2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59424EC7" wp14:editId="019908DF">
                <wp:simplePos x="0" y="0"/>
                <wp:positionH relativeFrom="column">
                  <wp:posOffset>5254625</wp:posOffset>
                </wp:positionH>
                <wp:positionV relativeFrom="paragraph">
                  <wp:posOffset>222747</wp:posOffset>
                </wp:positionV>
                <wp:extent cx="1725295" cy="1628775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4" name="Pole tekstowe 4" descr="Indeks kosztów zatrudnienia jest jednym z eurowskaźników PEEI (ang. Principal European Economic Indicators), które opisują bieżącą sytuację makroekonomiczną Unii Europejsk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2F64" w14:textId="2BBEB722" w:rsidR="00A600B1" w:rsidRPr="00337FA2" w:rsidRDefault="00A600B1" w:rsidP="00567A79">
                            <w:pPr>
                              <w:pStyle w:val="tekstzboku"/>
                            </w:pPr>
                            <w:r w:rsidRPr="00337FA2">
                              <w:t xml:space="preserve">Indeks kosztów zatrudnienia jest </w:t>
                            </w:r>
                            <w:r>
                              <w:t>jednym z e</w:t>
                            </w:r>
                            <w:r w:rsidRPr="00337FA2">
                              <w:t>urowskaźnik</w:t>
                            </w:r>
                            <w:r>
                              <w:t>ów PEEI (ang. </w:t>
                            </w:r>
                            <w:r w:rsidRPr="00535729">
                              <w:t xml:space="preserve">Principal European </w:t>
                            </w:r>
                            <w:r>
                              <w:t>E</w:t>
                            </w:r>
                            <w:r w:rsidRPr="00535729">
                              <w:t xml:space="preserve">conomic </w:t>
                            </w:r>
                            <w:r>
                              <w:t>I</w:t>
                            </w:r>
                            <w:r w:rsidRPr="00535729">
                              <w:t>ndicators</w:t>
                            </w:r>
                            <w:r w:rsidRPr="00AF654B">
                              <w:t>),</w:t>
                            </w:r>
                            <w:r w:rsidRPr="00337FA2">
                              <w:t xml:space="preserve"> któr</w:t>
                            </w:r>
                            <w:r>
                              <w:t>e</w:t>
                            </w:r>
                            <w:r w:rsidRPr="00337FA2">
                              <w:t xml:space="preserve"> opisuj</w:t>
                            </w:r>
                            <w:r>
                              <w:t>ą</w:t>
                            </w:r>
                            <w:r w:rsidRPr="00337FA2">
                              <w:t xml:space="preserve"> bieżącą sytuację makroekonomiczną Unii Europejskiej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424EC7" id="_x0000_s1029" type="#_x0000_t202" alt="Indeks kosztów zatrudnienia jest jednym z eurowskaźników PEEI (ang. Principal European Economic Indicators), które opisują bieżącą sytuację makroekonomiczną Unii Europejskiej" style="position:absolute;margin-left:413.75pt;margin-top:17.55pt;width:135.85pt;height:128.2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" filled="f" stroked="f">
                <v:textbox>
                  <w:txbxContent>
                    <w:p w14:paraId="39A52F64" w14:textId="2BBEB722" w:rsidR="00A600B1" w:rsidRPr="00337FA2" w:rsidRDefault="00A600B1" w:rsidP="00567A79">
                      <w:pPr>
                        <w:pStyle w:val="tekstzboku"/>
                      </w:pPr>
                      <w:r w:rsidRPr="00337FA2">
                        <w:t xml:space="preserve">Indeks kosztów zatrudnienia jest </w:t>
                      </w:r>
                      <w:r>
                        <w:t>jednym z </w:t>
                      </w:r>
                      <w:proofErr w:type="spellStart"/>
                      <w:r>
                        <w:t>e</w:t>
                      </w:r>
                      <w:r w:rsidRPr="00337FA2">
                        <w:t>urowskaźnik</w:t>
                      </w:r>
                      <w:r>
                        <w:t>ów</w:t>
                      </w:r>
                      <w:proofErr w:type="spellEnd"/>
                      <w:r>
                        <w:t xml:space="preserve"> PEEI (ang. </w:t>
                      </w:r>
                      <w:r w:rsidRPr="00535729">
                        <w:t xml:space="preserve">Principal </w:t>
                      </w:r>
                      <w:proofErr w:type="spellStart"/>
                      <w:r w:rsidRPr="00535729">
                        <w:t>European</w:t>
                      </w:r>
                      <w:proofErr w:type="spellEnd"/>
                      <w:r w:rsidRPr="00535729">
                        <w:t xml:space="preserve"> </w:t>
                      </w:r>
                      <w:proofErr w:type="spellStart"/>
                      <w:r>
                        <w:t>E</w:t>
                      </w:r>
                      <w:r w:rsidRPr="00535729">
                        <w:t>conomic</w:t>
                      </w:r>
                      <w:proofErr w:type="spellEnd"/>
                      <w:r w:rsidRPr="00535729">
                        <w:t xml:space="preserve"> </w:t>
                      </w:r>
                      <w:proofErr w:type="spellStart"/>
                      <w:r>
                        <w:t>I</w:t>
                      </w:r>
                      <w:r w:rsidRPr="00535729">
                        <w:t>ndicators</w:t>
                      </w:r>
                      <w:proofErr w:type="spellEnd"/>
                      <w:r w:rsidRPr="00AF654B">
                        <w:t>),</w:t>
                      </w:r>
                      <w:r w:rsidRPr="00337FA2">
                        <w:t xml:space="preserve"> któr</w:t>
                      </w:r>
                      <w:r>
                        <w:t>e</w:t>
                      </w:r>
                      <w:r w:rsidRPr="00337FA2">
                        <w:t xml:space="preserve"> opisuj</w:t>
                      </w:r>
                      <w:r>
                        <w:t>ą</w:t>
                      </w:r>
                      <w:r w:rsidRPr="00337FA2">
                        <w:t xml:space="preserve"> bieżącą sytuację makroekonomiczną Unii Europejskiej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pacing w:val="-2"/>
          <w:szCs w:val="19"/>
        </w:rPr>
        <w:t>Wyjaśnienia metodologiczne</w:t>
      </w:r>
    </w:p>
    <w:p w14:paraId="2F0C14AD" w14:textId="31AFA4CC" w:rsidR="005566CA" w:rsidRPr="005566CA" w:rsidRDefault="00567A79" w:rsidP="005566CA">
      <w:pPr>
        <w:spacing w:line="288" w:lineRule="auto"/>
        <w:rPr>
          <w:rFonts w:cs="Arial"/>
          <w:spacing w:val="-3"/>
        </w:rPr>
      </w:pPr>
      <w:r>
        <w:rPr>
          <w:rFonts w:cs="Arial"/>
          <w:spacing w:val="-3"/>
        </w:rPr>
        <w:t>Indeks kosztów z</w:t>
      </w:r>
      <w:r w:rsidRPr="002A143F">
        <w:rPr>
          <w:rFonts w:cs="Arial"/>
          <w:spacing w:val="-3"/>
        </w:rPr>
        <w:t>atrudnienia (IKZ</w:t>
      </w:r>
      <w:r w:rsidR="00052BF1">
        <w:rPr>
          <w:rFonts w:cs="Arial"/>
          <w:spacing w:val="-3"/>
        </w:rPr>
        <w:t xml:space="preserve">) </w:t>
      </w:r>
      <w:r w:rsidR="00052BF1">
        <w:t xml:space="preserve">pokazuje, jak zmieniają się godzinowe koszty pracy </w:t>
      </w:r>
      <w:r w:rsidR="003844B0">
        <w:t>w </w:t>
      </w:r>
      <w:r w:rsidR="00052BF1">
        <w:t>porównaniu z rokiem bazowym. Dla prezentowanych dan</w:t>
      </w:r>
      <w:r w:rsidR="003844B0">
        <w:t>ych rokiem bazowym jest 2020, a </w:t>
      </w:r>
      <w:r w:rsidR="00052BF1">
        <w:t xml:space="preserve">zakres badania obejmuje sekcje PKD 2007 od B do S. Wskaźnik jest wyrównywany sezonowo oraz dniami roboczymi, aby ograniczyć wpływ kalendarza i sezonowości na wyniki. Do tego celu stosowana jest metoda Tramo-Seats w pakiecie JDemetra+. </w:t>
      </w:r>
      <w:r w:rsidR="005566CA" w:rsidRPr="005566CA">
        <w:rPr>
          <w:rFonts w:cs="Arial"/>
          <w:spacing w:val="-3"/>
        </w:rPr>
        <w:t>Model dla każdej serii jest korygowany na początku roku i jest wykorzystywany w miarę możliwości w kolejnych kwartałach.</w:t>
      </w:r>
    </w:p>
    <w:p w14:paraId="7D820178" w14:textId="77777777" w:rsidR="005566CA" w:rsidRPr="005566CA" w:rsidRDefault="005566CA" w:rsidP="005566CA">
      <w:pPr>
        <w:spacing w:line="288" w:lineRule="auto"/>
        <w:rPr>
          <w:rFonts w:cs="Arial"/>
          <w:spacing w:val="-3"/>
        </w:rPr>
      </w:pPr>
      <w:r w:rsidRPr="005566CA">
        <w:rPr>
          <w:rFonts w:cs="Arial"/>
          <w:spacing w:val="-3"/>
        </w:rPr>
        <w:t>Proces dostosowań sezonowych obejmuje:</w:t>
      </w:r>
    </w:p>
    <w:p w14:paraId="7F7F4383" w14:textId="161D5327" w:rsidR="005566CA" w:rsidRPr="005566CA" w:rsidRDefault="005566CA" w:rsidP="00360C77">
      <w:pPr>
        <w:spacing w:after="0" w:line="288" w:lineRule="auto"/>
        <w:ind w:firstLine="425"/>
        <w:rPr>
          <w:rFonts w:cs="Arial"/>
          <w:spacing w:val="-3"/>
        </w:rPr>
      </w:pPr>
      <w:r w:rsidRPr="005566CA">
        <w:rPr>
          <w:rFonts w:cs="Arial"/>
          <w:spacing w:val="-3"/>
        </w:rPr>
        <w:t>• korekt</w:t>
      </w:r>
      <w:r w:rsidR="00F446E2">
        <w:rPr>
          <w:rFonts w:cs="Arial"/>
          <w:spacing w:val="-3"/>
        </w:rPr>
        <w:t>ę</w:t>
      </w:r>
      <w:r w:rsidRPr="005566CA">
        <w:rPr>
          <w:rFonts w:cs="Arial"/>
          <w:spacing w:val="-3"/>
        </w:rPr>
        <w:t xml:space="preserve"> liczby dni roboczych - jeżeli efekt dni roboczych jest istotny statystycznie,</w:t>
      </w:r>
    </w:p>
    <w:p w14:paraId="504E0096" w14:textId="3CC61D33" w:rsidR="005566CA" w:rsidRPr="005566CA" w:rsidRDefault="005566CA" w:rsidP="00360C77">
      <w:pPr>
        <w:spacing w:after="0" w:line="288" w:lineRule="auto"/>
        <w:ind w:firstLine="425"/>
        <w:rPr>
          <w:rFonts w:cs="Arial"/>
          <w:spacing w:val="-3"/>
        </w:rPr>
      </w:pPr>
      <w:r w:rsidRPr="005566CA">
        <w:rPr>
          <w:rFonts w:cs="Arial"/>
          <w:spacing w:val="-3"/>
        </w:rPr>
        <w:t>• korekt</w:t>
      </w:r>
      <w:r w:rsidR="00F446E2">
        <w:rPr>
          <w:rFonts w:cs="Arial"/>
          <w:spacing w:val="-3"/>
        </w:rPr>
        <w:t>ę</w:t>
      </w:r>
      <w:r w:rsidRPr="005566CA">
        <w:rPr>
          <w:rFonts w:cs="Arial"/>
          <w:spacing w:val="-3"/>
        </w:rPr>
        <w:t xml:space="preserve"> na efekt Wielkanocy - jeśli efekt jest istotny statystycznie,</w:t>
      </w:r>
    </w:p>
    <w:p w14:paraId="5B79480B" w14:textId="77777777" w:rsidR="005566CA" w:rsidRPr="005566CA" w:rsidRDefault="005566CA" w:rsidP="00360C77">
      <w:pPr>
        <w:spacing w:line="288" w:lineRule="auto"/>
        <w:ind w:firstLine="426"/>
        <w:rPr>
          <w:rFonts w:cs="Arial"/>
          <w:spacing w:val="-3"/>
        </w:rPr>
      </w:pPr>
      <w:r w:rsidRPr="005566CA">
        <w:rPr>
          <w:rFonts w:cs="Arial"/>
          <w:spacing w:val="-3"/>
        </w:rPr>
        <w:t>• odpowiednie dostosowanie sezonowe.</w:t>
      </w:r>
    </w:p>
    <w:p w14:paraId="56CDA7C2" w14:textId="1B39272F" w:rsidR="005566CA" w:rsidRPr="005566CA" w:rsidRDefault="005566CA" w:rsidP="005566CA">
      <w:pPr>
        <w:spacing w:line="288" w:lineRule="auto"/>
        <w:rPr>
          <w:rFonts w:cs="Arial"/>
          <w:spacing w:val="-3"/>
        </w:rPr>
      </w:pPr>
      <w:r w:rsidRPr="005566CA">
        <w:rPr>
          <w:rFonts w:cs="Arial"/>
          <w:spacing w:val="-3"/>
        </w:rPr>
        <w:t>Korekta dni roboczych dokonywana jest w wariancie z dwoma regresorami, w skład których wchodzą:</w:t>
      </w:r>
    </w:p>
    <w:p w14:paraId="2AA9AE8C" w14:textId="5063A816" w:rsidR="005566CA" w:rsidRPr="005566CA" w:rsidRDefault="005566CA" w:rsidP="00360C77">
      <w:pPr>
        <w:spacing w:line="288" w:lineRule="auto"/>
        <w:ind w:firstLine="425"/>
        <w:rPr>
          <w:rFonts w:cs="Arial"/>
          <w:spacing w:val="-3"/>
        </w:rPr>
      </w:pPr>
      <w:r w:rsidRPr="005566CA">
        <w:rPr>
          <w:rFonts w:cs="Arial"/>
          <w:spacing w:val="-3"/>
        </w:rPr>
        <w:t>• zmienność relacji między liczbą dni roboczych od poniedzi</w:t>
      </w:r>
      <w:r w:rsidR="006F4A09">
        <w:rPr>
          <w:rFonts w:cs="Arial"/>
          <w:spacing w:val="-3"/>
        </w:rPr>
        <w:t>ałku do piątku a liczbą sobót i </w:t>
      </w:r>
      <w:r w:rsidRPr="005566CA">
        <w:rPr>
          <w:rFonts w:cs="Arial"/>
          <w:spacing w:val="-3"/>
        </w:rPr>
        <w:t>niedziel oraz dni ustawowo wolnych od pracy w poszczególnych latach w odpowiednich okresach,</w:t>
      </w:r>
    </w:p>
    <w:p w14:paraId="4A99E802" w14:textId="77777777" w:rsidR="005566CA" w:rsidRPr="005566CA" w:rsidRDefault="005566CA" w:rsidP="00360C77">
      <w:pPr>
        <w:spacing w:line="288" w:lineRule="auto"/>
        <w:ind w:firstLine="425"/>
        <w:rPr>
          <w:rFonts w:cs="Arial"/>
          <w:spacing w:val="-3"/>
        </w:rPr>
      </w:pPr>
      <w:r w:rsidRPr="005566CA">
        <w:rPr>
          <w:rFonts w:cs="Arial"/>
          <w:spacing w:val="-3"/>
        </w:rPr>
        <w:t>• zmienność liczby dni w odpowiednich okresach, która w praktyce wynika z wystąpienia roku przestępnego i dotyczy pierwszego kwartału.</w:t>
      </w:r>
    </w:p>
    <w:p w14:paraId="13033A83" w14:textId="10E7DBCD" w:rsidR="00567A79" w:rsidRDefault="005566CA" w:rsidP="00567A79">
      <w:pPr>
        <w:spacing w:line="288" w:lineRule="auto"/>
        <w:rPr>
          <w:rFonts w:cs="Arial"/>
          <w:spacing w:val="-3"/>
        </w:rPr>
      </w:pPr>
      <w:r w:rsidRPr="005566CA">
        <w:rPr>
          <w:rFonts w:cs="Arial"/>
          <w:spacing w:val="-3"/>
        </w:rPr>
        <w:t xml:space="preserve">Przy dostosowywaniu sezonowym brany jest pod uwagę polski kalendarz </w:t>
      </w:r>
      <w:r w:rsidR="00F446E2">
        <w:rPr>
          <w:rFonts w:cs="Arial"/>
          <w:spacing w:val="-3"/>
        </w:rPr>
        <w:t xml:space="preserve">dni </w:t>
      </w:r>
      <w:r w:rsidRPr="005566CA">
        <w:rPr>
          <w:rFonts w:cs="Arial"/>
          <w:spacing w:val="-3"/>
        </w:rPr>
        <w:t>ustawowo wolnych od pracy. Dopuszcza się usunięcie regresorów wyrażających efekty nieistotne statystycznie</w:t>
      </w:r>
      <w:r w:rsidR="00F446E2">
        <w:rPr>
          <w:rFonts w:cs="Arial"/>
          <w:spacing w:val="-3"/>
        </w:rPr>
        <w:t>.</w:t>
      </w:r>
      <w:r w:rsidR="0039325A">
        <w:rPr>
          <w:rFonts w:cs="Arial"/>
          <w:spacing w:val="-3"/>
        </w:rPr>
        <w:t xml:space="preserve"> </w:t>
      </w:r>
      <w:r w:rsidR="00567A79">
        <w:rPr>
          <w:rFonts w:cs="Arial"/>
          <w:spacing w:val="-3"/>
        </w:rPr>
        <w:t xml:space="preserve">Indeks kosztów zatrudnienia ukazuje kształtowanie się kosztów pracy ponoszonych przez pracodawców. Na koszty pracy składają się wynagrodzenia oraz koszty pozapłacowe, takie jak </w:t>
      </w:r>
      <w:r w:rsidR="00567A79" w:rsidRPr="002A143F">
        <w:rPr>
          <w:rFonts w:cs="Arial"/>
          <w:spacing w:val="-3"/>
        </w:rPr>
        <w:t>składki na ubezpieczenie społeczne i podatki płacone przez pracodawcę, pom</w:t>
      </w:r>
      <w:r w:rsidR="00567A79">
        <w:rPr>
          <w:rFonts w:cs="Arial"/>
          <w:spacing w:val="-3"/>
        </w:rPr>
        <w:t xml:space="preserve">niejszone o otrzymywane dotacje. </w:t>
      </w:r>
    </w:p>
    <w:p w14:paraId="7DE870F4" w14:textId="44B35155" w:rsidR="00567A79" w:rsidRPr="00AA7E3B" w:rsidRDefault="00567A79" w:rsidP="00567A79">
      <w:pPr>
        <w:spacing w:line="240" w:lineRule="auto"/>
        <w:rPr>
          <w:rFonts w:eastAsiaTheme="minorEastAsia"/>
          <w:sz w:val="16"/>
          <w:szCs w:val="20"/>
        </w:rPr>
      </w:pPr>
      <m:oMathPara>
        <m:oMath>
          <m:r>
            <w:rPr>
              <w:rFonts w:ascii="Cambria Math" w:hAnsi="Cambria Math"/>
              <w:sz w:val="16"/>
              <w:szCs w:val="20"/>
            </w:rPr>
            <m:t>Indeks kosztów zatrudnienia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20"/>
                </w:rPr>
                <m:t xml:space="preserve">    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20"/>
                    </w:rPr>
                    <m:t>koszt pracy w bieżącym okresie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20"/>
                    </w:rPr>
                    <m:t>liczba godzin przepracowanych w bieżącym okresie</m:t>
                  </m:r>
                </m:den>
              </m:f>
              <m:r>
                <w:rPr>
                  <w:rFonts w:ascii="Cambria Math" w:hAnsi="Cambria Math"/>
                  <w:sz w:val="16"/>
                  <w:szCs w:val="20"/>
                </w:rPr>
                <m:t xml:space="preserve">     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20"/>
                    </w:rPr>
                    <m:t>koszt pracy w okresie bazowym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20"/>
                    </w:rPr>
                    <m:t>liczba godzin przepracowanych w okresie bazowym</m:t>
                  </m:r>
                </m:den>
              </m:f>
            </m:den>
          </m:f>
          <m:r>
            <w:rPr>
              <w:rFonts w:ascii="Cambria Math" w:hAnsi="Cambria Math"/>
              <w:sz w:val="16"/>
              <w:szCs w:val="20"/>
            </w:rPr>
            <m:t xml:space="preserve"> ∙100</m:t>
          </m:r>
        </m:oMath>
      </m:oMathPara>
    </w:p>
    <w:p w14:paraId="50AAFDB9" w14:textId="29E8145A" w:rsidR="003453A7" w:rsidRDefault="001810B6" w:rsidP="001810B6">
      <w:pPr>
        <w:spacing w:before="360"/>
        <w:rPr>
          <w:szCs w:val="19"/>
        </w:rPr>
      </w:pPr>
      <w:r w:rsidRPr="001810B6">
        <w:rPr>
          <w:szCs w:val="19"/>
        </w:rPr>
        <w:t>W opracowaniu zastosowano symbole literowe oraz skrócone nazwy sekcji PKD 2007, oznaczając skróty znakiem „∆”.</w:t>
      </w:r>
    </w:p>
    <w:p w14:paraId="016C0D6E" w14:textId="77777777" w:rsidR="001810B6" w:rsidRPr="001810B6" w:rsidRDefault="001810B6" w:rsidP="00CF62F4">
      <w:pPr>
        <w:spacing w:before="0" w:after="160" w:line="259" w:lineRule="auto"/>
        <w:rPr>
          <w:b/>
          <w:szCs w:val="19"/>
        </w:rPr>
      </w:pPr>
      <w:r w:rsidRPr="001810B6">
        <w:rPr>
          <w:szCs w:val="19"/>
        </w:rPr>
        <w:t xml:space="preserve">Pełne nazwy znajdują się na zamieszczonej poniżej liście sekcji PKD. </w:t>
      </w:r>
    </w:p>
    <w:p w14:paraId="5D6F0166" w14:textId="53D2EE33" w:rsidR="001810B6" w:rsidRPr="001810B6" w:rsidRDefault="001810B6" w:rsidP="003453A7">
      <w:pPr>
        <w:spacing w:before="360" w:line="288" w:lineRule="auto"/>
        <w:rPr>
          <w:b/>
          <w:szCs w:val="19"/>
        </w:rPr>
      </w:pPr>
      <w:r w:rsidRPr="001810B6">
        <w:rPr>
          <w:b/>
          <w:szCs w:val="19"/>
        </w:rPr>
        <w:t>Symbole sekcji PKD 2007</w:t>
      </w:r>
      <w:r w:rsidRPr="001810B6">
        <w:rPr>
          <w:szCs w:val="19"/>
        </w:rPr>
        <w:t xml:space="preserve">: </w:t>
      </w:r>
    </w:p>
    <w:p w14:paraId="0695828F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A – Rolnictwo, leśnictwo, łowiectwo i rybactwo;</w:t>
      </w:r>
    </w:p>
    <w:p w14:paraId="30BE5150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B – Górnictwo i wydobywanie;</w:t>
      </w:r>
    </w:p>
    <w:p w14:paraId="104227BB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C – Przetwórstwo przemysłowe;</w:t>
      </w:r>
    </w:p>
    <w:p w14:paraId="54FAF737" w14:textId="77777777" w:rsidR="001810B6" w:rsidRPr="001810B6" w:rsidRDefault="001810B6" w:rsidP="003453A7">
      <w:pPr>
        <w:spacing w:line="288" w:lineRule="auto"/>
        <w:ind w:left="284" w:hanging="284"/>
        <w:rPr>
          <w:b/>
          <w:szCs w:val="19"/>
        </w:rPr>
      </w:pPr>
      <w:r w:rsidRPr="001810B6">
        <w:rPr>
          <w:szCs w:val="19"/>
        </w:rPr>
        <w:lastRenderedPageBreak/>
        <w:t>D – Wytwarzanie i zaopatrywanie w energię elektryczną, gaz, parę wodną, gorącą wodę i powietrze do układów klimatyzacyjnych;</w:t>
      </w:r>
    </w:p>
    <w:p w14:paraId="3AEAE15B" w14:textId="77777777" w:rsidR="001810B6" w:rsidRPr="001810B6" w:rsidRDefault="001810B6" w:rsidP="003453A7">
      <w:pPr>
        <w:spacing w:line="288" w:lineRule="auto"/>
        <w:ind w:left="284" w:hanging="284"/>
        <w:rPr>
          <w:b/>
          <w:szCs w:val="19"/>
        </w:rPr>
      </w:pPr>
      <w:r w:rsidRPr="001810B6">
        <w:rPr>
          <w:szCs w:val="19"/>
        </w:rPr>
        <w:t>E – Dostawa wody; gospodarowanie ściekami i odpadami oraz działalność związana z rekultywacją;</w:t>
      </w:r>
    </w:p>
    <w:p w14:paraId="5FD43ADF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F – Budownictwo;</w:t>
      </w:r>
    </w:p>
    <w:p w14:paraId="6BE35C8B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G – Handel hurtowy i detaliczny; naprawa pojazdów samochodowych, włączając motocykle;</w:t>
      </w:r>
    </w:p>
    <w:p w14:paraId="0C62310B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H – Transport i gospodarka magazynowa;</w:t>
      </w:r>
    </w:p>
    <w:p w14:paraId="2E001FE1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I – Działalność związana z zakwaterowaniem i usługami gastronomicznymi;</w:t>
      </w:r>
    </w:p>
    <w:p w14:paraId="55D3CD02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J – Informacja i komunikacja;</w:t>
      </w:r>
    </w:p>
    <w:p w14:paraId="396CB080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K – Działalność finansowa i ubezpieczeniowa;</w:t>
      </w:r>
    </w:p>
    <w:p w14:paraId="19BBF21F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L – Działalność związana z obsługą rynku nieruchomości;</w:t>
      </w:r>
    </w:p>
    <w:p w14:paraId="5A445E03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M – Działalność profesjonalna, naukowa i techniczna;</w:t>
      </w:r>
    </w:p>
    <w:p w14:paraId="0BD76F43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N – Działalność w zakresie usług administrowania i działalność wspierająca;</w:t>
      </w:r>
    </w:p>
    <w:p w14:paraId="62D40C78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O – Administracja publiczna i obrona narodowa; obowiązkowe zabezpieczenia społeczne;</w:t>
      </w:r>
    </w:p>
    <w:p w14:paraId="7BEF3B18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P – Edukacja;</w:t>
      </w:r>
    </w:p>
    <w:p w14:paraId="23BB1051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Q – Opieka zdrowotna i pomoc społeczna;</w:t>
      </w:r>
    </w:p>
    <w:p w14:paraId="5A6DABFF" w14:textId="77777777" w:rsidR="001810B6" w:rsidRPr="001810B6" w:rsidRDefault="001810B6" w:rsidP="003453A7">
      <w:pPr>
        <w:spacing w:line="288" w:lineRule="auto"/>
        <w:rPr>
          <w:b/>
          <w:szCs w:val="19"/>
        </w:rPr>
      </w:pPr>
      <w:r w:rsidRPr="001810B6">
        <w:rPr>
          <w:szCs w:val="19"/>
        </w:rPr>
        <w:t>R – Działalność związana z kulturą, rozrywką i rekreacją;</w:t>
      </w:r>
    </w:p>
    <w:p w14:paraId="76AAD86C" w14:textId="02C9359B" w:rsidR="0039325A" w:rsidRDefault="001810B6" w:rsidP="003453A7">
      <w:pPr>
        <w:spacing w:line="288" w:lineRule="auto"/>
        <w:rPr>
          <w:szCs w:val="19"/>
        </w:rPr>
      </w:pPr>
      <w:r w:rsidRPr="001810B6">
        <w:rPr>
          <w:szCs w:val="19"/>
        </w:rPr>
        <w:t>S – Pozostała działalność usługowa.</w:t>
      </w:r>
    </w:p>
    <w:p w14:paraId="227129DA" w14:textId="24D9F4F0" w:rsidR="00AA7E3B" w:rsidRPr="003E6BF2" w:rsidRDefault="00AA7E3B" w:rsidP="006F4A09">
      <w:pPr>
        <w:spacing w:before="2280" w:line="288" w:lineRule="auto"/>
        <w:rPr>
          <w:sz w:val="18"/>
        </w:rPr>
      </w:pPr>
      <w:r w:rsidRPr="003E6BF2">
        <w:rPr>
          <w:szCs w:val="19"/>
        </w:rPr>
        <w:t>W przypadku cytowania danych Głównego Urzędu Statystycznego prosimy o zamieszczenie informacji: „Źródło danych GUS”, a</w:t>
      </w:r>
      <w:r w:rsidR="00CF62F4" w:rsidRPr="003E6BF2">
        <w:rPr>
          <w:szCs w:val="19"/>
        </w:rPr>
        <w:t xml:space="preserve"> w </w:t>
      </w:r>
      <w:r w:rsidRPr="003E6BF2">
        <w:rPr>
          <w:szCs w:val="19"/>
        </w:rPr>
        <w:t>przypadku publikowania obliczeń dokonanych na danych opublikowanych przez GUS prosimy o zamieszczenie informacji: „Opracowanie własne na podstawie danych GUS”.</w:t>
      </w:r>
    </w:p>
    <w:p w14:paraId="4128E9A9" w14:textId="77777777" w:rsidR="00AA7E3B" w:rsidRPr="00E54F5F" w:rsidRDefault="00AA7E3B" w:rsidP="00096823">
      <w:pPr>
        <w:spacing w:before="360"/>
        <w:rPr>
          <w:sz w:val="18"/>
        </w:rPr>
        <w:sectPr w:rsidR="00AA7E3B" w:rsidRPr="00E54F5F" w:rsidSect="009F1150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542D1B37" w14:textId="77777777" w:rsidR="00FD5ACE" w:rsidRPr="009A0363" w:rsidRDefault="00FD5ACE" w:rsidP="00FD5ACE">
      <w:pPr>
        <w:rPr>
          <w:color w:val="FF0000"/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B3A36" w:rsidRPr="00227A24" w14:paraId="17CA632D" w14:textId="77777777" w:rsidTr="009C47DA">
        <w:trPr>
          <w:trHeight w:val="1626"/>
        </w:trPr>
        <w:tc>
          <w:tcPr>
            <w:tcW w:w="4926" w:type="dxa"/>
          </w:tcPr>
          <w:p w14:paraId="2D5CAC7A" w14:textId="77777777" w:rsidR="001B3A36" w:rsidRDefault="001B3A36" w:rsidP="001B3A36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Opracowanie merytoryczne:</w:t>
            </w:r>
          </w:p>
          <w:p w14:paraId="57519205" w14:textId="77777777" w:rsidR="001B3A36" w:rsidRDefault="001B3A36" w:rsidP="001B3A3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Urząd Statystyczny w Bydgoszczy</w:t>
            </w:r>
          </w:p>
          <w:p w14:paraId="6F5BB184" w14:textId="77777777" w:rsidR="001B3A36" w:rsidRDefault="001B3A36" w:rsidP="001B3A3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p.o. Dyrektora Katarzyna Klamrowska</w:t>
            </w:r>
          </w:p>
          <w:p w14:paraId="49AA590E" w14:textId="2BB5FDC8" w:rsidR="001B3A36" w:rsidRPr="00227A24" w:rsidRDefault="001B3A36" w:rsidP="001B3A3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7FD599A0" w14:textId="77777777" w:rsidR="001B3A36" w:rsidRDefault="001B3A36" w:rsidP="001B3A36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Rozpowszechnianie:</w:t>
            </w:r>
            <w:r>
              <w:rPr>
                <w:rFonts w:cs="Arial"/>
                <w:sz w:val="20"/>
                <w:szCs w:val="20"/>
              </w:rPr>
              <w:br/>
            </w: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Wydział Prasowy</w:t>
            </w:r>
          </w:p>
          <w:p w14:paraId="40738344" w14:textId="77777777" w:rsidR="001B3A36" w:rsidRDefault="001B3A36" w:rsidP="001B3A3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komórkowy: +48 695 255 032</w:t>
            </w:r>
          </w:p>
          <w:p w14:paraId="2A7F9029" w14:textId="106CAEB8" w:rsidR="001B3A36" w:rsidRDefault="001B3A36" w:rsidP="001B3A36">
            <w:pPr>
              <w:spacing w:line="276" w:lineRule="auto"/>
              <w:ind w:left="1531" w:hanging="15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stacjonarne: +48 2</w:t>
            </w:r>
            <w:r w:rsidR="003453A7">
              <w:rPr>
                <w:sz w:val="20"/>
                <w:szCs w:val="20"/>
              </w:rPr>
              <w:t>2 608 38 04, +48 22 449 41 45,</w:t>
            </w:r>
            <w:r>
              <w:rPr>
                <w:sz w:val="20"/>
                <w:szCs w:val="20"/>
              </w:rPr>
              <w:t xml:space="preserve"> +48 22 608 30 09</w:t>
            </w:r>
          </w:p>
          <w:p w14:paraId="7ACA412B" w14:textId="77777777" w:rsidR="001B3A36" w:rsidRDefault="001B3A36" w:rsidP="001B3A36">
            <w:pPr>
              <w:spacing w:line="276" w:lineRule="auto"/>
              <w:rPr>
                <w:rStyle w:val="Hipercze"/>
                <w:rFonts w:eastAsiaTheme="majorEastAsia" w:cs="Arial"/>
                <w:b/>
                <w:color w:val="auto"/>
              </w:rPr>
            </w:pPr>
            <w:r>
              <w:rPr>
                <w:b/>
                <w:sz w:val="20"/>
                <w:szCs w:val="20"/>
              </w:rPr>
              <w:t>e-mail:</w:t>
            </w:r>
            <w:r>
              <w:rPr>
                <w:sz w:val="20"/>
                <w:szCs w:val="20"/>
              </w:rPr>
              <w:t xml:space="preserve"> </w:t>
            </w:r>
            <w:hyperlink r:id="rId17" w:history="1">
              <w:r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6D98BE53" w14:textId="5212CF7D" w:rsidR="001B3A36" w:rsidRDefault="001B3A36" w:rsidP="001B3A36">
            <w:pPr>
              <w:spacing w:before="0" w:line="276" w:lineRule="auto"/>
              <w:rPr>
                <w:sz w:val="18"/>
              </w:rPr>
            </w:pPr>
          </w:p>
        </w:tc>
      </w:tr>
      <w:tr w:rsidR="00922DD5" w:rsidRPr="00227A24" w14:paraId="3FEE4A92" w14:textId="77777777" w:rsidTr="009C47DA">
        <w:trPr>
          <w:trHeight w:val="418"/>
        </w:trPr>
        <w:tc>
          <w:tcPr>
            <w:tcW w:w="4926" w:type="dxa"/>
            <w:vMerge w:val="restart"/>
          </w:tcPr>
          <w:p w14:paraId="6C8FD95C" w14:textId="05699939" w:rsidR="00922DD5" w:rsidRPr="00F05FC7" w:rsidRDefault="00922DD5" w:rsidP="00922DD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5927DBB" w14:textId="72C0BADB" w:rsidR="00922DD5" w:rsidRDefault="00922DD5" w:rsidP="00922DD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1472" behindDoc="0" locked="0" layoutInCell="1" allowOverlap="1" wp14:anchorId="17E09942" wp14:editId="1E642CF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922DD5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  <w:bookmarkStart w:id="2" w:name="_GoBack"/>
            <w:bookmarkEnd w:id="2"/>
          </w:p>
        </w:tc>
      </w:tr>
      <w:tr w:rsidR="00922DD5" w:rsidRPr="00227A24" w14:paraId="5108DC55" w14:textId="77777777" w:rsidTr="00A600B1">
        <w:trPr>
          <w:trHeight w:val="418"/>
        </w:trPr>
        <w:tc>
          <w:tcPr>
            <w:tcW w:w="4926" w:type="dxa"/>
            <w:vMerge/>
            <w:vAlign w:val="center"/>
          </w:tcPr>
          <w:p w14:paraId="33AFA280" w14:textId="77777777" w:rsidR="00922DD5" w:rsidRPr="00227A24" w:rsidRDefault="00922DD5" w:rsidP="00922DD5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3F9CBB5" w14:textId="19C5FD30" w:rsidR="00922DD5" w:rsidRDefault="00922DD5" w:rsidP="00922DD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2496" behindDoc="0" locked="0" layoutInCell="1" allowOverlap="1" wp14:anchorId="5B8EEB49" wp14:editId="14E528F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22DD5" w:rsidRPr="00227A24" w14:paraId="2609074A" w14:textId="77777777" w:rsidTr="00A600B1">
        <w:trPr>
          <w:trHeight w:val="476"/>
        </w:trPr>
        <w:tc>
          <w:tcPr>
            <w:tcW w:w="4926" w:type="dxa"/>
            <w:vMerge/>
            <w:vAlign w:val="center"/>
          </w:tcPr>
          <w:p w14:paraId="5BF99333" w14:textId="77777777" w:rsidR="00922DD5" w:rsidRPr="00227A24" w:rsidRDefault="00922DD5" w:rsidP="00922DD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0910211" w14:textId="6D8EE0A7" w:rsidR="00922DD5" w:rsidRDefault="00922DD5" w:rsidP="00922DD5">
            <w:pPr>
              <w:ind w:firstLine="680"/>
              <w:rPr>
                <w:sz w:val="18"/>
              </w:rPr>
            </w:pPr>
            <w:hyperlink r:id="rId22" w:history="1">
              <w:r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83520" behindDoc="0" locked="0" layoutInCell="1" allowOverlap="1" wp14:anchorId="1D4D5963" wp14:editId="3B6AE20A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D617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22DD5" w:rsidRPr="00227A24" w14:paraId="084A98C5" w14:textId="77777777" w:rsidTr="009C47DA">
        <w:trPr>
          <w:trHeight w:val="476"/>
        </w:trPr>
        <w:tc>
          <w:tcPr>
            <w:tcW w:w="4926" w:type="dxa"/>
          </w:tcPr>
          <w:p w14:paraId="436975CD" w14:textId="77777777" w:rsidR="00922DD5" w:rsidRPr="00227A24" w:rsidRDefault="00922DD5" w:rsidP="00922DD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D92419" w14:textId="3B797B59" w:rsidR="00922DD5" w:rsidRPr="003D5F42" w:rsidRDefault="00922DD5" w:rsidP="00922DD5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4544" behindDoc="0" locked="0" layoutInCell="1" allowOverlap="1" wp14:anchorId="3E7DE58A" wp14:editId="7EDBC1A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2" name="Obraz 12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922DD5" w:rsidRPr="00227A24" w14:paraId="760EB5AA" w14:textId="77777777" w:rsidTr="009C47DA">
        <w:trPr>
          <w:trHeight w:val="476"/>
        </w:trPr>
        <w:tc>
          <w:tcPr>
            <w:tcW w:w="4926" w:type="dxa"/>
          </w:tcPr>
          <w:p w14:paraId="30D36E32" w14:textId="77777777" w:rsidR="00922DD5" w:rsidRPr="00227A24" w:rsidRDefault="00922DD5" w:rsidP="00922DD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374995" w14:textId="7E9798D7" w:rsidR="00922DD5" w:rsidRPr="003D5F42" w:rsidRDefault="00922DD5" w:rsidP="00922DD5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5568" behindDoc="0" locked="0" layoutInCell="1" allowOverlap="1" wp14:anchorId="18CF77BA" wp14:editId="6A30EB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8D6174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922DD5" w:rsidRPr="00227A24" w14:paraId="3971817C" w14:textId="77777777" w:rsidTr="009C47DA">
        <w:trPr>
          <w:trHeight w:val="953"/>
        </w:trPr>
        <w:tc>
          <w:tcPr>
            <w:tcW w:w="4926" w:type="dxa"/>
          </w:tcPr>
          <w:p w14:paraId="2D5C211D" w14:textId="77777777" w:rsidR="00922DD5" w:rsidRPr="00227A24" w:rsidRDefault="00922DD5" w:rsidP="00922DD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26F0DCE" w14:textId="4A24FCFF" w:rsidR="00922DD5" w:rsidRPr="003D5F42" w:rsidRDefault="00922DD5" w:rsidP="00922DD5">
            <w:pPr>
              <w:ind w:firstLine="680"/>
              <w:rPr>
                <w:sz w:val="20"/>
              </w:rPr>
            </w:pPr>
            <w:hyperlink r:id="rId28" w:history="1">
              <w:r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6592" behindDoc="0" locked="0" layoutInCell="1" allowOverlap="1" wp14:anchorId="080AB235" wp14:editId="1D63607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1943" w:rsidRPr="00227A24" w14:paraId="7BBE6A5E" w14:textId="77777777" w:rsidTr="007418C2">
        <w:trPr>
          <w:trHeight w:val="34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281503B" w14:textId="77777777" w:rsidR="00931943" w:rsidRPr="00227A24" w:rsidRDefault="00931943" w:rsidP="0093194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27A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5EFCDA3" w14:textId="77777777" w:rsidR="00931943" w:rsidRDefault="00922DD5" w:rsidP="00931943">
            <w:pPr>
              <w:rPr>
                <w:rStyle w:val="Hipercze"/>
              </w:rPr>
            </w:pPr>
            <w:hyperlink r:id="rId30" w:tooltip="Link do bazy danych - Eurostat" w:history="1">
              <w:r w:rsidR="00931943" w:rsidRPr="00C45D3A">
                <w:rPr>
                  <w:rStyle w:val="Hipercze"/>
                </w:rPr>
                <w:t>Baza Eurostatu – Eurostat Database – Labour market</w:t>
              </w:r>
            </w:hyperlink>
          </w:p>
          <w:p w14:paraId="330E02A8" w14:textId="138D262E" w:rsidR="00EE596D" w:rsidRPr="008C004C" w:rsidRDefault="008C004C" w:rsidP="00931943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B367D9">
              <w:rPr>
                <w:rStyle w:val="Hipercze"/>
              </w:rPr>
              <w:instrText>HYPERLINK "https://dbw.stat.gov.pl/dashboard/213" \o "Link do bazy danych - Dziedzinowe Bazy Wiedzy"</w:instrText>
            </w:r>
            <w:r>
              <w:rPr>
                <w:rStyle w:val="Hipercze"/>
              </w:rPr>
              <w:fldChar w:fldCharType="separate"/>
            </w:r>
            <w:r w:rsidR="00EE596D" w:rsidRPr="008C004C">
              <w:rPr>
                <w:rStyle w:val="Hipercze"/>
              </w:rPr>
              <w:t>DBW</w:t>
            </w:r>
          </w:p>
          <w:p w14:paraId="1BB0B6C4" w14:textId="6FEFEFCF" w:rsidR="00931943" w:rsidRPr="00227A24" w:rsidRDefault="008C004C" w:rsidP="0093194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r w:rsidR="00931943" w:rsidRPr="00227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5603ACB" w14:textId="77777777" w:rsidR="00931943" w:rsidRPr="00227A24" w:rsidRDefault="00922DD5" w:rsidP="0093194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31" w:tooltip="Link do słownika pojęć Indeks kosztów zatrudnienia" w:history="1">
              <w:r w:rsidR="00931943">
                <w:rPr>
                  <w:rStyle w:val="Hipercze"/>
                </w:rPr>
                <w:t>Indeks kosztów zatrudnienia</w:t>
              </w:r>
            </w:hyperlink>
            <w:hyperlink r:id="rId32" w:tooltip="Link do danych w bazie..." w:history="1">
              <w:r w:rsidR="00931943" w:rsidRPr="00227A24">
                <w:rPr>
                  <w:rStyle w:val="Hipercze"/>
                </w:rPr>
                <w:t xml:space="preserve"> </w:t>
              </w:r>
            </w:hyperlink>
          </w:p>
          <w:p w14:paraId="37BC636D" w14:textId="77777777" w:rsidR="00931943" w:rsidRDefault="00922DD5" w:rsidP="00931943">
            <w:pPr>
              <w:rPr>
                <w:rStyle w:val="Hipercze"/>
              </w:rPr>
            </w:pPr>
            <w:hyperlink r:id="rId33" w:tooltip="Link do słownika pojęć Czas przepracowany" w:history="1">
              <w:r w:rsidR="00931943">
                <w:rPr>
                  <w:rStyle w:val="Hipercze"/>
                </w:rPr>
                <w:t>Czas przepracowany</w:t>
              </w:r>
            </w:hyperlink>
          </w:p>
          <w:p w14:paraId="513F12BB" w14:textId="77777777" w:rsidR="00931943" w:rsidRPr="00E96865" w:rsidRDefault="00922DD5" w:rsidP="00931943">
            <w:pPr>
              <w:rPr>
                <w:rFonts w:cs="Times New Roman"/>
                <w:color w:val="0000FF"/>
                <w:u w:val="single"/>
              </w:rPr>
            </w:pPr>
            <w:hyperlink r:id="rId34" w:tooltip="Link do słownika pojęć Koszty pracy" w:history="1">
              <w:r w:rsidR="00931943">
                <w:rPr>
                  <w:rStyle w:val="Hipercze"/>
                </w:rPr>
                <w:t>Koszty pracy</w:t>
              </w:r>
            </w:hyperlink>
          </w:p>
        </w:tc>
      </w:tr>
    </w:tbl>
    <w:p w14:paraId="5303A191" w14:textId="5F0C12B1" w:rsidR="00AA02A4" w:rsidRPr="00227A24" w:rsidRDefault="00AA02A4" w:rsidP="00AA02A4">
      <w:pPr>
        <w:rPr>
          <w:sz w:val="18"/>
        </w:rPr>
      </w:pPr>
    </w:p>
    <w:sectPr w:rsidR="00AA02A4" w:rsidRPr="00227A24" w:rsidSect="00AE4F99">
      <w:headerReference w:type="default" r:id="rId35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E6CCD" w14:textId="77777777" w:rsidR="00292363" w:rsidRDefault="00292363" w:rsidP="000662E2">
      <w:pPr>
        <w:spacing w:after="0" w:line="240" w:lineRule="auto"/>
      </w:pPr>
      <w:r>
        <w:separator/>
      </w:r>
    </w:p>
  </w:endnote>
  <w:endnote w:type="continuationSeparator" w:id="0">
    <w:p w14:paraId="581AEA47" w14:textId="77777777" w:rsidR="00292363" w:rsidRDefault="0029236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DE89FDB-B6F0-4D52-9111-20A2C6213C75}"/>
    <w:embedBold r:id="rId2" w:fontKey="{2B5934FF-28F5-4014-84DC-E3BDF0BE33EE}"/>
    <w:embedItalic r:id="rId3" w:fontKey="{11B9E374-FE6A-4FDB-B4B7-EE29804A79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CE86A8F-ABE1-4B71-BC1C-B6BDD7DE870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873A291F-87D1-428E-BE9A-D2682AEC0C14}"/>
    <w:embedBold r:id="rId6" w:fontKey="{E6849727-4523-43DC-A94B-565EDFE02D2C}"/>
    <w:embedItalic r:id="rId7" w:fontKey="{C5DE6F00-2062-4A38-A3AE-D5C3FED314F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1C5246F-3918-4148-AAB3-6B89238982CA}"/>
    <w:embedItalic r:id="rId9" w:fontKey="{60088DE6-A801-42E1-A128-AABCF30491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F3C7E63-E046-493B-8DE4-0AC42CFFDC3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32367E2-E7B7-42AD-BD7E-2DF86F8EA12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F6F8A05F-CBEE-421E-B6EA-2A9CFD76CE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13" w:fontKey="{F773A75B-2F32-4CAD-959A-766599363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5416395"/>
      <w:docPartObj>
        <w:docPartGallery w:val="Page Numbers (Bottom of Page)"/>
        <w:docPartUnique/>
      </w:docPartObj>
    </w:sdtPr>
    <w:sdtEndPr/>
    <w:sdtContent>
      <w:p w14:paraId="48F777D2" w14:textId="3B284766" w:rsidR="00A600B1" w:rsidRDefault="00A600B1" w:rsidP="006041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2DD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8806815"/>
      <w:docPartObj>
        <w:docPartGallery w:val="Page Numbers (Bottom of Page)"/>
        <w:docPartUnique/>
      </w:docPartObj>
    </w:sdtPr>
    <w:sdtEndPr/>
    <w:sdtContent>
      <w:p w14:paraId="182ABE6D" w14:textId="4DB4844E" w:rsidR="00A600B1" w:rsidRDefault="00A600B1" w:rsidP="00B16FD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2D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59A2C" w14:textId="77777777" w:rsidR="00292363" w:rsidRDefault="00292363" w:rsidP="000662E2">
      <w:pPr>
        <w:spacing w:after="0" w:line="240" w:lineRule="auto"/>
      </w:pPr>
      <w:r>
        <w:separator/>
      </w:r>
    </w:p>
  </w:footnote>
  <w:footnote w:type="continuationSeparator" w:id="0">
    <w:p w14:paraId="3A80A372" w14:textId="77777777" w:rsidR="00292363" w:rsidRDefault="00292363" w:rsidP="000662E2">
      <w:pPr>
        <w:spacing w:after="0" w:line="240" w:lineRule="auto"/>
      </w:pPr>
      <w:r>
        <w:continuationSeparator/>
      </w:r>
    </w:p>
  </w:footnote>
  <w:footnote w:id="1">
    <w:p w14:paraId="00129700" w14:textId="7A541E9D" w:rsidR="00AB2F8F" w:rsidRPr="003844B0" w:rsidRDefault="00AB2F8F">
      <w:pPr>
        <w:pStyle w:val="Tekstprzypisudolnego"/>
        <w:rPr>
          <w:sz w:val="19"/>
          <w:szCs w:val="19"/>
        </w:rPr>
      </w:pPr>
      <w:r w:rsidRPr="003844B0">
        <w:rPr>
          <w:rStyle w:val="Odwoanieprzypisudolnego"/>
          <w:sz w:val="19"/>
          <w:szCs w:val="19"/>
        </w:rPr>
        <w:footnoteRef/>
      </w:r>
      <w:r w:rsidRPr="003844B0">
        <w:rPr>
          <w:sz w:val="19"/>
          <w:szCs w:val="19"/>
        </w:rPr>
        <w:t xml:space="preserve"> </w:t>
      </w:r>
      <w:r w:rsidR="003844B0" w:rsidRPr="003844B0">
        <w:rPr>
          <w:sz w:val="19"/>
          <w:szCs w:val="19"/>
        </w:rPr>
        <w:t>D</w:t>
      </w:r>
      <w:r w:rsidR="00C92367" w:rsidRPr="003844B0">
        <w:rPr>
          <w:sz w:val="19"/>
          <w:szCs w:val="19"/>
        </w:rPr>
        <w:t>ane wyrównywane sezonowo oraz dniami roboczymi.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1BC00" w14:textId="77777777" w:rsidR="00A600B1" w:rsidRDefault="00A600B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073B385" wp14:editId="61BAD1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F2A347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76D6496D" w14:textId="77777777" w:rsidR="00A600B1" w:rsidRDefault="00A600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8BA63" w14:textId="5862DC76" w:rsidR="00A600B1" w:rsidRDefault="00A600B1" w:rsidP="003716B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031F31" wp14:editId="2DD08DE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3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C20860" w14:textId="77777777" w:rsidR="00A600B1" w:rsidRPr="003C6C8D" w:rsidRDefault="00A600B1" w:rsidP="003716BF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7031F31" id="Schemat blokowy: opóźnienie 6" o:spid="_x0000_s1030" alt="Napis &quot;Informacje sygnalne&quot;" style="position:absolute;margin-left:396.6pt;margin-top:15.65pt;width:162.25pt;height:28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0qHAYAAOk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EC20860" w14:textId="77777777" w:rsidR="00A600B1" w:rsidRPr="003C6C8D" w:rsidRDefault="00A600B1" w:rsidP="003716BF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4E03DAB" wp14:editId="19AA9AC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2" name="Prostokąt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566E557" id="Prostokąt 192" o:spid="_x0000_s1026" style="position:absolute;margin-left:410.95pt;margin-top:40.3pt;width:147.4pt;height:1803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" fillcolor="#f2f2f2" stroked="f" strokeweight="1pt">
              <v:path arrowok="t"/>
              <w10:wrap type="tight"/>
            </v:rect>
          </w:pict>
        </mc:Fallback>
      </mc:AlternateContent>
    </w:r>
    <w:r w:rsidRPr="003D7A38">
      <w:rPr>
        <w:noProof/>
        <w:lang w:eastAsia="pl-PL"/>
      </w:rPr>
      <w:drawing>
        <wp:inline distT="0" distB="0" distL="0" distR="0" wp14:anchorId="41013723" wp14:editId="66AD07F0">
          <wp:extent cx="1153160" cy="716280"/>
          <wp:effectExtent l="0" t="0" r="8890" b="7620"/>
          <wp:docPr id="3" name="Obraz 33" descr="Logo Głównego Urzędu Statystycznego" title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9355CF" w14:textId="77777777" w:rsidR="00A600B1" w:rsidRDefault="00A600B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716744E" wp14:editId="613D0067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193" name="Pole tekstowe 2" descr="Data publikacji informacji sygnalnej 21 kwietnia 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4D562D" w14:textId="795D5EB3" w:rsidR="00A600B1" w:rsidRPr="00A01B40" w:rsidRDefault="00A600B1" w:rsidP="003716BF">
                          <w:pPr>
                            <w:pStyle w:val="Datainformacjisygnalnej"/>
                          </w:pPr>
                          <w:r>
                            <w:t>21.04.2026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716744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 21 kwietnia 2026 r." style="position:absolute;margin-left:416.4pt;margin-top:20.95pt;width:112.8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" filled="f" stroked="f">
              <v:textbox>
                <w:txbxContent>
                  <w:p w14:paraId="474D562D" w14:textId="795D5EB3" w:rsidR="00A600B1" w:rsidRPr="00A01B40" w:rsidRDefault="00A600B1" w:rsidP="003716BF">
                    <w:pPr>
                      <w:pStyle w:val="Datainformacjisygnalnej"/>
                    </w:pPr>
                    <w:r>
                      <w:t>21.04.2026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5AAFDF2" wp14:editId="1BDD017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54F6CA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jmpgIAAKI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6jQo5qYCAACi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78967" w14:textId="77777777" w:rsidR="00A600B1" w:rsidRDefault="00A600B1">
    <w:pPr>
      <w:pStyle w:val="Nagwek"/>
    </w:pPr>
  </w:p>
  <w:p w14:paraId="5DAEF0BC" w14:textId="77777777" w:rsidR="00A600B1" w:rsidRDefault="00A600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04F00E6"/>
    <w:multiLevelType w:val="hybridMultilevel"/>
    <w:tmpl w:val="29C0354E"/>
    <w:lvl w:ilvl="0" w:tplc="0415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0A2614"/>
    <w:multiLevelType w:val="hybridMultilevel"/>
    <w:tmpl w:val="026ADFD4"/>
    <w:lvl w:ilvl="0" w:tplc="0415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9446D4B4">
      <w:start w:val="1"/>
      <w:numFmt w:val="bullet"/>
      <w:lvlText w:val=""/>
      <w:lvlJc w:val="left"/>
      <w:pPr>
        <w:tabs>
          <w:tab w:val="num" w:pos="1792"/>
        </w:tabs>
        <w:ind w:left="2149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041FDF"/>
    <w:multiLevelType w:val="hybridMultilevel"/>
    <w:tmpl w:val="EF8EC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7F86D05"/>
    <w:multiLevelType w:val="hybridMultilevel"/>
    <w:tmpl w:val="5EA8D244"/>
    <w:lvl w:ilvl="0" w:tplc="04150001">
      <w:start w:val="1"/>
      <w:numFmt w:val="bullet"/>
      <w:lvlText w:val=""/>
      <w:lvlJc w:val="left"/>
      <w:pPr>
        <w:ind w:left="16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23" w:hanging="360"/>
      </w:pPr>
      <w:rPr>
        <w:rFonts w:ascii="Wingdings" w:hAnsi="Wingdings" w:hint="default"/>
      </w:rPr>
    </w:lvl>
  </w:abstractNum>
  <w:abstractNum w:abstractNumId="7" w15:restartNumberingAfterBreak="0">
    <w:nsid w:val="5BF75064"/>
    <w:multiLevelType w:val="hybridMultilevel"/>
    <w:tmpl w:val="844CFE16"/>
    <w:lvl w:ilvl="0" w:tplc="64D48F7A">
      <w:start w:val="1"/>
      <w:numFmt w:val="bullet"/>
      <w:lvlText w:val="—"/>
      <w:lvlJc w:val="left"/>
      <w:pPr>
        <w:tabs>
          <w:tab w:val="num" w:pos="502"/>
        </w:tabs>
        <w:ind w:left="502" w:hanging="360"/>
      </w:pPr>
      <w:rPr>
        <w:rFonts w:ascii="Calibri" w:hAnsi="Calibri" w:cs="Wingdings" w:hint="default"/>
      </w:rPr>
    </w:lvl>
    <w:lvl w:ilvl="1" w:tplc="44E8C354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A9D53F4"/>
    <w:multiLevelType w:val="hybridMultilevel"/>
    <w:tmpl w:val="E69C9202"/>
    <w:lvl w:ilvl="0" w:tplc="0415000B">
      <w:start w:val="1"/>
      <w:numFmt w:val="bullet"/>
      <w:lvlText w:val=""/>
      <w:lvlJc w:val="left"/>
      <w:pPr>
        <w:tabs>
          <w:tab w:val="num" w:pos="1663"/>
        </w:tabs>
        <w:ind w:left="1663" w:hanging="360"/>
      </w:pPr>
      <w:rPr>
        <w:rFonts w:ascii="Wingdings" w:hAnsi="Wingdings" w:cs="Wingdings" w:hint="default"/>
      </w:rPr>
    </w:lvl>
    <w:lvl w:ilvl="1" w:tplc="1A405A7E">
      <w:start w:val="1"/>
      <w:numFmt w:val="bullet"/>
      <w:lvlText w:val=""/>
      <w:lvlJc w:val="left"/>
      <w:pPr>
        <w:tabs>
          <w:tab w:val="num" w:pos="2383"/>
        </w:tabs>
        <w:ind w:left="2383" w:hanging="360"/>
      </w:pPr>
      <w:rPr>
        <w:rFonts w:ascii="Symbol" w:hAnsi="Symbol" w:cs="Symbol" w:hint="default"/>
        <w:color w:val="auto"/>
        <w:sz w:val="20"/>
        <w:szCs w:val="20"/>
      </w:rPr>
    </w:lvl>
    <w:lvl w:ilvl="2" w:tplc="04150005">
      <w:start w:val="1"/>
      <w:numFmt w:val="bullet"/>
      <w:lvlText w:val=""/>
      <w:lvlJc w:val="left"/>
      <w:pPr>
        <w:tabs>
          <w:tab w:val="num" w:pos="3103"/>
        </w:tabs>
        <w:ind w:left="310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823"/>
        </w:tabs>
        <w:ind w:left="382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543"/>
        </w:tabs>
        <w:ind w:left="45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263"/>
        </w:tabs>
        <w:ind w:left="526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983"/>
        </w:tabs>
        <w:ind w:left="598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703"/>
        </w:tabs>
        <w:ind w:left="67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423"/>
        </w:tabs>
        <w:ind w:left="7423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EC2327"/>
    <w:multiLevelType w:val="hybridMultilevel"/>
    <w:tmpl w:val="138087A0"/>
    <w:lvl w:ilvl="0" w:tplc="64D48F7A">
      <w:start w:val="1"/>
      <w:numFmt w:val="bullet"/>
      <w:lvlText w:val="—"/>
      <w:lvlJc w:val="left"/>
      <w:pPr>
        <w:ind w:left="1303" w:hanging="360"/>
      </w:pPr>
      <w:rPr>
        <w:rFonts w:ascii="Calibri" w:hAnsi="Calibri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10" w15:restartNumberingAfterBreak="0">
    <w:nsid w:val="7BAB18C8"/>
    <w:multiLevelType w:val="hybridMultilevel"/>
    <w:tmpl w:val="ACD61CBE"/>
    <w:lvl w:ilvl="0" w:tplc="04150001">
      <w:start w:val="1"/>
      <w:numFmt w:val="bullet"/>
      <w:lvlText w:val=""/>
      <w:lvlJc w:val="left"/>
      <w:pPr>
        <w:tabs>
          <w:tab w:val="num" w:pos="1097"/>
        </w:tabs>
        <w:ind w:left="1097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17"/>
        </w:tabs>
        <w:ind w:left="181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37"/>
        </w:tabs>
        <w:ind w:left="253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57"/>
        </w:tabs>
        <w:ind w:left="325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77"/>
        </w:tabs>
        <w:ind w:left="397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97"/>
        </w:tabs>
        <w:ind w:left="469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17"/>
        </w:tabs>
        <w:ind w:left="541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37"/>
        </w:tabs>
        <w:ind w:left="613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57"/>
        </w:tabs>
        <w:ind w:left="6857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3"/>
  </w:num>
  <w:num w:numId="10">
    <w:abstractNumId w:val="6"/>
  </w:num>
  <w:num w:numId="1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removePersonalInformation/>
  <w:removeDateAndTime/>
  <w:embedTrueTypeFonts/>
  <w:defaultTabStop w:val="454"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9D"/>
    <w:rsid w:val="0000079E"/>
    <w:rsid w:val="000012A1"/>
    <w:rsid w:val="00001C5B"/>
    <w:rsid w:val="00002712"/>
    <w:rsid w:val="00003437"/>
    <w:rsid w:val="00004073"/>
    <w:rsid w:val="0000579F"/>
    <w:rsid w:val="0000595E"/>
    <w:rsid w:val="000059AE"/>
    <w:rsid w:val="00005CC5"/>
    <w:rsid w:val="00005DD0"/>
    <w:rsid w:val="0000709F"/>
    <w:rsid w:val="00010187"/>
    <w:rsid w:val="000108B8"/>
    <w:rsid w:val="00010A6D"/>
    <w:rsid w:val="000152A4"/>
    <w:rsid w:val="000152F5"/>
    <w:rsid w:val="00015A29"/>
    <w:rsid w:val="00015AAA"/>
    <w:rsid w:val="00016877"/>
    <w:rsid w:val="00020629"/>
    <w:rsid w:val="00020A19"/>
    <w:rsid w:val="00020BB4"/>
    <w:rsid w:val="000222A1"/>
    <w:rsid w:val="00023427"/>
    <w:rsid w:val="0002342A"/>
    <w:rsid w:val="000250A7"/>
    <w:rsid w:val="0002549E"/>
    <w:rsid w:val="0002571D"/>
    <w:rsid w:val="0002669F"/>
    <w:rsid w:val="00026BE4"/>
    <w:rsid w:val="00027559"/>
    <w:rsid w:val="000278D9"/>
    <w:rsid w:val="000304CD"/>
    <w:rsid w:val="00030BE5"/>
    <w:rsid w:val="000315D7"/>
    <w:rsid w:val="00031A21"/>
    <w:rsid w:val="00031F16"/>
    <w:rsid w:val="00035A89"/>
    <w:rsid w:val="000367FE"/>
    <w:rsid w:val="000375DE"/>
    <w:rsid w:val="00040B2E"/>
    <w:rsid w:val="00040EC9"/>
    <w:rsid w:val="00041156"/>
    <w:rsid w:val="000416D9"/>
    <w:rsid w:val="000418A7"/>
    <w:rsid w:val="000421DA"/>
    <w:rsid w:val="000438A8"/>
    <w:rsid w:val="0004582E"/>
    <w:rsid w:val="000459A1"/>
    <w:rsid w:val="0004610C"/>
    <w:rsid w:val="000470AA"/>
    <w:rsid w:val="00047E86"/>
    <w:rsid w:val="00052BF1"/>
    <w:rsid w:val="00052E4B"/>
    <w:rsid w:val="00053FDD"/>
    <w:rsid w:val="00055DAC"/>
    <w:rsid w:val="00056D61"/>
    <w:rsid w:val="00057590"/>
    <w:rsid w:val="000577FF"/>
    <w:rsid w:val="00057CA1"/>
    <w:rsid w:val="00060088"/>
    <w:rsid w:val="00061EED"/>
    <w:rsid w:val="00065BA7"/>
    <w:rsid w:val="000662E2"/>
    <w:rsid w:val="00066883"/>
    <w:rsid w:val="00066AA3"/>
    <w:rsid w:val="00070356"/>
    <w:rsid w:val="0007085B"/>
    <w:rsid w:val="00071688"/>
    <w:rsid w:val="00073090"/>
    <w:rsid w:val="000733C5"/>
    <w:rsid w:val="00074DD8"/>
    <w:rsid w:val="00074F7B"/>
    <w:rsid w:val="00075158"/>
    <w:rsid w:val="00076929"/>
    <w:rsid w:val="000774A3"/>
    <w:rsid w:val="00077B5F"/>
    <w:rsid w:val="00077B60"/>
    <w:rsid w:val="000806F7"/>
    <w:rsid w:val="0008157E"/>
    <w:rsid w:val="000819BA"/>
    <w:rsid w:val="0008201A"/>
    <w:rsid w:val="00082264"/>
    <w:rsid w:val="00083FD2"/>
    <w:rsid w:val="00084529"/>
    <w:rsid w:val="0008496F"/>
    <w:rsid w:val="00084C95"/>
    <w:rsid w:val="0008513B"/>
    <w:rsid w:val="00085EF9"/>
    <w:rsid w:val="00086587"/>
    <w:rsid w:val="00086E07"/>
    <w:rsid w:val="00087320"/>
    <w:rsid w:val="00090188"/>
    <w:rsid w:val="0009117A"/>
    <w:rsid w:val="00091BFC"/>
    <w:rsid w:val="00092FF8"/>
    <w:rsid w:val="0009338B"/>
    <w:rsid w:val="00093A70"/>
    <w:rsid w:val="000946FC"/>
    <w:rsid w:val="00094B3B"/>
    <w:rsid w:val="0009532B"/>
    <w:rsid w:val="00095598"/>
    <w:rsid w:val="000956F8"/>
    <w:rsid w:val="00096455"/>
    <w:rsid w:val="0009653F"/>
    <w:rsid w:val="000967FF"/>
    <w:rsid w:val="00096823"/>
    <w:rsid w:val="00096F34"/>
    <w:rsid w:val="00097756"/>
    <w:rsid w:val="000A042B"/>
    <w:rsid w:val="000A1792"/>
    <w:rsid w:val="000A2E68"/>
    <w:rsid w:val="000A3409"/>
    <w:rsid w:val="000A3DB8"/>
    <w:rsid w:val="000A47A4"/>
    <w:rsid w:val="000A6A77"/>
    <w:rsid w:val="000B0727"/>
    <w:rsid w:val="000B2839"/>
    <w:rsid w:val="000B339C"/>
    <w:rsid w:val="000B3BC0"/>
    <w:rsid w:val="000B4B1E"/>
    <w:rsid w:val="000B7AFC"/>
    <w:rsid w:val="000C0ACB"/>
    <w:rsid w:val="000C0FA3"/>
    <w:rsid w:val="000C114B"/>
    <w:rsid w:val="000C135D"/>
    <w:rsid w:val="000C1974"/>
    <w:rsid w:val="000C282E"/>
    <w:rsid w:val="000C3BCD"/>
    <w:rsid w:val="000D03A8"/>
    <w:rsid w:val="000D040B"/>
    <w:rsid w:val="000D13A0"/>
    <w:rsid w:val="000D1D43"/>
    <w:rsid w:val="000D225C"/>
    <w:rsid w:val="000D2A5C"/>
    <w:rsid w:val="000D3B8B"/>
    <w:rsid w:val="000D414A"/>
    <w:rsid w:val="000D46CC"/>
    <w:rsid w:val="000D6C5C"/>
    <w:rsid w:val="000D740E"/>
    <w:rsid w:val="000E0918"/>
    <w:rsid w:val="000E1C72"/>
    <w:rsid w:val="000E2FD9"/>
    <w:rsid w:val="000E3133"/>
    <w:rsid w:val="000E3795"/>
    <w:rsid w:val="000E3BAF"/>
    <w:rsid w:val="000E4276"/>
    <w:rsid w:val="000E50F9"/>
    <w:rsid w:val="000E6738"/>
    <w:rsid w:val="000E6A64"/>
    <w:rsid w:val="000F1837"/>
    <w:rsid w:val="000F2114"/>
    <w:rsid w:val="000F5CF6"/>
    <w:rsid w:val="000F7D85"/>
    <w:rsid w:val="001011C3"/>
    <w:rsid w:val="00101937"/>
    <w:rsid w:val="00101C16"/>
    <w:rsid w:val="00102E72"/>
    <w:rsid w:val="00102F5D"/>
    <w:rsid w:val="00103BEF"/>
    <w:rsid w:val="00103D90"/>
    <w:rsid w:val="00105055"/>
    <w:rsid w:val="0010561F"/>
    <w:rsid w:val="0010743F"/>
    <w:rsid w:val="00110D87"/>
    <w:rsid w:val="00111AEE"/>
    <w:rsid w:val="00111DF3"/>
    <w:rsid w:val="00112681"/>
    <w:rsid w:val="0011357F"/>
    <w:rsid w:val="00114A46"/>
    <w:rsid w:val="00114DB9"/>
    <w:rsid w:val="00115339"/>
    <w:rsid w:val="00116087"/>
    <w:rsid w:val="0011770D"/>
    <w:rsid w:val="0011774C"/>
    <w:rsid w:val="001179AB"/>
    <w:rsid w:val="00120068"/>
    <w:rsid w:val="00120358"/>
    <w:rsid w:val="00120B2C"/>
    <w:rsid w:val="00121A61"/>
    <w:rsid w:val="00123621"/>
    <w:rsid w:val="001236AF"/>
    <w:rsid w:val="00123868"/>
    <w:rsid w:val="001240E7"/>
    <w:rsid w:val="0012456B"/>
    <w:rsid w:val="0012486A"/>
    <w:rsid w:val="00126745"/>
    <w:rsid w:val="00126CB3"/>
    <w:rsid w:val="00127A8F"/>
    <w:rsid w:val="00127C05"/>
    <w:rsid w:val="00130296"/>
    <w:rsid w:val="00135599"/>
    <w:rsid w:val="00135BB6"/>
    <w:rsid w:val="00136009"/>
    <w:rsid w:val="001362E2"/>
    <w:rsid w:val="001419FA"/>
    <w:rsid w:val="001423B6"/>
    <w:rsid w:val="00142F59"/>
    <w:rsid w:val="001448A7"/>
    <w:rsid w:val="00144DE8"/>
    <w:rsid w:val="00146621"/>
    <w:rsid w:val="00146EBA"/>
    <w:rsid w:val="00147173"/>
    <w:rsid w:val="0014765C"/>
    <w:rsid w:val="00147F98"/>
    <w:rsid w:val="001511CF"/>
    <w:rsid w:val="00152273"/>
    <w:rsid w:val="00152B4B"/>
    <w:rsid w:val="00152CAF"/>
    <w:rsid w:val="0015465C"/>
    <w:rsid w:val="00154865"/>
    <w:rsid w:val="001548DC"/>
    <w:rsid w:val="00154BED"/>
    <w:rsid w:val="00154CBD"/>
    <w:rsid w:val="00155C8A"/>
    <w:rsid w:val="00155DE7"/>
    <w:rsid w:val="00156768"/>
    <w:rsid w:val="001603EA"/>
    <w:rsid w:val="00160924"/>
    <w:rsid w:val="00160DA4"/>
    <w:rsid w:val="00160EB0"/>
    <w:rsid w:val="00162204"/>
    <w:rsid w:val="00162325"/>
    <w:rsid w:val="0016270E"/>
    <w:rsid w:val="00166A85"/>
    <w:rsid w:val="00167093"/>
    <w:rsid w:val="00167B44"/>
    <w:rsid w:val="00170878"/>
    <w:rsid w:val="00170904"/>
    <w:rsid w:val="00170D04"/>
    <w:rsid w:val="00172049"/>
    <w:rsid w:val="00173B46"/>
    <w:rsid w:val="00173BCE"/>
    <w:rsid w:val="001764D1"/>
    <w:rsid w:val="001810B6"/>
    <w:rsid w:val="00181EBF"/>
    <w:rsid w:val="00183BBC"/>
    <w:rsid w:val="00184F74"/>
    <w:rsid w:val="00185928"/>
    <w:rsid w:val="001871E9"/>
    <w:rsid w:val="00190795"/>
    <w:rsid w:val="0019239F"/>
    <w:rsid w:val="00192F6F"/>
    <w:rsid w:val="001951DA"/>
    <w:rsid w:val="00195A96"/>
    <w:rsid w:val="00196277"/>
    <w:rsid w:val="001972B1"/>
    <w:rsid w:val="001A0093"/>
    <w:rsid w:val="001A0772"/>
    <w:rsid w:val="001A1019"/>
    <w:rsid w:val="001A1534"/>
    <w:rsid w:val="001A25DF"/>
    <w:rsid w:val="001A268B"/>
    <w:rsid w:val="001A445F"/>
    <w:rsid w:val="001A5302"/>
    <w:rsid w:val="001A5363"/>
    <w:rsid w:val="001A56AE"/>
    <w:rsid w:val="001A716D"/>
    <w:rsid w:val="001A72C1"/>
    <w:rsid w:val="001A7D30"/>
    <w:rsid w:val="001B1A3E"/>
    <w:rsid w:val="001B2224"/>
    <w:rsid w:val="001B2D4A"/>
    <w:rsid w:val="001B3A36"/>
    <w:rsid w:val="001B4497"/>
    <w:rsid w:val="001B56A2"/>
    <w:rsid w:val="001B5A69"/>
    <w:rsid w:val="001B6A63"/>
    <w:rsid w:val="001C11B5"/>
    <w:rsid w:val="001C1819"/>
    <w:rsid w:val="001C29CE"/>
    <w:rsid w:val="001C3238"/>
    <w:rsid w:val="001C3269"/>
    <w:rsid w:val="001C34F3"/>
    <w:rsid w:val="001C4320"/>
    <w:rsid w:val="001C5DAF"/>
    <w:rsid w:val="001C6DD2"/>
    <w:rsid w:val="001C6EA2"/>
    <w:rsid w:val="001D1528"/>
    <w:rsid w:val="001D1AB1"/>
    <w:rsid w:val="001D1DB4"/>
    <w:rsid w:val="001D3FDC"/>
    <w:rsid w:val="001D489A"/>
    <w:rsid w:val="001D4C80"/>
    <w:rsid w:val="001D5F41"/>
    <w:rsid w:val="001D61CD"/>
    <w:rsid w:val="001D7142"/>
    <w:rsid w:val="001E000A"/>
    <w:rsid w:val="001E09FA"/>
    <w:rsid w:val="001E0FA7"/>
    <w:rsid w:val="001E26A0"/>
    <w:rsid w:val="001E3261"/>
    <w:rsid w:val="001E39DB"/>
    <w:rsid w:val="001E3BCD"/>
    <w:rsid w:val="001E5C70"/>
    <w:rsid w:val="001F2146"/>
    <w:rsid w:val="001F3034"/>
    <w:rsid w:val="001F3173"/>
    <w:rsid w:val="001F4C95"/>
    <w:rsid w:val="001F534C"/>
    <w:rsid w:val="001F5EF9"/>
    <w:rsid w:val="001F6877"/>
    <w:rsid w:val="001F7EEC"/>
    <w:rsid w:val="0020012C"/>
    <w:rsid w:val="00200B49"/>
    <w:rsid w:val="00200ED3"/>
    <w:rsid w:val="002010D3"/>
    <w:rsid w:val="00202C60"/>
    <w:rsid w:val="002044D0"/>
    <w:rsid w:val="00206A2D"/>
    <w:rsid w:val="002075A6"/>
    <w:rsid w:val="0021037C"/>
    <w:rsid w:val="0021091E"/>
    <w:rsid w:val="00210B91"/>
    <w:rsid w:val="00210BDB"/>
    <w:rsid w:val="0021115F"/>
    <w:rsid w:val="00212D84"/>
    <w:rsid w:val="00212F9A"/>
    <w:rsid w:val="00212FA4"/>
    <w:rsid w:val="00214AF0"/>
    <w:rsid w:val="00215DFD"/>
    <w:rsid w:val="00215FE1"/>
    <w:rsid w:val="00220288"/>
    <w:rsid w:val="002203BE"/>
    <w:rsid w:val="0022075F"/>
    <w:rsid w:val="00220E4B"/>
    <w:rsid w:val="00222F75"/>
    <w:rsid w:val="00223B3A"/>
    <w:rsid w:val="0022421B"/>
    <w:rsid w:val="00224528"/>
    <w:rsid w:val="00225113"/>
    <w:rsid w:val="0022553E"/>
    <w:rsid w:val="00225758"/>
    <w:rsid w:val="00227BB5"/>
    <w:rsid w:val="00227BC3"/>
    <w:rsid w:val="00233734"/>
    <w:rsid w:val="00234C9E"/>
    <w:rsid w:val="00236DDE"/>
    <w:rsid w:val="002401DE"/>
    <w:rsid w:val="0024042C"/>
    <w:rsid w:val="00240E2D"/>
    <w:rsid w:val="002414C9"/>
    <w:rsid w:val="00242D27"/>
    <w:rsid w:val="00242F57"/>
    <w:rsid w:val="002430F6"/>
    <w:rsid w:val="002437DD"/>
    <w:rsid w:val="00244738"/>
    <w:rsid w:val="002520EA"/>
    <w:rsid w:val="002527E1"/>
    <w:rsid w:val="00252A52"/>
    <w:rsid w:val="0025341F"/>
    <w:rsid w:val="00254D52"/>
    <w:rsid w:val="002574F9"/>
    <w:rsid w:val="00262550"/>
    <w:rsid w:val="00263B6C"/>
    <w:rsid w:val="002646F0"/>
    <w:rsid w:val="00266228"/>
    <w:rsid w:val="0026773F"/>
    <w:rsid w:val="00267828"/>
    <w:rsid w:val="002729CC"/>
    <w:rsid w:val="00276811"/>
    <w:rsid w:val="00276AF9"/>
    <w:rsid w:val="00277194"/>
    <w:rsid w:val="00280343"/>
    <w:rsid w:val="00280568"/>
    <w:rsid w:val="00280A85"/>
    <w:rsid w:val="00280C46"/>
    <w:rsid w:val="0028172E"/>
    <w:rsid w:val="0028193D"/>
    <w:rsid w:val="00282343"/>
    <w:rsid w:val="00282699"/>
    <w:rsid w:val="00282FA3"/>
    <w:rsid w:val="0028316F"/>
    <w:rsid w:val="00283302"/>
    <w:rsid w:val="0028500E"/>
    <w:rsid w:val="0028534C"/>
    <w:rsid w:val="00285464"/>
    <w:rsid w:val="00285889"/>
    <w:rsid w:val="002870C1"/>
    <w:rsid w:val="00287274"/>
    <w:rsid w:val="002879B5"/>
    <w:rsid w:val="00290A93"/>
    <w:rsid w:val="002922AB"/>
    <w:rsid w:val="00292363"/>
    <w:rsid w:val="002926DF"/>
    <w:rsid w:val="0029295A"/>
    <w:rsid w:val="0029340B"/>
    <w:rsid w:val="0029344F"/>
    <w:rsid w:val="002943E9"/>
    <w:rsid w:val="0029446E"/>
    <w:rsid w:val="0029486E"/>
    <w:rsid w:val="0029505A"/>
    <w:rsid w:val="0029514C"/>
    <w:rsid w:val="00295230"/>
    <w:rsid w:val="00295591"/>
    <w:rsid w:val="00296155"/>
    <w:rsid w:val="00296697"/>
    <w:rsid w:val="002966E1"/>
    <w:rsid w:val="00297EC6"/>
    <w:rsid w:val="002A08DA"/>
    <w:rsid w:val="002A0957"/>
    <w:rsid w:val="002A143F"/>
    <w:rsid w:val="002A174C"/>
    <w:rsid w:val="002A1965"/>
    <w:rsid w:val="002A2154"/>
    <w:rsid w:val="002A2F0F"/>
    <w:rsid w:val="002A33D1"/>
    <w:rsid w:val="002A3465"/>
    <w:rsid w:val="002A3587"/>
    <w:rsid w:val="002A48FA"/>
    <w:rsid w:val="002A4BFF"/>
    <w:rsid w:val="002A4EFA"/>
    <w:rsid w:val="002A4FEB"/>
    <w:rsid w:val="002A5025"/>
    <w:rsid w:val="002A754C"/>
    <w:rsid w:val="002B0472"/>
    <w:rsid w:val="002B0ADF"/>
    <w:rsid w:val="002B0FEE"/>
    <w:rsid w:val="002B6B12"/>
    <w:rsid w:val="002B7F5A"/>
    <w:rsid w:val="002C2ABD"/>
    <w:rsid w:val="002C336F"/>
    <w:rsid w:val="002C384A"/>
    <w:rsid w:val="002C5245"/>
    <w:rsid w:val="002C5F9D"/>
    <w:rsid w:val="002C61F8"/>
    <w:rsid w:val="002C731A"/>
    <w:rsid w:val="002C7B0C"/>
    <w:rsid w:val="002D08BF"/>
    <w:rsid w:val="002D1984"/>
    <w:rsid w:val="002D1B28"/>
    <w:rsid w:val="002D2C9C"/>
    <w:rsid w:val="002D3067"/>
    <w:rsid w:val="002D4609"/>
    <w:rsid w:val="002D48C2"/>
    <w:rsid w:val="002D4C94"/>
    <w:rsid w:val="002D5B9B"/>
    <w:rsid w:val="002D5DF3"/>
    <w:rsid w:val="002D65A1"/>
    <w:rsid w:val="002D6B20"/>
    <w:rsid w:val="002D6BA5"/>
    <w:rsid w:val="002D6BAB"/>
    <w:rsid w:val="002D732D"/>
    <w:rsid w:val="002D787D"/>
    <w:rsid w:val="002E196C"/>
    <w:rsid w:val="002E2FDB"/>
    <w:rsid w:val="002E444D"/>
    <w:rsid w:val="002E482D"/>
    <w:rsid w:val="002E6140"/>
    <w:rsid w:val="002E64CA"/>
    <w:rsid w:val="002E670B"/>
    <w:rsid w:val="002E6985"/>
    <w:rsid w:val="002E71B6"/>
    <w:rsid w:val="002E7E36"/>
    <w:rsid w:val="002E7F61"/>
    <w:rsid w:val="002F093C"/>
    <w:rsid w:val="002F2CB1"/>
    <w:rsid w:val="002F31A8"/>
    <w:rsid w:val="002F3AD3"/>
    <w:rsid w:val="002F5A7E"/>
    <w:rsid w:val="002F5D2D"/>
    <w:rsid w:val="002F77C8"/>
    <w:rsid w:val="00300D4E"/>
    <w:rsid w:val="0030118B"/>
    <w:rsid w:val="003011E7"/>
    <w:rsid w:val="00302FBC"/>
    <w:rsid w:val="003047CF"/>
    <w:rsid w:val="00304F22"/>
    <w:rsid w:val="003057B6"/>
    <w:rsid w:val="003065E8"/>
    <w:rsid w:val="00306C7C"/>
    <w:rsid w:val="00306C84"/>
    <w:rsid w:val="00306F19"/>
    <w:rsid w:val="0030798C"/>
    <w:rsid w:val="00307EA8"/>
    <w:rsid w:val="00307EC6"/>
    <w:rsid w:val="00310084"/>
    <w:rsid w:val="00310BCC"/>
    <w:rsid w:val="0031215E"/>
    <w:rsid w:val="00312ADE"/>
    <w:rsid w:val="00314CD0"/>
    <w:rsid w:val="00314F21"/>
    <w:rsid w:val="00316350"/>
    <w:rsid w:val="00316596"/>
    <w:rsid w:val="0031728E"/>
    <w:rsid w:val="00317D16"/>
    <w:rsid w:val="00321BB4"/>
    <w:rsid w:val="0032245A"/>
    <w:rsid w:val="00322B43"/>
    <w:rsid w:val="00322C01"/>
    <w:rsid w:val="00322EDD"/>
    <w:rsid w:val="003231FA"/>
    <w:rsid w:val="00323C6C"/>
    <w:rsid w:val="00324507"/>
    <w:rsid w:val="00324734"/>
    <w:rsid w:val="00324779"/>
    <w:rsid w:val="00324A96"/>
    <w:rsid w:val="00324E65"/>
    <w:rsid w:val="00325D04"/>
    <w:rsid w:val="003269E0"/>
    <w:rsid w:val="003273F8"/>
    <w:rsid w:val="00330B0B"/>
    <w:rsid w:val="00332320"/>
    <w:rsid w:val="0033286C"/>
    <w:rsid w:val="00332C4E"/>
    <w:rsid w:val="00333839"/>
    <w:rsid w:val="00337FA2"/>
    <w:rsid w:val="00340353"/>
    <w:rsid w:val="00340E5B"/>
    <w:rsid w:val="00340EFA"/>
    <w:rsid w:val="00341A68"/>
    <w:rsid w:val="00341A7E"/>
    <w:rsid w:val="00341D13"/>
    <w:rsid w:val="00341F0B"/>
    <w:rsid w:val="0034360E"/>
    <w:rsid w:val="00343B0F"/>
    <w:rsid w:val="003453A7"/>
    <w:rsid w:val="0034626F"/>
    <w:rsid w:val="00346689"/>
    <w:rsid w:val="0034681E"/>
    <w:rsid w:val="00346B6B"/>
    <w:rsid w:val="00347391"/>
    <w:rsid w:val="00347D72"/>
    <w:rsid w:val="00347FA9"/>
    <w:rsid w:val="00351749"/>
    <w:rsid w:val="00352123"/>
    <w:rsid w:val="00352D37"/>
    <w:rsid w:val="00352D6A"/>
    <w:rsid w:val="00353C98"/>
    <w:rsid w:val="00355951"/>
    <w:rsid w:val="00356445"/>
    <w:rsid w:val="00356EA5"/>
    <w:rsid w:val="0035714F"/>
    <w:rsid w:val="0035723B"/>
    <w:rsid w:val="0035756C"/>
    <w:rsid w:val="00357611"/>
    <w:rsid w:val="00357626"/>
    <w:rsid w:val="00357B65"/>
    <w:rsid w:val="00360C77"/>
    <w:rsid w:val="003613B7"/>
    <w:rsid w:val="00361889"/>
    <w:rsid w:val="00363119"/>
    <w:rsid w:val="0036333D"/>
    <w:rsid w:val="0036382E"/>
    <w:rsid w:val="00365333"/>
    <w:rsid w:val="003659D1"/>
    <w:rsid w:val="003664B9"/>
    <w:rsid w:val="0036680C"/>
    <w:rsid w:val="00366D51"/>
    <w:rsid w:val="00367237"/>
    <w:rsid w:val="0037077F"/>
    <w:rsid w:val="003716BF"/>
    <w:rsid w:val="00371C98"/>
    <w:rsid w:val="00372349"/>
    <w:rsid w:val="00373882"/>
    <w:rsid w:val="00374287"/>
    <w:rsid w:val="003742DF"/>
    <w:rsid w:val="0037467A"/>
    <w:rsid w:val="0037471A"/>
    <w:rsid w:val="0037503E"/>
    <w:rsid w:val="0037530F"/>
    <w:rsid w:val="00375C71"/>
    <w:rsid w:val="00377292"/>
    <w:rsid w:val="00381302"/>
    <w:rsid w:val="00381AEE"/>
    <w:rsid w:val="00381C9F"/>
    <w:rsid w:val="003843DB"/>
    <w:rsid w:val="003844B0"/>
    <w:rsid w:val="00385038"/>
    <w:rsid w:val="00385AD8"/>
    <w:rsid w:val="0038686F"/>
    <w:rsid w:val="00386AD4"/>
    <w:rsid w:val="0038708E"/>
    <w:rsid w:val="003870A6"/>
    <w:rsid w:val="003901B7"/>
    <w:rsid w:val="003907CC"/>
    <w:rsid w:val="00390C6D"/>
    <w:rsid w:val="00390F9F"/>
    <w:rsid w:val="00391006"/>
    <w:rsid w:val="00391E2B"/>
    <w:rsid w:val="0039325A"/>
    <w:rsid w:val="00393761"/>
    <w:rsid w:val="00393940"/>
    <w:rsid w:val="00393E58"/>
    <w:rsid w:val="00395254"/>
    <w:rsid w:val="0039546F"/>
    <w:rsid w:val="00397439"/>
    <w:rsid w:val="00397D18"/>
    <w:rsid w:val="00397DC7"/>
    <w:rsid w:val="003A11D5"/>
    <w:rsid w:val="003A1B36"/>
    <w:rsid w:val="003A290A"/>
    <w:rsid w:val="003A319A"/>
    <w:rsid w:val="003A329B"/>
    <w:rsid w:val="003A385C"/>
    <w:rsid w:val="003A51DB"/>
    <w:rsid w:val="003A66E0"/>
    <w:rsid w:val="003A6890"/>
    <w:rsid w:val="003A68B8"/>
    <w:rsid w:val="003A6980"/>
    <w:rsid w:val="003A6F37"/>
    <w:rsid w:val="003A731A"/>
    <w:rsid w:val="003A764F"/>
    <w:rsid w:val="003A7C1D"/>
    <w:rsid w:val="003B0681"/>
    <w:rsid w:val="003B1454"/>
    <w:rsid w:val="003B4C14"/>
    <w:rsid w:val="003B4E58"/>
    <w:rsid w:val="003B54D2"/>
    <w:rsid w:val="003B7340"/>
    <w:rsid w:val="003B76C4"/>
    <w:rsid w:val="003B7F1E"/>
    <w:rsid w:val="003C02E7"/>
    <w:rsid w:val="003C0BAA"/>
    <w:rsid w:val="003C262D"/>
    <w:rsid w:val="003C26C2"/>
    <w:rsid w:val="003C3B09"/>
    <w:rsid w:val="003C595B"/>
    <w:rsid w:val="003C59E0"/>
    <w:rsid w:val="003C683B"/>
    <w:rsid w:val="003C6C8D"/>
    <w:rsid w:val="003C70C2"/>
    <w:rsid w:val="003C7229"/>
    <w:rsid w:val="003C73EC"/>
    <w:rsid w:val="003D024C"/>
    <w:rsid w:val="003D2CB9"/>
    <w:rsid w:val="003D2FED"/>
    <w:rsid w:val="003D4767"/>
    <w:rsid w:val="003D4F95"/>
    <w:rsid w:val="003D58D4"/>
    <w:rsid w:val="003D5A87"/>
    <w:rsid w:val="003D5E5D"/>
    <w:rsid w:val="003D5EEF"/>
    <w:rsid w:val="003D5F42"/>
    <w:rsid w:val="003D60A9"/>
    <w:rsid w:val="003D6657"/>
    <w:rsid w:val="003D7617"/>
    <w:rsid w:val="003D7966"/>
    <w:rsid w:val="003D7FFC"/>
    <w:rsid w:val="003E00F3"/>
    <w:rsid w:val="003E0631"/>
    <w:rsid w:val="003E118D"/>
    <w:rsid w:val="003E1513"/>
    <w:rsid w:val="003E27D6"/>
    <w:rsid w:val="003E2834"/>
    <w:rsid w:val="003E3C66"/>
    <w:rsid w:val="003E3E9F"/>
    <w:rsid w:val="003E47BB"/>
    <w:rsid w:val="003E5A0A"/>
    <w:rsid w:val="003E6BF2"/>
    <w:rsid w:val="003E6EAA"/>
    <w:rsid w:val="003E7072"/>
    <w:rsid w:val="003E72AF"/>
    <w:rsid w:val="003E77D0"/>
    <w:rsid w:val="003F17C3"/>
    <w:rsid w:val="003F37A3"/>
    <w:rsid w:val="003F38EF"/>
    <w:rsid w:val="003F3C99"/>
    <w:rsid w:val="003F4C97"/>
    <w:rsid w:val="003F587F"/>
    <w:rsid w:val="003F59C1"/>
    <w:rsid w:val="003F7216"/>
    <w:rsid w:val="003F757B"/>
    <w:rsid w:val="003F764A"/>
    <w:rsid w:val="003F76B9"/>
    <w:rsid w:val="003F7FE6"/>
    <w:rsid w:val="00400193"/>
    <w:rsid w:val="00401026"/>
    <w:rsid w:val="004015CD"/>
    <w:rsid w:val="00401911"/>
    <w:rsid w:val="00401DF9"/>
    <w:rsid w:val="00402D94"/>
    <w:rsid w:val="00404671"/>
    <w:rsid w:val="004048F7"/>
    <w:rsid w:val="00404EE9"/>
    <w:rsid w:val="00405553"/>
    <w:rsid w:val="00405A7A"/>
    <w:rsid w:val="0041005F"/>
    <w:rsid w:val="00410732"/>
    <w:rsid w:val="004119CF"/>
    <w:rsid w:val="0041365E"/>
    <w:rsid w:val="0041494E"/>
    <w:rsid w:val="00414B19"/>
    <w:rsid w:val="00415154"/>
    <w:rsid w:val="00415267"/>
    <w:rsid w:val="0041593B"/>
    <w:rsid w:val="00416E4F"/>
    <w:rsid w:val="00417359"/>
    <w:rsid w:val="0041768A"/>
    <w:rsid w:val="00420A14"/>
    <w:rsid w:val="00420F3F"/>
    <w:rsid w:val="00420F4B"/>
    <w:rsid w:val="004212E7"/>
    <w:rsid w:val="00421385"/>
    <w:rsid w:val="004216CA"/>
    <w:rsid w:val="004225CB"/>
    <w:rsid w:val="00423354"/>
    <w:rsid w:val="004235B8"/>
    <w:rsid w:val="004236AB"/>
    <w:rsid w:val="00423D00"/>
    <w:rsid w:val="0042446D"/>
    <w:rsid w:val="00424B10"/>
    <w:rsid w:val="00425996"/>
    <w:rsid w:val="00427805"/>
    <w:rsid w:val="00427BF8"/>
    <w:rsid w:val="0043117F"/>
    <w:rsid w:val="00431C02"/>
    <w:rsid w:val="00431D8B"/>
    <w:rsid w:val="00434126"/>
    <w:rsid w:val="004348C3"/>
    <w:rsid w:val="00434E25"/>
    <w:rsid w:val="00436603"/>
    <w:rsid w:val="00437395"/>
    <w:rsid w:val="00440132"/>
    <w:rsid w:val="00440F02"/>
    <w:rsid w:val="00441FFD"/>
    <w:rsid w:val="00442136"/>
    <w:rsid w:val="00443500"/>
    <w:rsid w:val="00445047"/>
    <w:rsid w:val="00445337"/>
    <w:rsid w:val="0044538E"/>
    <w:rsid w:val="00446591"/>
    <w:rsid w:val="004466EE"/>
    <w:rsid w:val="00450597"/>
    <w:rsid w:val="0045096B"/>
    <w:rsid w:val="00450EDA"/>
    <w:rsid w:val="0045255F"/>
    <w:rsid w:val="00453702"/>
    <w:rsid w:val="0045495C"/>
    <w:rsid w:val="00454D29"/>
    <w:rsid w:val="0045505A"/>
    <w:rsid w:val="00455B05"/>
    <w:rsid w:val="0045659F"/>
    <w:rsid w:val="004574DF"/>
    <w:rsid w:val="00461C1B"/>
    <w:rsid w:val="00462180"/>
    <w:rsid w:val="00462AC4"/>
    <w:rsid w:val="00463E39"/>
    <w:rsid w:val="00464D44"/>
    <w:rsid w:val="004657FC"/>
    <w:rsid w:val="00465B74"/>
    <w:rsid w:val="00466940"/>
    <w:rsid w:val="00470CB5"/>
    <w:rsid w:val="00471D74"/>
    <w:rsid w:val="00472D8B"/>
    <w:rsid w:val="004731E9"/>
    <w:rsid w:val="004733F6"/>
    <w:rsid w:val="00473BD0"/>
    <w:rsid w:val="004744ED"/>
    <w:rsid w:val="00474E69"/>
    <w:rsid w:val="004761B3"/>
    <w:rsid w:val="004765F0"/>
    <w:rsid w:val="00476888"/>
    <w:rsid w:val="004772D4"/>
    <w:rsid w:val="004772E5"/>
    <w:rsid w:val="00477CA1"/>
    <w:rsid w:val="00480F47"/>
    <w:rsid w:val="00481031"/>
    <w:rsid w:val="00482546"/>
    <w:rsid w:val="0048289F"/>
    <w:rsid w:val="00484193"/>
    <w:rsid w:val="004842B4"/>
    <w:rsid w:val="00484CBA"/>
    <w:rsid w:val="004858E8"/>
    <w:rsid w:val="00487816"/>
    <w:rsid w:val="0048784B"/>
    <w:rsid w:val="00487F3E"/>
    <w:rsid w:val="004904A0"/>
    <w:rsid w:val="00490852"/>
    <w:rsid w:val="00490B34"/>
    <w:rsid w:val="00490B7C"/>
    <w:rsid w:val="004924CB"/>
    <w:rsid w:val="00492F53"/>
    <w:rsid w:val="00493937"/>
    <w:rsid w:val="00494622"/>
    <w:rsid w:val="004953A3"/>
    <w:rsid w:val="0049621B"/>
    <w:rsid w:val="00496AE7"/>
    <w:rsid w:val="0049759A"/>
    <w:rsid w:val="004975A2"/>
    <w:rsid w:val="00497A35"/>
    <w:rsid w:val="004A09CE"/>
    <w:rsid w:val="004A0A95"/>
    <w:rsid w:val="004A0D0C"/>
    <w:rsid w:val="004A264C"/>
    <w:rsid w:val="004A43CB"/>
    <w:rsid w:val="004A4EF9"/>
    <w:rsid w:val="004A6CEF"/>
    <w:rsid w:val="004A7107"/>
    <w:rsid w:val="004B1416"/>
    <w:rsid w:val="004B2860"/>
    <w:rsid w:val="004B2ED6"/>
    <w:rsid w:val="004B38F9"/>
    <w:rsid w:val="004B3C04"/>
    <w:rsid w:val="004B44E5"/>
    <w:rsid w:val="004B519C"/>
    <w:rsid w:val="004B592F"/>
    <w:rsid w:val="004B61C7"/>
    <w:rsid w:val="004B72F1"/>
    <w:rsid w:val="004C0025"/>
    <w:rsid w:val="004C1895"/>
    <w:rsid w:val="004C195E"/>
    <w:rsid w:val="004C2A72"/>
    <w:rsid w:val="004C3092"/>
    <w:rsid w:val="004C6D40"/>
    <w:rsid w:val="004D0D44"/>
    <w:rsid w:val="004D160C"/>
    <w:rsid w:val="004D2670"/>
    <w:rsid w:val="004D3154"/>
    <w:rsid w:val="004D443A"/>
    <w:rsid w:val="004D4A62"/>
    <w:rsid w:val="004D4ABC"/>
    <w:rsid w:val="004D79B1"/>
    <w:rsid w:val="004E08DE"/>
    <w:rsid w:val="004E1BE6"/>
    <w:rsid w:val="004E22D3"/>
    <w:rsid w:val="004E2986"/>
    <w:rsid w:val="004E4586"/>
    <w:rsid w:val="004E47AC"/>
    <w:rsid w:val="004F04E5"/>
    <w:rsid w:val="004F0C3C"/>
    <w:rsid w:val="004F1EF5"/>
    <w:rsid w:val="004F28CF"/>
    <w:rsid w:val="004F2C39"/>
    <w:rsid w:val="004F2CD1"/>
    <w:rsid w:val="004F3ADD"/>
    <w:rsid w:val="004F4B9D"/>
    <w:rsid w:val="004F5448"/>
    <w:rsid w:val="004F55C0"/>
    <w:rsid w:val="004F56A9"/>
    <w:rsid w:val="004F63FC"/>
    <w:rsid w:val="00500434"/>
    <w:rsid w:val="005020E2"/>
    <w:rsid w:val="00502111"/>
    <w:rsid w:val="00502462"/>
    <w:rsid w:val="0050291A"/>
    <w:rsid w:val="00503A1B"/>
    <w:rsid w:val="00504D39"/>
    <w:rsid w:val="00505A92"/>
    <w:rsid w:val="00510A94"/>
    <w:rsid w:val="00510B46"/>
    <w:rsid w:val="00510B55"/>
    <w:rsid w:val="00511B6B"/>
    <w:rsid w:val="005123BD"/>
    <w:rsid w:val="0051519F"/>
    <w:rsid w:val="00516FCD"/>
    <w:rsid w:val="005203F1"/>
    <w:rsid w:val="00521BC3"/>
    <w:rsid w:val="0052244D"/>
    <w:rsid w:val="00523F39"/>
    <w:rsid w:val="0052459F"/>
    <w:rsid w:val="00524A84"/>
    <w:rsid w:val="0052751D"/>
    <w:rsid w:val="00527AA9"/>
    <w:rsid w:val="00527E48"/>
    <w:rsid w:val="005302D5"/>
    <w:rsid w:val="00530443"/>
    <w:rsid w:val="00530867"/>
    <w:rsid w:val="0053137C"/>
    <w:rsid w:val="00531A65"/>
    <w:rsid w:val="00532E3C"/>
    <w:rsid w:val="00532E85"/>
    <w:rsid w:val="00533632"/>
    <w:rsid w:val="00533B07"/>
    <w:rsid w:val="00533C8E"/>
    <w:rsid w:val="00533DA9"/>
    <w:rsid w:val="005346CE"/>
    <w:rsid w:val="00534B0C"/>
    <w:rsid w:val="00535729"/>
    <w:rsid w:val="00536FDA"/>
    <w:rsid w:val="00540035"/>
    <w:rsid w:val="00540BAB"/>
    <w:rsid w:val="0054251F"/>
    <w:rsid w:val="00544545"/>
    <w:rsid w:val="0054563D"/>
    <w:rsid w:val="005463EF"/>
    <w:rsid w:val="00546F9B"/>
    <w:rsid w:val="00547837"/>
    <w:rsid w:val="00547C40"/>
    <w:rsid w:val="00550618"/>
    <w:rsid w:val="00550A60"/>
    <w:rsid w:val="00551623"/>
    <w:rsid w:val="005520D8"/>
    <w:rsid w:val="00552E42"/>
    <w:rsid w:val="00553C26"/>
    <w:rsid w:val="00553D76"/>
    <w:rsid w:val="005566CA"/>
    <w:rsid w:val="00556CF1"/>
    <w:rsid w:val="00557D85"/>
    <w:rsid w:val="005601E0"/>
    <w:rsid w:val="00560293"/>
    <w:rsid w:val="00561253"/>
    <w:rsid w:val="005620BF"/>
    <w:rsid w:val="005627EC"/>
    <w:rsid w:val="00562EF4"/>
    <w:rsid w:val="00564CAB"/>
    <w:rsid w:val="0056527B"/>
    <w:rsid w:val="00566EB5"/>
    <w:rsid w:val="00567A79"/>
    <w:rsid w:val="00567DFE"/>
    <w:rsid w:val="00567F36"/>
    <w:rsid w:val="00570685"/>
    <w:rsid w:val="005707D0"/>
    <w:rsid w:val="00571717"/>
    <w:rsid w:val="005718ED"/>
    <w:rsid w:val="00571BDB"/>
    <w:rsid w:val="005721A6"/>
    <w:rsid w:val="005730ED"/>
    <w:rsid w:val="00573442"/>
    <w:rsid w:val="005736AE"/>
    <w:rsid w:val="00573ACE"/>
    <w:rsid w:val="005741D3"/>
    <w:rsid w:val="00574AB4"/>
    <w:rsid w:val="00575F58"/>
    <w:rsid w:val="005762A7"/>
    <w:rsid w:val="005774EB"/>
    <w:rsid w:val="00580A6C"/>
    <w:rsid w:val="00581BDE"/>
    <w:rsid w:val="00581C3A"/>
    <w:rsid w:val="0058233D"/>
    <w:rsid w:val="00583824"/>
    <w:rsid w:val="00583E2C"/>
    <w:rsid w:val="00585988"/>
    <w:rsid w:val="00590E65"/>
    <w:rsid w:val="005916D7"/>
    <w:rsid w:val="005931F4"/>
    <w:rsid w:val="00593505"/>
    <w:rsid w:val="005948BB"/>
    <w:rsid w:val="005948F0"/>
    <w:rsid w:val="00594CC4"/>
    <w:rsid w:val="00595165"/>
    <w:rsid w:val="005961A2"/>
    <w:rsid w:val="00596605"/>
    <w:rsid w:val="00596715"/>
    <w:rsid w:val="00596901"/>
    <w:rsid w:val="005A0C7F"/>
    <w:rsid w:val="005A14A7"/>
    <w:rsid w:val="005A15D5"/>
    <w:rsid w:val="005A1AF6"/>
    <w:rsid w:val="005A2149"/>
    <w:rsid w:val="005A2610"/>
    <w:rsid w:val="005A42BA"/>
    <w:rsid w:val="005A4A84"/>
    <w:rsid w:val="005A59C5"/>
    <w:rsid w:val="005A698C"/>
    <w:rsid w:val="005A7534"/>
    <w:rsid w:val="005A75EE"/>
    <w:rsid w:val="005A7992"/>
    <w:rsid w:val="005A7B7C"/>
    <w:rsid w:val="005B22E8"/>
    <w:rsid w:val="005B25FA"/>
    <w:rsid w:val="005B3FC8"/>
    <w:rsid w:val="005B4C26"/>
    <w:rsid w:val="005B4E32"/>
    <w:rsid w:val="005B628C"/>
    <w:rsid w:val="005B7BAF"/>
    <w:rsid w:val="005B7CCB"/>
    <w:rsid w:val="005C06CA"/>
    <w:rsid w:val="005C0DDF"/>
    <w:rsid w:val="005C17D2"/>
    <w:rsid w:val="005C1D3C"/>
    <w:rsid w:val="005C1E41"/>
    <w:rsid w:val="005C3051"/>
    <w:rsid w:val="005C3F41"/>
    <w:rsid w:val="005C4508"/>
    <w:rsid w:val="005C489A"/>
    <w:rsid w:val="005C61B7"/>
    <w:rsid w:val="005D2479"/>
    <w:rsid w:val="005D487B"/>
    <w:rsid w:val="005D495F"/>
    <w:rsid w:val="005D60E5"/>
    <w:rsid w:val="005D6714"/>
    <w:rsid w:val="005D7B7D"/>
    <w:rsid w:val="005E064D"/>
    <w:rsid w:val="005E0799"/>
    <w:rsid w:val="005E07BE"/>
    <w:rsid w:val="005E0AFA"/>
    <w:rsid w:val="005E1CD6"/>
    <w:rsid w:val="005E258C"/>
    <w:rsid w:val="005E2BC9"/>
    <w:rsid w:val="005E35A4"/>
    <w:rsid w:val="005E38F2"/>
    <w:rsid w:val="005E39B1"/>
    <w:rsid w:val="005E523C"/>
    <w:rsid w:val="005E690C"/>
    <w:rsid w:val="005E7F19"/>
    <w:rsid w:val="005F07CB"/>
    <w:rsid w:val="005F1253"/>
    <w:rsid w:val="005F13B9"/>
    <w:rsid w:val="005F1F50"/>
    <w:rsid w:val="005F2588"/>
    <w:rsid w:val="005F2B01"/>
    <w:rsid w:val="005F3AC6"/>
    <w:rsid w:val="005F402A"/>
    <w:rsid w:val="005F4293"/>
    <w:rsid w:val="005F45DB"/>
    <w:rsid w:val="005F5A80"/>
    <w:rsid w:val="005F6500"/>
    <w:rsid w:val="00600478"/>
    <w:rsid w:val="006004B7"/>
    <w:rsid w:val="00600A2E"/>
    <w:rsid w:val="00600EEA"/>
    <w:rsid w:val="00600F91"/>
    <w:rsid w:val="00601188"/>
    <w:rsid w:val="00601A7D"/>
    <w:rsid w:val="00602244"/>
    <w:rsid w:val="00602617"/>
    <w:rsid w:val="006034CB"/>
    <w:rsid w:val="00603560"/>
    <w:rsid w:val="00603DC2"/>
    <w:rsid w:val="00604109"/>
    <w:rsid w:val="006044FF"/>
    <w:rsid w:val="00607032"/>
    <w:rsid w:val="00607037"/>
    <w:rsid w:val="00607572"/>
    <w:rsid w:val="00607CC5"/>
    <w:rsid w:val="00611464"/>
    <w:rsid w:val="00613209"/>
    <w:rsid w:val="00614678"/>
    <w:rsid w:val="00615160"/>
    <w:rsid w:val="0061612A"/>
    <w:rsid w:val="00616507"/>
    <w:rsid w:val="00616872"/>
    <w:rsid w:val="0062015C"/>
    <w:rsid w:val="006202DE"/>
    <w:rsid w:val="00620EA7"/>
    <w:rsid w:val="00621A64"/>
    <w:rsid w:val="00621CE1"/>
    <w:rsid w:val="00622AA4"/>
    <w:rsid w:val="006239EA"/>
    <w:rsid w:val="00623EB2"/>
    <w:rsid w:val="00624C31"/>
    <w:rsid w:val="00624EE4"/>
    <w:rsid w:val="00626BB5"/>
    <w:rsid w:val="00631F3F"/>
    <w:rsid w:val="00633014"/>
    <w:rsid w:val="00633075"/>
    <w:rsid w:val="0063437B"/>
    <w:rsid w:val="006346DD"/>
    <w:rsid w:val="00634B27"/>
    <w:rsid w:val="00635864"/>
    <w:rsid w:val="00637EB0"/>
    <w:rsid w:val="00640901"/>
    <w:rsid w:val="006423C1"/>
    <w:rsid w:val="006425E3"/>
    <w:rsid w:val="00643AC3"/>
    <w:rsid w:val="00643E4C"/>
    <w:rsid w:val="006455C5"/>
    <w:rsid w:val="0064586C"/>
    <w:rsid w:val="00645E24"/>
    <w:rsid w:val="006474B4"/>
    <w:rsid w:val="006478A0"/>
    <w:rsid w:val="00650837"/>
    <w:rsid w:val="006509E0"/>
    <w:rsid w:val="00650EC1"/>
    <w:rsid w:val="006519FE"/>
    <w:rsid w:val="00653F95"/>
    <w:rsid w:val="0065428F"/>
    <w:rsid w:val="00654BD4"/>
    <w:rsid w:val="00655B9B"/>
    <w:rsid w:val="00660D17"/>
    <w:rsid w:val="00661AB9"/>
    <w:rsid w:val="00663ED1"/>
    <w:rsid w:val="006643A8"/>
    <w:rsid w:val="00665678"/>
    <w:rsid w:val="00665CA0"/>
    <w:rsid w:val="00665DB2"/>
    <w:rsid w:val="006673CA"/>
    <w:rsid w:val="0067123E"/>
    <w:rsid w:val="00671E0B"/>
    <w:rsid w:val="00672C8A"/>
    <w:rsid w:val="00673C26"/>
    <w:rsid w:val="00673CE2"/>
    <w:rsid w:val="006750FF"/>
    <w:rsid w:val="006751EA"/>
    <w:rsid w:val="00676D5D"/>
    <w:rsid w:val="006809B8"/>
    <w:rsid w:val="006812AF"/>
    <w:rsid w:val="006825A9"/>
    <w:rsid w:val="006825DC"/>
    <w:rsid w:val="0068327D"/>
    <w:rsid w:val="00684FFD"/>
    <w:rsid w:val="006877C0"/>
    <w:rsid w:val="00690694"/>
    <w:rsid w:val="00691080"/>
    <w:rsid w:val="00691CA1"/>
    <w:rsid w:val="00691E6E"/>
    <w:rsid w:val="006940DA"/>
    <w:rsid w:val="00694AF0"/>
    <w:rsid w:val="00694D1F"/>
    <w:rsid w:val="00695489"/>
    <w:rsid w:val="00697055"/>
    <w:rsid w:val="00697394"/>
    <w:rsid w:val="006973AF"/>
    <w:rsid w:val="00697D1E"/>
    <w:rsid w:val="00697DD5"/>
    <w:rsid w:val="00697DE9"/>
    <w:rsid w:val="006A18F8"/>
    <w:rsid w:val="006A2113"/>
    <w:rsid w:val="006A2F2E"/>
    <w:rsid w:val="006A3560"/>
    <w:rsid w:val="006A4DE3"/>
    <w:rsid w:val="006A5324"/>
    <w:rsid w:val="006A5919"/>
    <w:rsid w:val="006A59BD"/>
    <w:rsid w:val="006A5A89"/>
    <w:rsid w:val="006A5DAF"/>
    <w:rsid w:val="006A5F25"/>
    <w:rsid w:val="006A6144"/>
    <w:rsid w:val="006B0874"/>
    <w:rsid w:val="006B0E9E"/>
    <w:rsid w:val="006B2C89"/>
    <w:rsid w:val="006B3044"/>
    <w:rsid w:val="006B3AFB"/>
    <w:rsid w:val="006B3B1B"/>
    <w:rsid w:val="006B3F43"/>
    <w:rsid w:val="006B404B"/>
    <w:rsid w:val="006B47A2"/>
    <w:rsid w:val="006B51C1"/>
    <w:rsid w:val="006B5AE4"/>
    <w:rsid w:val="006B7324"/>
    <w:rsid w:val="006C12EE"/>
    <w:rsid w:val="006C244E"/>
    <w:rsid w:val="006C2B8A"/>
    <w:rsid w:val="006C2FAA"/>
    <w:rsid w:val="006C4A80"/>
    <w:rsid w:val="006C4BDF"/>
    <w:rsid w:val="006C7748"/>
    <w:rsid w:val="006D0602"/>
    <w:rsid w:val="006D147E"/>
    <w:rsid w:val="006D2005"/>
    <w:rsid w:val="006D2BA5"/>
    <w:rsid w:val="006D4054"/>
    <w:rsid w:val="006D4152"/>
    <w:rsid w:val="006D447B"/>
    <w:rsid w:val="006D4E69"/>
    <w:rsid w:val="006D5A50"/>
    <w:rsid w:val="006D6481"/>
    <w:rsid w:val="006D6C67"/>
    <w:rsid w:val="006D6CF9"/>
    <w:rsid w:val="006D7E42"/>
    <w:rsid w:val="006E02EC"/>
    <w:rsid w:val="006E05BF"/>
    <w:rsid w:val="006E397E"/>
    <w:rsid w:val="006E568F"/>
    <w:rsid w:val="006E5A9B"/>
    <w:rsid w:val="006E6A6C"/>
    <w:rsid w:val="006F13EF"/>
    <w:rsid w:val="006F1409"/>
    <w:rsid w:val="006F2A69"/>
    <w:rsid w:val="006F4A09"/>
    <w:rsid w:val="006F68A8"/>
    <w:rsid w:val="006F74BC"/>
    <w:rsid w:val="00701780"/>
    <w:rsid w:val="0070216A"/>
    <w:rsid w:val="00703082"/>
    <w:rsid w:val="007035B9"/>
    <w:rsid w:val="00704F54"/>
    <w:rsid w:val="007076E8"/>
    <w:rsid w:val="007153A2"/>
    <w:rsid w:val="00715DED"/>
    <w:rsid w:val="007160E2"/>
    <w:rsid w:val="007170CC"/>
    <w:rsid w:val="00720711"/>
    <w:rsid w:val="007211B1"/>
    <w:rsid w:val="0072163D"/>
    <w:rsid w:val="0072175A"/>
    <w:rsid w:val="007241EC"/>
    <w:rsid w:val="0072464C"/>
    <w:rsid w:val="00724E88"/>
    <w:rsid w:val="00724FC1"/>
    <w:rsid w:val="0072526C"/>
    <w:rsid w:val="00725799"/>
    <w:rsid w:val="007269E2"/>
    <w:rsid w:val="00726AC9"/>
    <w:rsid w:val="00726BAD"/>
    <w:rsid w:val="00726C9B"/>
    <w:rsid w:val="00727C6F"/>
    <w:rsid w:val="007303FC"/>
    <w:rsid w:val="007304DC"/>
    <w:rsid w:val="007308F4"/>
    <w:rsid w:val="007309BC"/>
    <w:rsid w:val="00731EBC"/>
    <w:rsid w:val="00732972"/>
    <w:rsid w:val="00733DCF"/>
    <w:rsid w:val="00734660"/>
    <w:rsid w:val="00734ED9"/>
    <w:rsid w:val="00735A31"/>
    <w:rsid w:val="00740752"/>
    <w:rsid w:val="007410C7"/>
    <w:rsid w:val="007418C2"/>
    <w:rsid w:val="00742ABD"/>
    <w:rsid w:val="007430EF"/>
    <w:rsid w:val="00743560"/>
    <w:rsid w:val="007435B2"/>
    <w:rsid w:val="00743743"/>
    <w:rsid w:val="00743F87"/>
    <w:rsid w:val="0074456F"/>
    <w:rsid w:val="00745802"/>
    <w:rsid w:val="00746187"/>
    <w:rsid w:val="0074689D"/>
    <w:rsid w:val="00747588"/>
    <w:rsid w:val="00747758"/>
    <w:rsid w:val="00751311"/>
    <w:rsid w:val="007561E8"/>
    <w:rsid w:val="00756232"/>
    <w:rsid w:val="00757C29"/>
    <w:rsid w:val="007604E9"/>
    <w:rsid w:val="00761FBB"/>
    <w:rsid w:val="0076207E"/>
    <w:rsid w:val="007620FD"/>
    <w:rsid w:val="0076214D"/>
    <w:rsid w:val="0076254F"/>
    <w:rsid w:val="00762EEE"/>
    <w:rsid w:val="00763F60"/>
    <w:rsid w:val="00765EB7"/>
    <w:rsid w:val="0076668C"/>
    <w:rsid w:val="00767599"/>
    <w:rsid w:val="00770049"/>
    <w:rsid w:val="007704A5"/>
    <w:rsid w:val="00772BF0"/>
    <w:rsid w:val="00773229"/>
    <w:rsid w:val="00774BFD"/>
    <w:rsid w:val="00775378"/>
    <w:rsid w:val="00777015"/>
    <w:rsid w:val="00777AD5"/>
    <w:rsid w:val="00777EB5"/>
    <w:rsid w:val="0078018E"/>
    <w:rsid w:val="007801F5"/>
    <w:rsid w:val="007806AB"/>
    <w:rsid w:val="00780A9B"/>
    <w:rsid w:val="00781699"/>
    <w:rsid w:val="00781970"/>
    <w:rsid w:val="00781D6E"/>
    <w:rsid w:val="00781E97"/>
    <w:rsid w:val="007824B2"/>
    <w:rsid w:val="00782B18"/>
    <w:rsid w:val="00782BCB"/>
    <w:rsid w:val="00783CA4"/>
    <w:rsid w:val="007841A5"/>
    <w:rsid w:val="007842FB"/>
    <w:rsid w:val="0078607D"/>
    <w:rsid w:val="00786124"/>
    <w:rsid w:val="00786AA3"/>
    <w:rsid w:val="00786FBC"/>
    <w:rsid w:val="00787312"/>
    <w:rsid w:val="007874E7"/>
    <w:rsid w:val="007879FE"/>
    <w:rsid w:val="00787C29"/>
    <w:rsid w:val="007911E2"/>
    <w:rsid w:val="00791FB1"/>
    <w:rsid w:val="007921A8"/>
    <w:rsid w:val="007928A8"/>
    <w:rsid w:val="007930BD"/>
    <w:rsid w:val="0079354B"/>
    <w:rsid w:val="00793E7E"/>
    <w:rsid w:val="0079446D"/>
    <w:rsid w:val="00794ECD"/>
    <w:rsid w:val="0079514B"/>
    <w:rsid w:val="00795759"/>
    <w:rsid w:val="00796C66"/>
    <w:rsid w:val="007974FF"/>
    <w:rsid w:val="00797C25"/>
    <w:rsid w:val="00797DCD"/>
    <w:rsid w:val="007A1A4E"/>
    <w:rsid w:val="007A2C9E"/>
    <w:rsid w:val="007A2DC1"/>
    <w:rsid w:val="007A2FC4"/>
    <w:rsid w:val="007A2FCD"/>
    <w:rsid w:val="007A5042"/>
    <w:rsid w:val="007A5E4D"/>
    <w:rsid w:val="007A5F22"/>
    <w:rsid w:val="007A6F92"/>
    <w:rsid w:val="007A780B"/>
    <w:rsid w:val="007A796B"/>
    <w:rsid w:val="007A7D42"/>
    <w:rsid w:val="007B0957"/>
    <w:rsid w:val="007B0E2F"/>
    <w:rsid w:val="007B20E7"/>
    <w:rsid w:val="007B26DC"/>
    <w:rsid w:val="007B2722"/>
    <w:rsid w:val="007B2D3F"/>
    <w:rsid w:val="007B59F8"/>
    <w:rsid w:val="007B6B64"/>
    <w:rsid w:val="007B73AB"/>
    <w:rsid w:val="007B740D"/>
    <w:rsid w:val="007B7AD8"/>
    <w:rsid w:val="007B7BAB"/>
    <w:rsid w:val="007C0241"/>
    <w:rsid w:val="007C20B6"/>
    <w:rsid w:val="007C21E6"/>
    <w:rsid w:val="007C2650"/>
    <w:rsid w:val="007C273C"/>
    <w:rsid w:val="007C2A66"/>
    <w:rsid w:val="007C4552"/>
    <w:rsid w:val="007C57F2"/>
    <w:rsid w:val="007C64BA"/>
    <w:rsid w:val="007C7F03"/>
    <w:rsid w:val="007D04AE"/>
    <w:rsid w:val="007D3319"/>
    <w:rsid w:val="007D335D"/>
    <w:rsid w:val="007D457F"/>
    <w:rsid w:val="007D477C"/>
    <w:rsid w:val="007D4C39"/>
    <w:rsid w:val="007D62F3"/>
    <w:rsid w:val="007D70E8"/>
    <w:rsid w:val="007D77D5"/>
    <w:rsid w:val="007E05CC"/>
    <w:rsid w:val="007E0E8F"/>
    <w:rsid w:val="007E229E"/>
    <w:rsid w:val="007E3314"/>
    <w:rsid w:val="007E4B03"/>
    <w:rsid w:val="007E5852"/>
    <w:rsid w:val="007E7719"/>
    <w:rsid w:val="007F0B80"/>
    <w:rsid w:val="007F0FAD"/>
    <w:rsid w:val="007F10F2"/>
    <w:rsid w:val="007F324B"/>
    <w:rsid w:val="007F4500"/>
    <w:rsid w:val="007F4CE4"/>
    <w:rsid w:val="007F52B5"/>
    <w:rsid w:val="007F5BFE"/>
    <w:rsid w:val="007F5C28"/>
    <w:rsid w:val="007F5C8B"/>
    <w:rsid w:val="007F6BB9"/>
    <w:rsid w:val="007F7671"/>
    <w:rsid w:val="007F7C9E"/>
    <w:rsid w:val="008003D6"/>
    <w:rsid w:val="008006DC"/>
    <w:rsid w:val="00800B0A"/>
    <w:rsid w:val="00803BAB"/>
    <w:rsid w:val="00803BB8"/>
    <w:rsid w:val="00805535"/>
    <w:rsid w:val="0080553C"/>
    <w:rsid w:val="00805B46"/>
    <w:rsid w:val="00805FC6"/>
    <w:rsid w:val="008060AC"/>
    <w:rsid w:val="00806566"/>
    <w:rsid w:val="00806FD2"/>
    <w:rsid w:val="008115A2"/>
    <w:rsid w:val="00811AE4"/>
    <w:rsid w:val="00812105"/>
    <w:rsid w:val="00813A14"/>
    <w:rsid w:val="0081501F"/>
    <w:rsid w:val="00815520"/>
    <w:rsid w:val="00815967"/>
    <w:rsid w:val="00817052"/>
    <w:rsid w:val="00817420"/>
    <w:rsid w:val="00820144"/>
    <w:rsid w:val="0082126A"/>
    <w:rsid w:val="00821E99"/>
    <w:rsid w:val="00821EA7"/>
    <w:rsid w:val="00823037"/>
    <w:rsid w:val="00823767"/>
    <w:rsid w:val="00823E2B"/>
    <w:rsid w:val="0082414F"/>
    <w:rsid w:val="0082512F"/>
    <w:rsid w:val="00825422"/>
    <w:rsid w:val="00825DC2"/>
    <w:rsid w:val="00826856"/>
    <w:rsid w:val="00826E51"/>
    <w:rsid w:val="00827301"/>
    <w:rsid w:val="008275AB"/>
    <w:rsid w:val="008277A5"/>
    <w:rsid w:val="0083076F"/>
    <w:rsid w:val="0083172F"/>
    <w:rsid w:val="00832E69"/>
    <w:rsid w:val="008333B1"/>
    <w:rsid w:val="00833AD6"/>
    <w:rsid w:val="008344AF"/>
    <w:rsid w:val="00834AD3"/>
    <w:rsid w:val="0083548B"/>
    <w:rsid w:val="00835E8A"/>
    <w:rsid w:val="00837B70"/>
    <w:rsid w:val="008402C6"/>
    <w:rsid w:val="00840946"/>
    <w:rsid w:val="008412AB"/>
    <w:rsid w:val="008419F9"/>
    <w:rsid w:val="00841E53"/>
    <w:rsid w:val="00841E5D"/>
    <w:rsid w:val="008420E8"/>
    <w:rsid w:val="00842527"/>
    <w:rsid w:val="00843795"/>
    <w:rsid w:val="008447FB"/>
    <w:rsid w:val="00845F09"/>
    <w:rsid w:val="00845F82"/>
    <w:rsid w:val="00846D46"/>
    <w:rsid w:val="008471D9"/>
    <w:rsid w:val="0084798B"/>
    <w:rsid w:val="00847F0F"/>
    <w:rsid w:val="008506F1"/>
    <w:rsid w:val="00850DA0"/>
    <w:rsid w:val="00850E88"/>
    <w:rsid w:val="00851924"/>
    <w:rsid w:val="00851F42"/>
    <w:rsid w:val="00852448"/>
    <w:rsid w:val="0085340F"/>
    <w:rsid w:val="0085372B"/>
    <w:rsid w:val="00853816"/>
    <w:rsid w:val="008540E7"/>
    <w:rsid w:val="00854784"/>
    <w:rsid w:val="008564D9"/>
    <w:rsid w:val="00856CDF"/>
    <w:rsid w:val="008570A1"/>
    <w:rsid w:val="008578E2"/>
    <w:rsid w:val="0086167E"/>
    <w:rsid w:val="00861773"/>
    <w:rsid w:val="00862B1A"/>
    <w:rsid w:val="00863468"/>
    <w:rsid w:val="008658F1"/>
    <w:rsid w:val="00865A4E"/>
    <w:rsid w:val="0086767F"/>
    <w:rsid w:val="00870565"/>
    <w:rsid w:val="00871E1F"/>
    <w:rsid w:val="00872857"/>
    <w:rsid w:val="00873465"/>
    <w:rsid w:val="00874263"/>
    <w:rsid w:val="008762AA"/>
    <w:rsid w:val="00876DDE"/>
    <w:rsid w:val="00877D63"/>
    <w:rsid w:val="00880984"/>
    <w:rsid w:val="00880FB2"/>
    <w:rsid w:val="0088258A"/>
    <w:rsid w:val="00882736"/>
    <w:rsid w:val="00883245"/>
    <w:rsid w:val="00884028"/>
    <w:rsid w:val="00885054"/>
    <w:rsid w:val="00885806"/>
    <w:rsid w:val="00885BB4"/>
    <w:rsid w:val="00886332"/>
    <w:rsid w:val="00886984"/>
    <w:rsid w:val="008871EA"/>
    <w:rsid w:val="00887B03"/>
    <w:rsid w:val="00890A77"/>
    <w:rsid w:val="00893745"/>
    <w:rsid w:val="00894606"/>
    <w:rsid w:val="00894BAD"/>
    <w:rsid w:val="00895378"/>
    <w:rsid w:val="00896044"/>
    <w:rsid w:val="00896486"/>
    <w:rsid w:val="008967C6"/>
    <w:rsid w:val="008971E7"/>
    <w:rsid w:val="00897491"/>
    <w:rsid w:val="008A1168"/>
    <w:rsid w:val="008A1DDB"/>
    <w:rsid w:val="008A221A"/>
    <w:rsid w:val="008A26A0"/>
    <w:rsid w:val="008A26D9"/>
    <w:rsid w:val="008A2A4D"/>
    <w:rsid w:val="008A4AEB"/>
    <w:rsid w:val="008A56F6"/>
    <w:rsid w:val="008A59DF"/>
    <w:rsid w:val="008A631D"/>
    <w:rsid w:val="008A7334"/>
    <w:rsid w:val="008A7926"/>
    <w:rsid w:val="008A7A09"/>
    <w:rsid w:val="008A7F37"/>
    <w:rsid w:val="008B2A08"/>
    <w:rsid w:val="008B2CB8"/>
    <w:rsid w:val="008B47F4"/>
    <w:rsid w:val="008B569F"/>
    <w:rsid w:val="008B6134"/>
    <w:rsid w:val="008B7E9C"/>
    <w:rsid w:val="008C004C"/>
    <w:rsid w:val="008C05E8"/>
    <w:rsid w:val="008C0C29"/>
    <w:rsid w:val="008C24A7"/>
    <w:rsid w:val="008C3746"/>
    <w:rsid w:val="008C3A52"/>
    <w:rsid w:val="008C50CC"/>
    <w:rsid w:val="008C595C"/>
    <w:rsid w:val="008C5AD8"/>
    <w:rsid w:val="008C5DB3"/>
    <w:rsid w:val="008C6BF3"/>
    <w:rsid w:val="008C6D8D"/>
    <w:rsid w:val="008D04E1"/>
    <w:rsid w:val="008D1F04"/>
    <w:rsid w:val="008D203C"/>
    <w:rsid w:val="008D3718"/>
    <w:rsid w:val="008D411A"/>
    <w:rsid w:val="008D49B2"/>
    <w:rsid w:val="008D4ABA"/>
    <w:rsid w:val="008D5067"/>
    <w:rsid w:val="008D69C6"/>
    <w:rsid w:val="008D6D03"/>
    <w:rsid w:val="008D77EC"/>
    <w:rsid w:val="008E289B"/>
    <w:rsid w:val="008E4ED5"/>
    <w:rsid w:val="008E7AEA"/>
    <w:rsid w:val="008F1D25"/>
    <w:rsid w:val="008F1D5A"/>
    <w:rsid w:val="008F3638"/>
    <w:rsid w:val="008F3C0F"/>
    <w:rsid w:val="008F480E"/>
    <w:rsid w:val="008F5F37"/>
    <w:rsid w:val="008F6327"/>
    <w:rsid w:val="008F6F31"/>
    <w:rsid w:val="008F74DF"/>
    <w:rsid w:val="00900954"/>
    <w:rsid w:val="00900EAA"/>
    <w:rsid w:val="009013F1"/>
    <w:rsid w:val="00901405"/>
    <w:rsid w:val="00902145"/>
    <w:rsid w:val="009034FA"/>
    <w:rsid w:val="00903E49"/>
    <w:rsid w:val="0090403E"/>
    <w:rsid w:val="00904173"/>
    <w:rsid w:val="009048F4"/>
    <w:rsid w:val="00904DB1"/>
    <w:rsid w:val="00904FE0"/>
    <w:rsid w:val="009073FC"/>
    <w:rsid w:val="009078CF"/>
    <w:rsid w:val="00907B40"/>
    <w:rsid w:val="0091076A"/>
    <w:rsid w:val="009107B5"/>
    <w:rsid w:val="00910F71"/>
    <w:rsid w:val="00911DF3"/>
    <w:rsid w:val="00912159"/>
    <w:rsid w:val="0091234E"/>
    <w:rsid w:val="009127BA"/>
    <w:rsid w:val="00912A9A"/>
    <w:rsid w:val="00912EFD"/>
    <w:rsid w:val="009141F6"/>
    <w:rsid w:val="009151F7"/>
    <w:rsid w:val="00915804"/>
    <w:rsid w:val="00915ECB"/>
    <w:rsid w:val="0091671E"/>
    <w:rsid w:val="00917D43"/>
    <w:rsid w:val="009206A4"/>
    <w:rsid w:val="009212D6"/>
    <w:rsid w:val="009227A6"/>
    <w:rsid w:val="00922DD5"/>
    <w:rsid w:val="009244F0"/>
    <w:rsid w:val="00924F00"/>
    <w:rsid w:val="0092760C"/>
    <w:rsid w:val="00931943"/>
    <w:rsid w:val="00931BD3"/>
    <w:rsid w:val="00931E6D"/>
    <w:rsid w:val="009326B5"/>
    <w:rsid w:val="00933725"/>
    <w:rsid w:val="00933EC1"/>
    <w:rsid w:val="0093521B"/>
    <w:rsid w:val="00935B0C"/>
    <w:rsid w:val="00935BEC"/>
    <w:rsid w:val="0093661D"/>
    <w:rsid w:val="00936E36"/>
    <w:rsid w:val="009371C5"/>
    <w:rsid w:val="00937B98"/>
    <w:rsid w:val="00940322"/>
    <w:rsid w:val="009435A9"/>
    <w:rsid w:val="00944DB2"/>
    <w:rsid w:val="009456B8"/>
    <w:rsid w:val="00946DFD"/>
    <w:rsid w:val="0094773C"/>
    <w:rsid w:val="00950E45"/>
    <w:rsid w:val="009526FF"/>
    <w:rsid w:val="00952CA6"/>
    <w:rsid w:val="009530DB"/>
    <w:rsid w:val="00953676"/>
    <w:rsid w:val="00955ECA"/>
    <w:rsid w:val="0095637B"/>
    <w:rsid w:val="00956735"/>
    <w:rsid w:val="00957483"/>
    <w:rsid w:val="00961CB9"/>
    <w:rsid w:val="00961DA3"/>
    <w:rsid w:val="00962A09"/>
    <w:rsid w:val="00963F60"/>
    <w:rsid w:val="00965ED1"/>
    <w:rsid w:val="009668E9"/>
    <w:rsid w:val="00966D78"/>
    <w:rsid w:val="00967351"/>
    <w:rsid w:val="00967863"/>
    <w:rsid w:val="00967864"/>
    <w:rsid w:val="00967ADF"/>
    <w:rsid w:val="00967DCC"/>
    <w:rsid w:val="00970228"/>
    <w:rsid w:val="009705EE"/>
    <w:rsid w:val="00971603"/>
    <w:rsid w:val="00972A6B"/>
    <w:rsid w:val="00973264"/>
    <w:rsid w:val="00973FD6"/>
    <w:rsid w:val="00974116"/>
    <w:rsid w:val="00974648"/>
    <w:rsid w:val="00974956"/>
    <w:rsid w:val="00974F8C"/>
    <w:rsid w:val="00975CD2"/>
    <w:rsid w:val="00977834"/>
    <w:rsid w:val="00977927"/>
    <w:rsid w:val="0098135C"/>
    <w:rsid w:val="009814DA"/>
    <w:rsid w:val="0098156A"/>
    <w:rsid w:val="00982870"/>
    <w:rsid w:val="009835AF"/>
    <w:rsid w:val="00984E54"/>
    <w:rsid w:val="009855A7"/>
    <w:rsid w:val="00986652"/>
    <w:rsid w:val="00987F68"/>
    <w:rsid w:val="00990501"/>
    <w:rsid w:val="00990775"/>
    <w:rsid w:val="00990D89"/>
    <w:rsid w:val="00991BAC"/>
    <w:rsid w:val="00991BF4"/>
    <w:rsid w:val="009922AA"/>
    <w:rsid w:val="00992CC2"/>
    <w:rsid w:val="00993C28"/>
    <w:rsid w:val="009950CF"/>
    <w:rsid w:val="0099570A"/>
    <w:rsid w:val="00996264"/>
    <w:rsid w:val="009964FA"/>
    <w:rsid w:val="00997452"/>
    <w:rsid w:val="00997897"/>
    <w:rsid w:val="00997C2A"/>
    <w:rsid w:val="009A000E"/>
    <w:rsid w:val="009A0122"/>
    <w:rsid w:val="009A0155"/>
    <w:rsid w:val="009A0363"/>
    <w:rsid w:val="009A042E"/>
    <w:rsid w:val="009A1AB2"/>
    <w:rsid w:val="009A3157"/>
    <w:rsid w:val="009A361B"/>
    <w:rsid w:val="009A3CE0"/>
    <w:rsid w:val="009A3F31"/>
    <w:rsid w:val="009A445F"/>
    <w:rsid w:val="009A44C2"/>
    <w:rsid w:val="009A5FCC"/>
    <w:rsid w:val="009A6EA0"/>
    <w:rsid w:val="009B10AA"/>
    <w:rsid w:val="009B3D63"/>
    <w:rsid w:val="009B40C4"/>
    <w:rsid w:val="009B4A6C"/>
    <w:rsid w:val="009B59F0"/>
    <w:rsid w:val="009C0901"/>
    <w:rsid w:val="009C0B07"/>
    <w:rsid w:val="009C1271"/>
    <w:rsid w:val="009C1335"/>
    <w:rsid w:val="009C1612"/>
    <w:rsid w:val="009C1AB2"/>
    <w:rsid w:val="009C202A"/>
    <w:rsid w:val="009C22E5"/>
    <w:rsid w:val="009C2C55"/>
    <w:rsid w:val="009C35DF"/>
    <w:rsid w:val="009C47DA"/>
    <w:rsid w:val="009C4F86"/>
    <w:rsid w:val="009C6E98"/>
    <w:rsid w:val="009C7251"/>
    <w:rsid w:val="009D080B"/>
    <w:rsid w:val="009D087B"/>
    <w:rsid w:val="009D0903"/>
    <w:rsid w:val="009D0917"/>
    <w:rsid w:val="009D191D"/>
    <w:rsid w:val="009D1E8A"/>
    <w:rsid w:val="009D24FA"/>
    <w:rsid w:val="009D2601"/>
    <w:rsid w:val="009D350C"/>
    <w:rsid w:val="009D36E8"/>
    <w:rsid w:val="009D389F"/>
    <w:rsid w:val="009D54B2"/>
    <w:rsid w:val="009D5D5E"/>
    <w:rsid w:val="009D7322"/>
    <w:rsid w:val="009E163E"/>
    <w:rsid w:val="009E2E91"/>
    <w:rsid w:val="009E3509"/>
    <w:rsid w:val="009E4BB0"/>
    <w:rsid w:val="009E4CAD"/>
    <w:rsid w:val="009E7028"/>
    <w:rsid w:val="009F1150"/>
    <w:rsid w:val="009F174B"/>
    <w:rsid w:val="009F6E5B"/>
    <w:rsid w:val="009F74B3"/>
    <w:rsid w:val="00A00B88"/>
    <w:rsid w:val="00A01263"/>
    <w:rsid w:val="00A01F00"/>
    <w:rsid w:val="00A02204"/>
    <w:rsid w:val="00A02A22"/>
    <w:rsid w:val="00A04266"/>
    <w:rsid w:val="00A05126"/>
    <w:rsid w:val="00A05C95"/>
    <w:rsid w:val="00A06C76"/>
    <w:rsid w:val="00A07110"/>
    <w:rsid w:val="00A1035E"/>
    <w:rsid w:val="00A10CE2"/>
    <w:rsid w:val="00A110B5"/>
    <w:rsid w:val="00A1170B"/>
    <w:rsid w:val="00A11725"/>
    <w:rsid w:val="00A11DF3"/>
    <w:rsid w:val="00A12182"/>
    <w:rsid w:val="00A13248"/>
    <w:rsid w:val="00A139F5"/>
    <w:rsid w:val="00A141EF"/>
    <w:rsid w:val="00A14254"/>
    <w:rsid w:val="00A14BDC"/>
    <w:rsid w:val="00A14BF3"/>
    <w:rsid w:val="00A176DA"/>
    <w:rsid w:val="00A17741"/>
    <w:rsid w:val="00A179CF"/>
    <w:rsid w:val="00A17B8E"/>
    <w:rsid w:val="00A20D73"/>
    <w:rsid w:val="00A2168D"/>
    <w:rsid w:val="00A228A5"/>
    <w:rsid w:val="00A232A4"/>
    <w:rsid w:val="00A267B4"/>
    <w:rsid w:val="00A27739"/>
    <w:rsid w:val="00A27FE2"/>
    <w:rsid w:val="00A27FE7"/>
    <w:rsid w:val="00A30CC6"/>
    <w:rsid w:val="00A3123D"/>
    <w:rsid w:val="00A316F2"/>
    <w:rsid w:val="00A31827"/>
    <w:rsid w:val="00A31BC5"/>
    <w:rsid w:val="00A32754"/>
    <w:rsid w:val="00A337F4"/>
    <w:rsid w:val="00A33F49"/>
    <w:rsid w:val="00A365F4"/>
    <w:rsid w:val="00A378D7"/>
    <w:rsid w:val="00A408A1"/>
    <w:rsid w:val="00A40FC8"/>
    <w:rsid w:val="00A438E2"/>
    <w:rsid w:val="00A466C5"/>
    <w:rsid w:val="00A47D80"/>
    <w:rsid w:val="00A50960"/>
    <w:rsid w:val="00A514DB"/>
    <w:rsid w:val="00A53132"/>
    <w:rsid w:val="00A53451"/>
    <w:rsid w:val="00A53590"/>
    <w:rsid w:val="00A535A4"/>
    <w:rsid w:val="00A53820"/>
    <w:rsid w:val="00A53A63"/>
    <w:rsid w:val="00A54487"/>
    <w:rsid w:val="00A5450B"/>
    <w:rsid w:val="00A5513F"/>
    <w:rsid w:val="00A563F2"/>
    <w:rsid w:val="00A566E8"/>
    <w:rsid w:val="00A56AA8"/>
    <w:rsid w:val="00A571C1"/>
    <w:rsid w:val="00A600B1"/>
    <w:rsid w:val="00A6135D"/>
    <w:rsid w:val="00A6201D"/>
    <w:rsid w:val="00A64636"/>
    <w:rsid w:val="00A64837"/>
    <w:rsid w:val="00A65BC3"/>
    <w:rsid w:val="00A6749A"/>
    <w:rsid w:val="00A70238"/>
    <w:rsid w:val="00A70BAF"/>
    <w:rsid w:val="00A71B57"/>
    <w:rsid w:val="00A7333B"/>
    <w:rsid w:val="00A740E5"/>
    <w:rsid w:val="00A74652"/>
    <w:rsid w:val="00A75373"/>
    <w:rsid w:val="00A754D5"/>
    <w:rsid w:val="00A75957"/>
    <w:rsid w:val="00A75CB3"/>
    <w:rsid w:val="00A76FA0"/>
    <w:rsid w:val="00A7760B"/>
    <w:rsid w:val="00A80AF2"/>
    <w:rsid w:val="00A810F9"/>
    <w:rsid w:val="00A81C8A"/>
    <w:rsid w:val="00A831B1"/>
    <w:rsid w:val="00A8340F"/>
    <w:rsid w:val="00A855CD"/>
    <w:rsid w:val="00A868D6"/>
    <w:rsid w:val="00A86E95"/>
    <w:rsid w:val="00A86ECC"/>
    <w:rsid w:val="00A86FCC"/>
    <w:rsid w:val="00A87395"/>
    <w:rsid w:val="00A87744"/>
    <w:rsid w:val="00A87B84"/>
    <w:rsid w:val="00A87BB7"/>
    <w:rsid w:val="00A87DBC"/>
    <w:rsid w:val="00A906E4"/>
    <w:rsid w:val="00A91596"/>
    <w:rsid w:val="00A915F0"/>
    <w:rsid w:val="00A9178C"/>
    <w:rsid w:val="00A91E48"/>
    <w:rsid w:val="00A92703"/>
    <w:rsid w:val="00A92A93"/>
    <w:rsid w:val="00A9301D"/>
    <w:rsid w:val="00A93631"/>
    <w:rsid w:val="00A93F98"/>
    <w:rsid w:val="00A9412D"/>
    <w:rsid w:val="00A94F6D"/>
    <w:rsid w:val="00A97015"/>
    <w:rsid w:val="00A97054"/>
    <w:rsid w:val="00AA02A4"/>
    <w:rsid w:val="00AA0591"/>
    <w:rsid w:val="00AA09E7"/>
    <w:rsid w:val="00AA25CE"/>
    <w:rsid w:val="00AA26C3"/>
    <w:rsid w:val="00AA2AE3"/>
    <w:rsid w:val="00AA33B7"/>
    <w:rsid w:val="00AA35ED"/>
    <w:rsid w:val="00AA48DC"/>
    <w:rsid w:val="00AA4D1E"/>
    <w:rsid w:val="00AA58E3"/>
    <w:rsid w:val="00AA5A18"/>
    <w:rsid w:val="00AA6C9D"/>
    <w:rsid w:val="00AA6CCC"/>
    <w:rsid w:val="00AA6F6A"/>
    <w:rsid w:val="00AA710D"/>
    <w:rsid w:val="00AA7E3B"/>
    <w:rsid w:val="00AB0E3E"/>
    <w:rsid w:val="00AB0EAF"/>
    <w:rsid w:val="00AB0F77"/>
    <w:rsid w:val="00AB1E64"/>
    <w:rsid w:val="00AB2AE5"/>
    <w:rsid w:val="00AB2F8F"/>
    <w:rsid w:val="00AB4FDA"/>
    <w:rsid w:val="00AB5174"/>
    <w:rsid w:val="00AB6522"/>
    <w:rsid w:val="00AB68DC"/>
    <w:rsid w:val="00AB6C31"/>
    <w:rsid w:val="00AB6D25"/>
    <w:rsid w:val="00AB7780"/>
    <w:rsid w:val="00AC0C33"/>
    <w:rsid w:val="00AC0F43"/>
    <w:rsid w:val="00AC1D60"/>
    <w:rsid w:val="00AC3F3A"/>
    <w:rsid w:val="00AC41D9"/>
    <w:rsid w:val="00AC492A"/>
    <w:rsid w:val="00AC6ACE"/>
    <w:rsid w:val="00AD2717"/>
    <w:rsid w:val="00AD2B8F"/>
    <w:rsid w:val="00AD3392"/>
    <w:rsid w:val="00AD3EA6"/>
    <w:rsid w:val="00AD453B"/>
    <w:rsid w:val="00AD4636"/>
    <w:rsid w:val="00AD5DC4"/>
    <w:rsid w:val="00AD7788"/>
    <w:rsid w:val="00AE0482"/>
    <w:rsid w:val="00AE1AEA"/>
    <w:rsid w:val="00AE2D4B"/>
    <w:rsid w:val="00AE30FD"/>
    <w:rsid w:val="00AE36D5"/>
    <w:rsid w:val="00AE4F99"/>
    <w:rsid w:val="00AE4FA0"/>
    <w:rsid w:val="00AE5356"/>
    <w:rsid w:val="00AE607A"/>
    <w:rsid w:val="00AE6A3C"/>
    <w:rsid w:val="00AE765A"/>
    <w:rsid w:val="00AE7736"/>
    <w:rsid w:val="00AE79C9"/>
    <w:rsid w:val="00AE7FE9"/>
    <w:rsid w:val="00AF3F0F"/>
    <w:rsid w:val="00AF5D1F"/>
    <w:rsid w:val="00AF654B"/>
    <w:rsid w:val="00AF7327"/>
    <w:rsid w:val="00AF7AEE"/>
    <w:rsid w:val="00B009AA"/>
    <w:rsid w:val="00B009DC"/>
    <w:rsid w:val="00B011F2"/>
    <w:rsid w:val="00B014D5"/>
    <w:rsid w:val="00B024FA"/>
    <w:rsid w:val="00B035F7"/>
    <w:rsid w:val="00B0401A"/>
    <w:rsid w:val="00B06255"/>
    <w:rsid w:val="00B104E3"/>
    <w:rsid w:val="00B107E4"/>
    <w:rsid w:val="00B10CA5"/>
    <w:rsid w:val="00B115DA"/>
    <w:rsid w:val="00B11700"/>
    <w:rsid w:val="00B12A03"/>
    <w:rsid w:val="00B14952"/>
    <w:rsid w:val="00B15357"/>
    <w:rsid w:val="00B15866"/>
    <w:rsid w:val="00B162C1"/>
    <w:rsid w:val="00B16FD7"/>
    <w:rsid w:val="00B1732B"/>
    <w:rsid w:val="00B176F1"/>
    <w:rsid w:val="00B17FF2"/>
    <w:rsid w:val="00B20266"/>
    <w:rsid w:val="00B207D2"/>
    <w:rsid w:val="00B20BB1"/>
    <w:rsid w:val="00B21032"/>
    <w:rsid w:val="00B215B7"/>
    <w:rsid w:val="00B217E5"/>
    <w:rsid w:val="00B2224A"/>
    <w:rsid w:val="00B227C9"/>
    <w:rsid w:val="00B229AB"/>
    <w:rsid w:val="00B23EBF"/>
    <w:rsid w:val="00B24778"/>
    <w:rsid w:val="00B248FB"/>
    <w:rsid w:val="00B24949"/>
    <w:rsid w:val="00B24AB6"/>
    <w:rsid w:val="00B24EAB"/>
    <w:rsid w:val="00B25AC8"/>
    <w:rsid w:val="00B26E05"/>
    <w:rsid w:val="00B27B0C"/>
    <w:rsid w:val="00B30494"/>
    <w:rsid w:val="00B3070F"/>
    <w:rsid w:val="00B30940"/>
    <w:rsid w:val="00B30CD9"/>
    <w:rsid w:val="00B31E5A"/>
    <w:rsid w:val="00B34209"/>
    <w:rsid w:val="00B348E5"/>
    <w:rsid w:val="00B348EE"/>
    <w:rsid w:val="00B34C1B"/>
    <w:rsid w:val="00B35558"/>
    <w:rsid w:val="00B35F84"/>
    <w:rsid w:val="00B35FFB"/>
    <w:rsid w:val="00B367D9"/>
    <w:rsid w:val="00B368CD"/>
    <w:rsid w:val="00B37FB5"/>
    <w:rsid w:val="00B40DB1"/>
    <w:rsid w:val="00B415AB"/>
    <w:rsid w:val="00B43665"/>
    <w:rsid w:val="00B43B29"/>
    <w:rsid w:val="00B44A50"/>
    <w:rsid w:val="00B45303"/>
    <w:rsid w:val="00B458BD"/>
    <w:rsid w:val="00B45C74"/>
    <w:rsid w:val="00B45ECA"/>
    <w:rsid w:val="00B478C2"/>
    <w:rsid w:val="00B504FD"/>
    <w:rsid w:val="00B50D56"/>
    <w:rsid w:val="00B52311"/>
    <w:rsid w:val="00B52E6B"/>
    <w:rsid w:val="00B53B80"/>
    <w:rsid w:val="00B5412B"/>
    <w:rsid w:val="00B543E1"/>
    <w:rsid w:val="00B54CDF"/>
    <w:rsid w:val="00B557B2"/>
    <w:rsid w:val="00B557FA"/>
    <w:rsid w:val="00B57F37"/>
    <w:rsid w:val="00B606FD"/>
    <w:rsid w:val="00B608AA"/>
    <w:rsid w:val="00B6129D"/>
    <w:rsid w:val="00B61732"/>
    <w:rsid w:val="00B64756"/>
    <w:rsid w:val="00B64B03"/>
    <w:rsid w:val="00B653AB"/>
    <w:rsid w:val="00B65A33"/>
    <w:rsid w:val="00B65F9E"/>
    <w:rsid w:val="00B66B19"/>
    <w:rsid w:val="00B673B3"/>
    <w:rsid w:val="00B679E3"/>
    <w:rsid w:val="00B717BA"/>
    <w:rsid w:val="00B72ED7"/>
    <w:rsid w:val="00B73445"/>
    <w:rsid w:val="00B74006"/>
    <w:rsid w:val="00B750F4"/>
    <w:rsid w:val="00B75823"/>
    <w:rsid w:val="00B75F37"/>
    <w:rsid w:val="00B76EEA"/>
    <w:rsid w:val="00B77312"/>
    <w:rsid w:val="00B80054"/>
    <w:rsid w:val="00B80525"/>
    <w:rsid w:val="00B8069B"/>
    <w:rsid w:val="00B806B3"/>
    <w:rsid w:val="00B80764"/>
    <w:rsid w:val="00B812B4"/>
    <w:rsid w:val="00B820E0"/>
    <w:rsid w:val="00B84B72"/>
    <w:rsid w:val="00B858AF"/>
    <w:rsid w:val="00B9025D"/>
    <w:rsid w:val="00B914E9"/>
    <w:rsid w:val="00B91B54"/>
    <w:rsid w:val="00B91B68"/>
    <w:rsid w:val="00B91CE5"/>
    <w:rsid w:val="00B921E9"/>
    <w:rsid w:val="00B928E6"/>
    <w:rsid w:val="00B92A68"/>
    <w:rsid w:val="00B93188"/>
    <w:rsid w:val="00B94640"/>
    <w:rsid w:val="00B94F0D"/>
    <w:rsid w:val="00B952E8"/>
    <w:rsid w:val="00B956EE"/>
    <w:rsid w:val="00B96DFA"/>
    <w:rsid w:val="00BA04D3"/>
    <w:rsid w:val="00BA064F"/>
    <w:rsid w:val="00BA1BBB"/>
    <w:rsid w:val="00BA2332"/>
    <w:rsid w:val="00BA25C8"/>
    <w:rsid w:val="00BA2BA1"/>
    <w:rsid w:val="00BA2D67"/>
    <w:rsid w:val="00BA2D9E"/>
    <w:rsid w:val="00BA3438"/>
    <w:rsid w:val="00BA355D"/>
    <w:rsid w:val="00BA45F1"/>
    <w:rsid w:val="00BA4645"/>
    <w:rsid w:val="00BA54AF"/>
    <w:rsid w:val="00BA55FC"/>
    <w:rsid w:val="00BA5CD3"/>
    <w:rsid w:val="00BA78E2"/>
    <w:rsid w:val="00BB035B"/>
    <w:rsid w:val="00BB1959"/>
    <w:rsid w:val="00BB1F7C"/>
    <w:rsid w:val="00BB215D"/>
    <w:rsid w:val="00BB3D7F"/>
    <w:rsid w:val="00BB4D3E"/>
    <w:rsid w:val="00BB4E2A"/>
    <w:rsid w:val="00BB4F09"/>
    <w:rsid w:val="00BC06CC"/>
    <w:rsid w:val="00BC0EAA"/>
    <w:rsid w:val="00BC2085"/>
    <w:rsid w:val="00BC3107"/>
    <w:rsid w:val="00BC3369"/>
    <w:rsid w:val="00BC3466"/>
    <w:rsid w:val="00BC39F5"/>
    <w:rsid w:val="00BC5E52"/>
    <w:rsid w:val="00BC763F"/>
    <w:rsid w:val="00BC7964"/>
    <w:rsid w:val="00BD01B0"/>
    <w:rsid w:val="00BD0892"/>
    <w:rsid w:val="00BD0BE5"/>
    <w:rsid w:val="00BD1DCC"/>
    <w:rsid w:val="00BD4E33"/>
    <w:rsid w:val="00BD513A"/>
    <w:rsid w:val="00BD6A19"/>
    <w:rsid w:val="00BD6FBC"/>
    <w:rsid w:val="00BD7838"/>
    <w:rsid w:val="00BE040E"/>
    <w:rsid w:val="00BE32EA"/>
    <w:rsid w:val="00BE4514"/>
    <w:rsid w:val="00BE5287"/>
    <w:rsid w:val="00BE6802"/>
    <w:rsid w:val="00BE6B42"/>
    <w:rsid w:val="00BE7167"/>
    <w:rsid w:val="00BE7970"/>
    <w:rsid w:val="00BE7E57"/>
    <w:rsid w:val="00BF13B3"/>
    <w:rsid w:val="00BF184D"/>
    <w:rsid w:val="00BF3ED9"/>
    <w:rsid w:val="00BF46C3"/>
    <w:rsid w:val="00BF49CE"/>
    <w:rsid w:val="00BF4A92"/>
    <w:rsid w:val="00BF4EB9"/>
    <w:rsid w:val="00BF6572"/>
    <w:rsid w:val="00BF7674"/>
    <w:rsid w:val="00BF7DBB"/>
    <w:rsid w:val="00C00144"/>
    <w:rsid w:val="00C02847"/>
    <w:rsid w:val="00C030DE"/>
    <w:rsid w:val="00C03194"/>
    <w:rsid w:val="00C054B0"/>
    <w:rsid w:val="00C05B8C"/>
    <w:rsid w:val="00C05F79"/>
    <w:rsid w:val="00C10F51"/>
    <w:rsid w:val="00C123A1"/>
    <w:rsid w:val="00C13661"/>
    <w:rsid w:val="00C14131"/>
    <w:rsid w:val="00C14542"/>
    <w:rsid w:val="00C14A0D"/>
    <w:rsid w:val="00C15597"/>
    <w:rsid w:val="00C16142"/>
    <w:rsid w:val="00C16682"/>
    <w:rsid w:val="00C20749"/>
    <w:rsid w:val="00C20B5B"/>
    <w:rsid w:val="00C21864"/>
    <w:rsid w:val="00C22105"/>
    <w:rsid w:val="00C2237E"/>
    <w:rsid w:val="00C244B6"/>
    <w:rsid w:val="00C26603"/>
    <w:rsid w:val="00C2705A"/>
    <w:rsid w:val="00C2730C"/>
    <w:rsid w:val="00C27DAC"/>
    <w:rsid w:val="00C27E03"/>
    <w:rsid w:val="00C30239"/>
    <w:rsid w:val="00C30A63"/>
    <w:rsid w:val="00C30C6E"/>
    <w:rsid w:val="00C310A5"/>
    <w:rsid w:val="00C320D4"/>
    <w:rsid w:val="00C333FD"/>
    <w:rsid w:val="00C339B2"/>
    <w:rsid w:val="00C33EF2"/>
    <w:rsid w:val="00C34FF2"/>
    <w:rsid w:val="00C36307"/>
    <w:rsid w:val="00C36582"/>
    <w:rsid w:val="00C36AD4"/>
    <w:rsid w:val="00C36ECE"/>
    <w:rsid w:val="00C3702F"/>
    <w:rsid w:val="00C3757E"/>
    <w:rsid w:val="00C37BDD"/>
    <w:rsid w:val="00C4238B"/>
    <w:rsid w:val="00C438A2"/>
    <w:rsid w:val="00C43FB6"/>
    <w:rsid w:val="00C44196"/>
    <w:rsid w:val="00C44CC4"/>
    <w:rsid w:val="00C45424"/>
    <w:rsid w:val="00C45D3A"/>
    <w:rsid w:val="00C46121"/>
    <w:rsid w:val="00C507AD"/>
    <w:rsid w:val="00C51A31"/>
    <w:rsid w:val="00C53199"/>
    <w:rsid w:val="00C53661"/>
    <w:rsid w:val="00C53746"/>
    <w:rsid w:val="00C53CDB"/>
    <w:rsid w:val="00C55630"/>
    <w:rsid w:val="00C56302"/>
    <w:rsid w:val="00C5687F"/>
    <w:rsid w:val="00C574CA"/>
    <w:rsid w:val="00C574D4"/>
    <w:rsid w:val="00C6060A"/>
    <w:rsid w:val="00C60D9F"/>
    <w:rsid w:val="00C60DB6"/>
    <w:rsid w:val="00C62393"/>
    <w:rsid w:val="00C63AE1"/>
    <w:rsid w:val="00C64A2C"/>
    <w:rsid w:val="00C64A37"/>
    <w:rsid w:val="00C64DA3"/>
    <w:rsid w:val="00C6514D"/>
    <w:rsid w:val="00C661C5"/>
    <w:rsid w:val="00C662DA"/>
    <w:rsid w:val="00C6698A"/>
    <w:rsid w:val="00C674EF"/>
    <w:rsid w:val="00C70BB1"/>
    <w:rsid w:val="00C7158E"/>
    <w:rsid w:val="00C72001"/>
    <w:rsid w:val="00C72189"/>
    <w:rsid w:val="00C7250B"/>
    <w:rsid w:val="00C72833"/>
    <w:rsid w:val="00C7346B"/>
    <w:rsid w:val="00C737E7"/>
    <w:rsid w:val="00C73D7A"/>
    <w:rsid w:val="00C74493"/>
    <w:rsid w:val="00C77C0E"/>
    <w:rsid w:val="00C81DEE"/>
    <w:rsid w:val="00C834D8"/>
    <w:rsid w:val="00C83B62"/>
    <w:rsid w:val="00C8474D"/>
    <w:rsid w:val="00C8530D"/>
    <w:rsid w:val="00C85617"/>
    <w:rsid w:val="00C85B43"/>
    <w:rsid w:val="00C85EAB"/>
    <w:rsid w:val="00C85EB4"/>
    <w:rsid w:val="00C86452"/>
    <w:rsid w:val="00C86AE4"/>
    <w:rsid w:val="00C87DFE"/>
    <w:rsid w:val="00C90426"/>
    <w:rsid w:val="00C9158F"/>
    <w:rsid w:val="00C91687"/>
    <w:rsid w:val="00C92367"/>
    <w:rsid w:val="00C924A8"/>
    <w:rsid w:val="00C92A69"/>
    <w:rsid w:val="00C93873"/>
    <w:rsid w:val="00C93DA2"/>
    <w:rsid w:val="00C945FE"/>
    <w:rsid w:val="00C96680"/>
    <w:rsid w:val="00C96F9E"/>
    <w:rsid w:val="00C96FAA"/>
    <w:rsid w:val="00C97A04"/>
    <w:rsid w:val="00CA06B9"/>
    <w:rsid w:val="00CA0F1E"/>
    <w:rsid w:val="00CA1027"/>
    <w:rsid w:val="00CA107B"/>
    <w:rsid w:val="00CA1734"/>
    <w:rsid w:val="00CA17A0"/>
    <w:rsid w:val="00CA484D"/>
    <w:rsid w:val="00CA4BBD"/>
    <w:rsid w:val="00CA7331"/>
    <w:rsid w:val="00CA7BFC"/>
    <w:rsid w:val="00CA7DAC"/>
    <w:rsid w:val="00CB17FE"/>
    <w:rsid w:val="00CB1B40"/>
    <w:rsid w:val="00CB3320"/>
    <w:rsid w:val="00CB3360"/>
    <w:rsid w:val="00CB3A08"/>
    <w:rsid w:val="00CB3ECB"/>
    <w:rsid w:val="00CB48D5"/>
    <w:rsid w:val="00CB49CE"/>
    <w:rsid w:val="00CB4F71"/>
    <w:rsid w:val="00CB61A1"/>
    <w:rsid w:val="00CB6AC2"/>
    <w:rsid w:val="00CB7352"/>
    <w:rsid w:val="00CB7BE3"/>
    <w:rsid w:val="00CB7C8F"/>
    <w:rsid w:val="00CC18DC"/>
    <w:rsid w:val="00CC1974"/>
    <w:rsid w:val="00CC1F8B"/>
    <w:rsid w:val="00CC30D1"/>
    <w:rsid w:val="00CC5034"/>
    <w:rsid w:val="00CC5530"/>
    <w:rsid w:val="00CC739E"/>
    <w:rsid w:val="00CC7C1D"/>
    <w:rsid w:val="00CC7EBB"/>
    <w:rsid w:val="00CD02EE"/>
    <w:rsid w:val="00CD06C2"/>
    <w:rsid w:val="00CD1066"/>
    <w:rsid w:val="00CD1400"/>
    <w:rsid w:val="00CD252A"/>
    <w:rsid w:val="00CD29A9"/>
    <w:rsid w:val="00CD34B4"/>
    <w:rsid w:val="00CD34FC"/>
    <w:rsid w:val="00CD3614"/>
    <w:rsid w:val="00CD58B7"/>
    <w:rsid w:val="00CD5A0E"/>
    <w:rsid w:val="00CD676A"/>
    <w:rsid w:val="00CD6E70"/>
    <w:rsid w:val="00CD6EC2"/>
    <w:rsid w:val="00CD71EE"/>
    <w:rsid w:val="00CD74B9"/>
    <w:rsid w:val="00CD7735"/>
    <w:rsid w:val="00CE588D"/>
    <w:rsid w:val="00CE76F3"/>
    <w:rsid w:val="00CE7848"/>
    <w:rsid w:val="00CF07CF"/>
    <w:rsid w:val="00CF0F56"/>
    <w:rsid w:val="00CF127B"/>
    <w:rsid w:val="00CF1C2E"/>
    <w:rsid w:val="00CF1CAB"/>
    <w:rsid w:val="00CF1E7B"/>
    <w:rsid w:val="00CF2325"/>
    <w:rsid w:val="00CF240C"/>
    <w:rsid w:val="00CF2E8B"/>
    <w:rsid w:val="00CF3A11"/>
    <w:rsid w:val="00CF3C8B"/>
    <w:rsid w:val="00CF4099"/>
    <w:rsid w:val="00CF62F4"/>
    <w:rsid w:val="00D0027D"/>
    <w:rsid w:val="00D00796"/>
    <w:rsid w:val="00D00E24"/>
    <w:rsid w:val="00D01A9E"/>
    <w:rsid w:val="00D02088"/>
    <w:rsid w:val="00D04270"/>
    <w:rsid w:val="00D04CA7"/>
    <w:rsid w:val="00D04F89"/>
    <w:rsid w:val="00D057FE"/>
    <w:rsid w:val="00D064BA"/>
    <w:rsid w:val="00D06AB4"/>
    <w:rsid w:val="00D06B5C"/>
    <w:rsid w:val="00D06C6A"/>
    <w:rsid w:val="00D0762F"/>
    <w:rsid w:val="00D077C6"/>
    <w:rsid w:val="00D07EC3"/>
    <w:rsid w:val="00D10302"/>
    <w:rsid w:val="00D106B6"/>
    <w:rsid w:val="00D13D1B"/>
    <w:rsid w:val="00D149CD"/>
    <w:rsid w:val="00D15F1F"/>
    <w:rsid w:val="00D170A0"/>
    <w:rsid w:val="00D17A05"/>
    <w:rsid w:val="00D17A4B"/>
    <w:rsid w:val="00D23B03"/>
    <w:rsid w:val="00D249A0"/>
    <w:rsid w:val="00D25250"/>
    <w:rsid w:val="00D2543B"/>
    <w:rsid w:val="00D261A2"/>
    <w:rsid w:val="00D26963"/>
    <w:rsid w:val="00D26995"/>
    <w:rsid w:val="00D300F6"/>
    <w:rsid w:val="00D3015D"/>
    <w:rsid w:val="00D31696"/>
    <w:rsid w:val="00D31FF3"/>
    <w:rsid w:val="00D32E16"/>
    <w:rsid w:val="00D33B7F"/>
    <w:rsid w:val="00D34310"/>
    <w:rsid w:val="00D34451"/>
    <w:rsid w:val="00D34C3E"/>
    <w:rsid w:val="00D35CD0"/>
    <w:rsid w:val="00D35EB0"/>
    <w:rsid w:val="00D36313"/>
    <w:rsid w:val="00D370E5"/>
    <w:rsid w:val="00D402C5"/>
    <w:rsid w:val="00D4046F"/>
    <w:rsid w:val="00D40D0D"/>
    <w:rsid w:val="00D415BD"/>
    <w:rsid w:val="00D432A4"/>
    <w:rsid w:val="00D43BB7"/>
    <w:rsid w:val="00D43F81"/>
    <w:rsid w:val="00D4431B"/>
    <w:rsid w:val="00D451E4"/>
    <w:rsid w:val="00D45D0F"/>
    <w:rsid w:val="00D47581"/>
    <w:rsid w:val="00D5254F"/>
    <w:rsid w:val="00D530C9"/>
    <w:rsid w:val="00D53734"/>
    <w:rsid w:val="00D5399A"/>
    <w:rsid w:val="00D54C9F"/>
    <w:rsid w:val="00D55EAE"/>
    <w:rsid w:val="00D56646"/>
    <w:rsid w:val="00D6115D"/>
    <w:rsid w:val="00D6156E"/>
    <w:rsid w:val="00D616D2"/>
    <w:rsid w:val="00D61B7A"/>
    <w:rsid w:val="00D633E6"/>
    <w:rsid w:val="00D6398E"/>
    <w:rsid w:val="00D63B5F"/>
    <w:rsid w:val="00D63F1A"/>
    <w:rsid w:val="00D6405C"/>
    <w:rsid w:val="00D645C4"/>
    <w:rsid w:val="00D66065"/>
    <w:rsid w:val="00D67321"/>
    <w:rsid w:val="00D6756A"/>
    <w:rsid w:val="00D70EF7"/>
    <w:rsid w:val="00D7281E"/>
    <w:rsid w:val="00D730B5"/>
    <w:rsid w:val="00D736EA"/>
    <w:rsid w:val="00D73C94"/>
    <w:rsid w:val="00D73D4E"/>
    <w:rsid w:val="00D73F05"/>
    <w:rsid w:val="00D74974"/>
    <w:rsid w:val="00D749A2"/>
    <w:rsid w:val="00D75E00"/>
    <w:rsid w:val="00D80874"/>
    <w:rsid w:val="00D83372"/>
    <w:rsid w:val="00D83708"/>
    <w:rsid w:val="00D8397C"/>
    <w:rsid w:val="00D83C6C"/>
    <w:rsid w:val="00D83DAD"/>
    <w:rsid w:val="00D85443"/>
    <w:rsid w:val="00D87108"/>
    <w:rsid w:val="00D87C30"/>
    <w:rsid w:val="00D87EA5"/>
    <w:rsid w:val="00D906C0"/>
    <w:rsid w:val="00D91B36"/>
    <w:rsid w:val="00D924FA"/>
    <w:rsid w:val="00D92567"/>
    <w:rsid w:val="00D94EED"/>
    <w:rsid w:val="00D96026"/>
    <w:rsid w:val="00D960AF"/>
    <w:rsid w:val="00D96353"/>
    <w:rsid w:val="00D9652A"/>
    <w:rsid w:val="00DA1CEE"/>
    <w:rsid w:val="00DA2CCE"/>
    <w:rsid w:val="00DA3D38"/>
    <w:rsid w:val="00DA6229"/>
    <w:rsid w:val="00DA6298"/>
    <w:rsid w:val="00DA70E8"/>
    <w:rsid w:val="00DA7985"/>
    <w:rsid w:val="00DA7C1C"/>
    <w:rsid w:val="00DA7DB0"/>
    <w:rsid w:val="00DB06F6"/>
    <w:rsid w:val="00DB08DC"/>
    <w:rsid w:val="00DB0AA6"/>
    <w:rsid w:val="00DB0D0D"/>
    <w:rsid w:val="00DB0D85"/>
    <w:rsid w:val="00DB0E73"/>
    <w:rsid w:val="00DB147A"/>
    <w:rsid w:val="00DB1B7A"/>
    <w:rsid w:val="00DB1E6B"/>
    <w:rsid w:val="00DB209A"/>
    <w:rsid w:val="00DB2672"/>
    <w:rsid w:val="00DB3CA6"/>
    <w:rsid w:val="00DB3DDE"/>
    <w:rsid w:val="00DB6058"/>
    <w:rsid w:val="00DB6158"/>
    <w:rsid w:val="00DB73A1"/>
    <w:rsid w:val="00DC05C9"/>
    <w:rsid w:val="00DC0D7D"/>
    <w:rsid w:val="00DC2024"/>
    <w:rsid w:val="00DC219D"/>
    <w:rsid w:val="00DC2907"/>
    <w:rsid w:val="00DC362E"/>
    <w:rsid w:val="00DC3A55"/>
    <w:rsid w:val="00DC42E5"/>
    <w:rsid w:val="00DC448D"/>
    <w:rsid w:val="00DC519F"/>
    <w:rsid w:val="00DC51D9"/>
    <w:rsid w:val="00DC55D7"/>
    <w:rsid w:val="00DC6708"/>
    <w:rsid w:val="00DC7F64"/>
    <w:rsid w:val="00DD130A"/>
    <w:rsid w:val="00DD1635"/>
    <w:rsid w:val="00DD1885"/>
    <w:rsid w:val="00DD2F15"/>
    <w:rsid w:val="00DD3790"/>
    <w:rsid w:val="00DD4839"/>
    <w:rsid w:val="00DD4BAC"/>
    <w:rsid w:val="00DD5188"/>
    <w:rsid w:val="00DD5A80"/>
    <w:rsid w:val="00DD7271"/>
    <w:rsid w:val="00DE02E1"/>
    <w:rsid w:val="00DE0BFD"/>
    <w:rsid w:val="00DE0CDF"/>
    <w:rsid w:val="00DE12B7"/>
    <w:rsid w:val="00DE12C8"/>
    <w:rsid w:val="00DE206C"/>
    <w:rsid w:val="00DE381A"/>
    <w:rsid w:val="00DE616F"/>
    <w:rsid w:val="00DE7D1A"/>
    <w:rsid w:val="00DF0A85"/>
    <w:rsid w:val="00DF1E6D"/>
    <w:rsid w:val="00DF22BD"/>
    <w:rsid w:val="00DF22D5"/>
    <w:rsid w:val="00DF2714"/>
    <w:rsid w:val="00DF2BCD"/>
    <w:rsid w:val="00DF58BE"/>
    <w:rsid w:val="00DF5DAB"/>
    <w:rsid w:val="00DF6D97"/>
    <w:rsid w:val="00DF7620"/>
    <w:rsid w:val="00DF7BE7"/>
    <w:rsid w:val="00E013E9"/>
    <w:rsid w:val="00E01436"/>
    <w:rsid w:val="00E01EC0"/>
    <w:rsid w:val="00E02874"/>
    <w:rsid w:val="00E029DB"/>
    <w:rsid w:val="00E03D9B"/>
    <w:rsid w:val="00E045BD"/>
    <w:rsid w:val="00E049B7"/>
    <w:rsid w:val="00E04FF2"/>
    <w:rsid w:val="00E05A36"/>
    <w:rsid w:val="00E07236"/>
    <w:rsid w:val="00E078E4"/>
    <w:rsid w:val="00E11459"/>
    <w:rsid w:val="00E11741"/>
    <w:rsid w:val="00E11D78"/>
    <w:rsid w:val="00E12D48"/>
    <w:rsid w:val="00E1317E"/>
    <w:rsid w:val="00E13389"/>
    <w:rsid w:val="00E134D7"/>
    <w:rsid w:val="00E13707"/>
    <w:rsid w:val="00E141F1"/>
    <w:rsid w:val="00E1550F"/>
    <w:rsid w:val="00E1724A"/>
    <w:rsid w:val="00E17B77"/>
    <w:rsid w:val="00E20851"/>
    <w:rsid w:val="00E20C26"/>
    <w:rsid w:val="00E210D1"/>
    <w:rsid w:val="00E216CD"/>
    <w:rsid w:val="00E21A58"/>
    <w:rsid w:val="00E22E15"/>
    <w:rsid w:val="00E23337"/>
    <w:rsid w:val="00E238FB"/>
    <w:rsid w:val="00E25818"/>
    <w:rsid w:val="00E259EA"/>
    <w:rsid w:val="00E25E71"/>
    <w:rsid w:val="00E273AB"/>
    <w:rsid w:val="00E27892"/>
    <w:rsid w:val="00E32061"/>
    <w:rsid w:val="00E33B8B"/>
    <w:rsid w:val="00E35C25"/>
    <w:rsid w:val="00E3757F"/>
    <w:rsid w:val="00E416B5"/>
    <w:rsid w:val="00E4237A"/>
    <w:rsid w:val="00E42FF9"/>
    <w:rsid w:val="00E44386"/>
    <w:rsid w:val="00E44746"/>
    <w:rsid w:val="00E45747"/>
    <w:rsid w:val="00E45C7A"/>
    <w:rsid w:val="00E460D5"/>
    <w:rsid w:val="00E4714C"/>
    <w:rsid w:val="00E474B4"/>
    <w:rsid w:val="00E4788F"/>
    <w:rsid w:val="00E47E50"/>
    <w:rsid w:val="00E512EB"/>
    <w:rsid w:val="00E51AEB"/>
    <w:rsid w:val="00E522A7"/>
    <w:rsid w:val="00E526CF"/>
    <w:rsid w:val="00E537D4"/>
    <w:rsid w:val="00E53E26"/>
    <w:rsid w:val="00E54452"/>
    <w:rsid w:val="00E54F5F"/>
    <w:rsid w:val="00E6342B"/>
    <w:rsid w:val="00E6490E"/>
    <w:rsid w:val="00E6501A"/>
    <w:rsid w:val="00E65E03"/>
    <w:rsid w:val="00E65EC7"/>
    <w:rsid w:val="00E664C5"/>
    <w:rsid w:val="00E671A2"/>
    <w:rsid w:val="00E70AE6"/>
    <w:rsid w:val="00E736D3"/>
    <w:rsid w:val="00E73727"/>
    <w:rsid w:val="00E758A4"/>
    <w:rsid w:val="00E76C0F"/>
    <w:rsid w:val="00E76D26"/>
    <w:rsid w:val="00E77821"/>
    <w:rsid w:val="00E77D52"/>
    <w:rsid w:val="00E804B3"/>
    <w:rsid w:val="00E82440"/>
    <w:rsid w:val="00E82474"/>
    <w:rsid w:val="00E84402"/>
    <w:rsid w:val="00E84584"/>
    <w:rsid w:val="00E845B0"/>
    <w:rsid w:val="00E84AB0"/>
    <w:rsid w:val="00E85989"/>
    <w:rsid w:val="00E863CC"/>
    <w:rsid w:val="00E87098"/>
    <w:rsid w:val="00E87640"/>
    <w:rsid w:val="00E91266"/>
    <w:rsid w:val="00E933DA"/>
    <w:rsid w:val="00E93DF5"/>
    <w:rsid w:val="00E945E2"/>
    <w:rsid w:val="00E94D01"/>
    <w:rsid w:val="00E950B7"/>
    <w:rsid w:val="00E9657B"/>
    <w:rsid w:val="00E96A9B"/>
    <w:rsid w:val="00E96AC8"/>
    <w:rsid w:val="00E96FA4"/>
    <w:rsid w:val="00EA0A58"/>
    <w:rsid w:val="00EA0D29"/>
    <w:rsid w:val="00EA2360"/>
    <w:rsid w:val="00EA253D"/>
    <w:rsid w:val="00EA3712"/>
    <w:rsid w:val="00EA7113"/>
    <w:rsid w:val="00EA7600"/>
    <w:rsid w:val="00EA769B"/>
    <w:rsid w:val="00EA7739"/>
    <w:rsid w:val="00EA7859"/>
    <w:rsid w:val="00EB07BB"/>
    <w:rsid w:val="00EB1390"/>
    <w:rsid w:val="00EB24BF"/>
    <w:rsid w:val="00EB260F"/>
    <w:rsid w:val="00EB2ADF"/>
    <w:rsid w:val="00EB2BCE"/>
    <w:rsid w:val="00EB2C71"/>
    <w:rsid w:val="00EB3243"/>
    <w:rsid w:val="00EB4340"/>
    <w:rsid w:val="00EB532C"/>
    <w:rsid w:val="00EB556D"/>
    <w:rsid w:val="00EB5A7D"/>
    <w:rsid w:val="00EB5DD1"/>
    <w:rsid w:val="00EB70ED"/>
    <w:rsid w:val="00EB73A2"/>
    <w:rsid w:val="00EC079B"/>
    <w:rsid w:val="00EC0D71"/>
    <w:rsid w:val="00EC174A"/>
    <w:rsid w:val="00EC3089"/>
    <w:rsid w:val="00EC30F6"/>
    <w:rsid w:val="00EC4099"/>
    <w:rsid w:val="00EC5EEF"/>
    <w:rsid w:val="00EC602C"/>
    <w:rsid w:val="00ED0667"/>
    <w:rsid w:val="00ED0BB5"/>
    <w:rsid w:val="00ED21E5"/>
    <w:rsid w:val="00ED2630"/>
    <w:rsid w:val="00ED28C6"/>
    <w:rsid w:val="00ED2E7C"/>
    <w:rsid w:val="00ED410B"/>
    <w:rsid w:val="00ED55C0"/>
    <w:rsid w:val="00ED5FF9"/>
    <w:rsid w:val="00ED682B"/>
    <w:rsid w:val="00ED6FD8"/>
    <w:rsid w:val="00ED73A1"/>
    <w:rsid w:val="00EE130A"/>
    <w:rsid w:val="00EE26A4"/>
    <w:rsid w:val="00EE2731"/>
    <w:rsid w:val="00EE3527"/>
    <w:rsid w:val="00EE37D7"/>
    <w:rsid w:val="00EE41D5"/>
    <w:rsid w:val="00EE4B05"/>
    <w:rsid w:val="00EE596D"/>
    <w:rsid w:val="00EE6A63"/>
    <w:rsid w:val="00EE6B9A"/>
    <w:rsid w:val="00EE759F"/>
    <w:rsid w:val="00EE79E9"/>
    <w:rsid w:val="00EE7C46"/>
    <w:rsid w:val="00EF0347"/>
    <w:rsid w:val="00EF0572"/>
    <w:rsid w:val="00EF0CE8"/>
    <w:rsid w:val="00EF191E"/>
    <w:rsid w:val="00EF25B0"/>
    <w:rsid w:val="00EF3360"/>
    <w:rsid w:val="00EF452E"/>
    <w:rsid w:val="00EF5344"/>
    <w:rsid w:val="00EF6582"/>
    <w:rsid w:val="00EF78E0"/>
    <w:rsid w:val="00F00262"/>
    <w:rsid w:val="00F003CC"/>
    <w:rsid w:val="00F00DCA"/>
    <w:rsid w:val="00F011B8"/>
    <w:rsid w:val="00F024AB"/>
    <w:rsid w:val="00F037A4"/>
    <w:rsid w:val="00F04373"/>
    <w:rsid w:val="00F0547F"/>
    <w:rsid w:val="00F06D7B"/>
    <w:rsid w:val="00F072D4"/>
    <w:rsid w:val="00F108E9"/>
    <w:rsid w:val="00F110DC"/>
    <w:rsid w:val="00F11248"/>
    <w:rsid w:val="00F11FB2"/>
    <w:rsid w:val="00F13C40"/>
    <w:rsid w:val="00F147B5"/>
    <w:rsid w:val="00F168CF"/>
    <w:rsid w:val="00F17038"/>
    <w:rsid w:val="00F207F4"/>
    <w:rsid w:val="00F22D0D"/>
    <w:rsid w:val="00F23A43"/>
    <w:rsid w:val="00F25D16"/>
    <w:rsid w:val="00F263DA"/>
    <w:rsid w:val="00F27991"/>
    <w:rsid w:val="00F27C8F"/>
    <w:rsid w:val="00F30007"/>
    <w:rsid w:val="00F30C6D"/>
    <w:rsid w:val="00F324E5"/>
    <w:rsid w:val="00F32749"/>
    <w:rsid w:val="00F33BF5"/>
    <w:rsid w:val="00F33ED7"/>
    <w:rsid w:val="00F34409"/>
    <w:rsid w:val="00F34977"/>
    <w:rsid w:val="00F35098"/>
    <w:rsid w:val="00F356EA"/>
    <w:rsid w:val="00F35787"/>
    <w:rsid w:val="00F36BA2"/>
    <w:rsid w:val="00F37172"/>
    <w:rsid w:val="00F373AF"/>
    <w:rsid w:val="00F4053C"/>
    <w:rsid w:val="00F40A1C"/>
    <w:rsid w:val="00F41BB8"/>
    <w:rsid w:val="00F4206F"/>
    <w:rsid w:val="00F446E2"/>
    <w:rsid w:val="00F4477E"/>
    <w:rsid w:val="00F44888"/>
    <w:rsid w:val="00F4504A"/>
    <w:rsid w:val="00F450C0"/>
    <w:rsid w:val="00F4517D"/>
    <w:rsid w:val="00F45CB7"/>
    <w:rsid w:val="00F45FD8"/>
    <w:rsid w:val="00F46BDE"/>
    <w:rsid w:val="00F47D68"/>
    <w:rsid w:val="00F47EDC"/>
    <w:rsid w:val="00F50ABD"/>
    <w:rsid w:val="00F51059"/>
    <w:rsid w:val="00F51590"/>
    <w:rsid w:val="00F51E27"/>
    <w:rsid w:val="00F54765"/>
    <w:rsid w:val="00F552F0"/>
    <w:rsid w:val="00F56733"/>
    <w:rsid w:val="00F56C40"/>
    <w:rsid w:val="00F57595"/>
    <w:rsid w:val="00F6127B"/>
    <w:rsid w:val="00F63D16"/>
    <w:rsid w:val="00F64400"/>
    <w:rsid w:val="00F64608"/>
    <w:rsid w:val="00F65123"/>
    <w:rsid w:val="00F670CD"/>
    <w:rsid w:val="00F674D0"/>
    <w:rsid w:val="00F67570"/>
    <w:rsid w:val="00F67D8F"/>
    <w:rsid w:val="00F70926"/>
    <w:rsid w:val="00F70E23"/>
    <w:rsid w:val="00F7267C"/>
    <w:rsid w:val="00F73085"/>
    <w:rsid w:val="00F743A5"/>
    <w:rsid w:val="00F74AD8"/>
    <w:rsid w:val="00F752EF"/>
    <w:rsid w:val="00F7798D"/>
    <w:rsid w:val="00F77C2C"/>
    <w:rsid w:val="00F802BE"/>
    <w:rsid w:val="00F819B9"/>
    <w:rsid w:val="00F827AB"/>
    <w:rsid w:val="00F83164"/>
    <w:rsid w:val="00F83DD3"/>
    <w:rsid w:val="00F84459"/>
    <w:rsid w:val="00F85640"/>
    <w:rsid w:val="00F85895"/>
    <w:rsid w:val="00F86024"/>
    <w:rsid w:val="00F8611A"/>
    <w:rsid w:val="00F8622F"/>
    <w:rsid w:val="00F87246"/>
    <w:rsid w:val="00F92B4E"/>
    <w:rsid w:val="00F95E0F"/>
    <w:rsid w:val="00F97417"/>
    <w:rsid w:val="00FA0AFD"/>
    <w:rsid w:val="00FA206D"/>
    <w:rsid w:val="00FA43B1"/>
    <w:rsid w:val="00FA5128"/>
    <w:rsid w:val="00FA5AF8"/>
    <w:rsid w:val="00FB0C2D"/>
    <w:rsid w:val="00FB0DDD"/>
    <w:rsid w:val="00FB2BFC"/>
    <w:rsid w:val="00FB41C5"/>
    <w:rsid w:val="00FB42D4"/>
    <w:rsid w:val="00FB4979"/>
    <w:rsid w:val="00FB4FED"/>
    <w:rsid w:val="00FB5906"/>
    <w:rsid w:val="00FB5960"/>
    <w:rsid w:val="00FB7496"/>
    <w:rsid w:val="00FB762F"/>
    <w:rsid w:val="00FC02B7"/>
    <w:rsid w:val="00FC15F1"/>
    <w:rsid w:val="00FC1668"/>
    <w:rsid w:val="00FC1A10"/>
    <w:rsid w:val="00FC2037"/>
    <w:rsid w:val="00FC2AED"/>
    <w:rsid w:val="00FC4DD1"/>
    <w:rsid w:val="00FC5660"/>
    <w:rsid w:val="00FC5A04"/>
    <w:rsid w:val="00FC6536"/>
    <w:rsid w:val="00FC6A7E"/>
    <w:rsid w:val="00FD02F4"/>
    <w:rsid w:val="00FD357F"/>
    <w:rsid w:val="00FD58EA"/>
    <w:rsid w:val="00FD5ACE"/>
    <w:rsid w:val="00FD5EA7"/>
    <w:rsid w:val="00FD66BC"/>
    <w:rsid w:val="00FD6D59"/>
    <w:rsid w:val="00FD7867"/>
    <w:rsid w:val="00FE0872"/>
    <w:rsid w:val="00FE0B1E"/>
    <w:rsid w:val="00FE2248"/>
    <w:rsid w:val="00FE2B37"/>
    <w:rsid w:val="00FE3016"/>
    <w:rsid w:val="00FE46A2"/>
    <w:rsid w:val="00FE5D75"/>
    <w:rsid w:val="00FE5EA3"/>
    <w:rsid w:val="00FE5F6D"/>
    <w:rsid w:val="00FE622E"/>
    <w:rsid w:val="00FE7215"/>
    <w:rsid w:val="00FE7837"/>
    <w:rsid w:val="00FE7C24"/>
    <w:rsid w:val="00FE7F3C"/>
    <w:rsid w:val="00FF06E6"/>
    <w:rsid w:val="00FF10E4"/>
    <w:rsid w:val="00FF1354"/>
    <w:rsid w:val="00FF27EA"/>
    <w:rsid w:val="00FF2A56"/>
    <w:rsid w:val="00FF5857"/>
    <w:rsid w:val="00FF5B32"/>
    <w:rsid w:val="00FF6C2D"/>
    <w:rsid w:val="00FF72BB"/>
    <w:rsid w:val="00FF73F6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67E230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D6481"/>
    <w:pPr>
      <w:keepNext/>
      <w:spacing w:before="24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D6481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B20BB1"/>
    <w:pPr>
      <w:spacing w:before="36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A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A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5EAB"/>
    <w:rPr>
      <w:vertAlign w:val="superscript"/>
    </w:rPr>
  </w:style>
  <w:style w:type="paragraph" w:customStyle="1" w:styleId="Default">
    <w:name w:val="Default"/>
    <w:rsid w:val="0035714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FB7496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78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78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785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78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7859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60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2401D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2401D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2401DE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2401DE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2401DE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2401DE"/>
    <w:rPr>
      <w:rFonts w:ascii="Fira Sans" w:hAnsi="Fira Sans"/>
      <w:color w:val="FFFFFF" w:themeColor="background1"/>
      <w:sz w:val="20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2401DE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2401DE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Lead">
    <w:name w:val="Lead"/>
    <w:basedOn w:val="LID"/>
    <w:link w:val="LeadZnak"/>
    <w:qFormat/>
    <w:rsid w:val="002401DE"/>
    <w:pPr>
      <w:spacing w:before="360"/>
    </w:pPr>
  </w:style>
  <w:style w:type="character" w:customStyle="1" w:styleId="LeadZnak">
    <w:name w:val="Lead Znak"/>
    <w:basedOn w:val="Domylnaczcionkaakapitu"/>
    <w:link w:val="Lead"/>
    <w:rsid w:val="002401DE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915EC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915ECB"/>
    <w:rPr>
      <w:rFonts w:ascii="Fira Sans SemiBold" w:hAnsi="Fira Sans SemiBold"/>
      <w:color w:val="001D77"/>
      <w:sz w:val="20"/>
      <w:szCs w:val="20"/>
    </w:rPr>
  </w:style>
  <w:style w:type="paragraph" w:customStyle="1" w:styleId="Przypis">
    <w:name w:val="Przypis"/>
    <w:basedOn w:val="Tekstprzypisudolnego"/>
    <w:link w:val="PrzypisZnak"/>
    <w:qFormat/>
    <w:rsid w:val="00D54C9F"/>
    <w:pPr>
      <w:spacing w:before="240" w:after="240"/>
    </w:pPr>
    <w:rPr>
      <w:sz w:val="18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D54C9F"/>
    <w:rPr>
      <w:rFonts w:ascii="Fira Sans" w:hAnsi="Fira Sans"/>
      <w:sz w:val="18"/>
      <w:szCs w:val="19"/>
      <w:lang w:val="en-GB"/>
    </w:rPr>
  </w:style>
  <w:style w:type="paragraph" w:customStyle="1" w:styleId="Tytutablicy">
    <w:name w:val="Tytuł tablicy"/>
    <w:basedOn w:val="Nagwek1"/>
    <w:link w:val="TytutablicyZnak"/>
    <w:qFormat/>
    <w:rsid w:val="00404671"/>
    <w:pPr>
      <w:spacing w:before="360"/>
    </w:pPr>
    <w:rPr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404671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546F9B"/>
    <w:rPr>
      <w:rFonts w:eastAsia="Times New Roman" w:cs="Calibri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546F9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Domylnaczcionkaakapitu"/>
    <w:link w:val="Tablicagwka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546F9B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546F9B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546F9B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546F9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546F9B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546F9B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546F9B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546F9B"/>
    <w:rPr>
      <w:rFonts w:ascii="Fira Sans" w:hAnsi="Fira Sans"/>
      <w:sz w:val="19"/>
      <w:szCs w:val="19"/>
    </w:rPr>
  </w:style>
  <w:style w:type="character" w:customStyle="1" w:styleId="TablicanotkaZnak">
    <w:name w:val="Tablica notka Znak"/>
    <w:basedOn w:val="Domylnaczcionkaakapitu"/>
    <w:link w:val="Tablicanotka"/>
    <w:rsid w:val="00546F9B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546F9B"/>
    <w:pPr>
      <w:numPr>
        <w:ilvl w:val="1"/>
        <w:numId w:val="11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853816"/>
    <w:pPr>
      <w:spacing w:before="360"/>
    </w:pPr>
    <w:rPr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546F9B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853816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5730ED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Poprawka">
    <w:name w:val="Revision"/>
    <w:hidden/>
    <w:uiPriority w:val="99"/>
    <w:semiHidden/>
    <w:rsid w:val="00B72ED7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21" Type="http://schemas.openxmlformats.org/officeDocument/2006/relationships/hyperlink" Target="https://x.com/GUS_STAT" TargetMode="External"/><Relationship Id="rId34" Type="http://schemas.openxmlformats.org/officeDocument/2006/relationships/hyperlink" Target="https://stat.gov.pl/metainformacje/slownik-pojec/pojecia-stosowane-w-statystyce-publicznej/156,pojecie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c.europa.eu/eurostat/databrowser/view/ei_lmlc_q/default/table?lang=en&amp;category=euroind.ei_lm" TargetMode="Externa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hyperlink" Target="https://stat.gov.pl/metainformacje/slownik-pojec/pojecia-stosowane-w-statystyce-publicznej/44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32" Type="http://schemas.openxmlformats.org/officeDocument/2006/relationships/hyperlink" Target="https://bdm.stat.gov.pl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www.linkedin.com/company/glownyurzadstatystyczny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ec.europa.eu/eurostat/databrowser/view/ei_lmlc_q/default/table?lang=en&amp;category=euroind.ei_lm" TargetMode="External"/><Relationship Id="rId19" Type="http://schemas.openxmlformats.org/officeDocument/2006/relationships/hyperlink" Target="https://new.stat.gov.pl/" TargetMode="External"/><Relationship Id="rId31" Type="http://schemas.openxmlformats.org/officeDocument/2006/relationships/hyperlink" Target="https://stat.gov.pl/metainformacje/slownik-pojec/pojecia-stosowane-w-statystyce-publicznej/1495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Relationship Id="rId22" Type="http://schemas.openxmlformats.org/officeDocument/2006/relationships/hyperlink" Target="https://www.facebook.com/GlownyUrzadStatystyczny" TargetMode="External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hyperlink" Target="https://ec.europa.eu/eurostat/databrowser/view/lc_lci_r2_q/default/table?lang=en" TargetMode="External"/><Relationship Id="rId35" Type="http://schemas.openxmlformats.org/officeDocument/2006/relationships/header" Target="header3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E17B1-0B9C-4EE2-B4AD-4AB402BEF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1177</Words>
  <Characters>7067</Characters>
  <DocSecurity>4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Indeks kosztów zatrudnienia</vt:lpstr>
    </vt:vector>
  </TitlesOfParts>
  <Company/>
  <LinksUpToDate>false</LinksUpToDate>
  <CharactersWithSpaces>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Indeks kosztów zatrudnienia</dc:title>
  <dc:subject/>
  <dc:creator>Główny Urząd Statystyczny</dc:creator>
  <cp:keywords/>
  <dc:description/>
  <cp:lastModifiedBy/>
  <dcterms:created xsi:type="dcterms:W3CDTF">2026-04-17T11:17:00Z</dcterms:created>
  <dcterms:modified xsi:type="dcterms:W3CDTF">2026-04-17T11:17:00Z</dcterms:modified>
</cp:coreProperties>
</file>