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0D7EC6" w:rsidRDefault="00930BB2" w:rsidP="00350CCF">
      <w:pPr>
        <w:pStyle w:val="tytuinformacji"/>
        <w:rPr>
          <w:noProof/>
          <w:spacing w:val="-2"/>
          <w:sz w:val="19"/>
          <w:szCs w:val="19"/>
          <w:lang w:eastAsia="pl-PL"/>
        </w:rPr>
      </w:pPr>
      <w:bookmarkStart w:id="0" w:name="_GoBack"/>
      <w:bookmarkEnd w:id="0"/>
      <w:r w:rsidRPr="000D7EC6">
        <w:rPr>
          <w:rFonts w:cs="Fira Sans Extra Condensed SemiB"/>
          <w:bCs/>
          <w:w w:val="90"/>
          <w:szCs w:val="40"/>
        </w:rPr>
        <w:t>Gospodarka mieszkaniowa w 201</w:t>
      </w:r>
      <w:r w:rsidR="00BA31DE" w:rsidRPr="000D7EC6">
        <w:rPr>
          <w:rFonts w:cs="Fira Sans Extra Condensed SemiB"/>
          <w:bCs/>
          <w:w w:val="90"/>
          <w:szCs w:val="40"/>
        </w:rPr>
        <w:t>8</w:t>
      </w:r>
      <w:r w:rsidRPr="000D7EC6">
        <w:rPr>
          <w:rFonts w:cs="Fira Sans Extra Condensed SemiB"/>
          <w:bCs/>
          <w:w w:val="90"/>
          <w:szCs w:val="40"/>
        </w:rPr>
        <w:t xml:space="preserve"> roku</w:t>
      </w:r>
    </w:p>
    <w:p w:rsidR="00E2731E" w:rsidRPr="00001C5B" w:rsidRDefault="00A72EFD" w:rsidP="00E2731E">
      <w:pPr>
        <w:pStyle w:val="tytuinformacji"/>
        <w:spacing w:before="0"/>
        <w:rPr>
          <w:sz w:val="32"/>
        </w:rPr>
      </w:pPr>
      <w:r>
        <w:rPr>
          <w:rFonts w:ascii="Fira Sans" w:hAnsi="Fira Sans"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173441</wp:posOffset>
                </wp:positionV>
                <wp:extent cx="1666875" cy="798830"/>
                <wp:effectExtent l="0" t="0" r="0" b="1270"/>
                <wp:wrapTight wrapText="bothSides">
                  <wp:wrapPolygon edited="0">
                    <wp:start x="741" y="0"/>
                    <wp:lineTo x="741" y="21119"/>
                    <wp:lineTo x="20736" y="21119"/>
                    <wp:lineTo x="20736" y="0"/>
                    <wp:lineTo x="74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9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C03B6D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stale</w:t>
                            </w: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zwiększa się liczba 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3.65pt;width:131.25pt;height:62.9pt;z-index:-2516638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LyDwIAAPgDAAAOAAAAZHJzL2Uyb0RvYy54bWysU8Fu2zAMvQ/YPwi6L06yJE2MOEXXrsOA&#10;bivQ7QMYWY6FSqImKbGzrx8lp2mw3Yb5IIgm+cj3SK2ve6PZQfqg0FZ8MhpzJq3AWtldxX98v3+3&#10;5CxEsDVotLLiRxn49ebtm3XnSjnFFnUtPSMQG8rOVbyN0ZVFEUQrDYQROmnJ2aA3EMn0u6L20BG6&#10;0cV0PF4UHfraeRQyBPp7Nzj5JuM3jRTxW9MEGZmuOPUW8+nzuU1nsVlDufPgWiVObcA/dGFAWSp6&#10;hrqDCGzv1V9QRgmPAZs4EmgKbBolZOZAbCbjP9g8teBk5kLiBHeWKfw/WPH18OiZqml2E84sGJrR&#10;I2rJonwOETvJpkmjzoWSQp8cBcf+A/YUn/kG94DiOTCLty3YnbzxHrtWQk09TlJmcZE64IQEsu2+&#10;YE21YB8xA/WNN0lAkoQROs3qeJ6P7CMTqeRisVhezTkT5LtaLZfv8wALKF+ynQ/xk0TD0qXinuaf&#10;0eHwEGLqBsqXkFTM4r3SOu+Atqyr+Go+neeEC49RkVZUK1Px5Th9w9Ikkh9tnZMjKD3cqYC2J9aJ&#10;6EA59tueApMUW6yPxN/jsIr0dOjSov/FWUdrWPHwcw9ecqY/W9JwNZnN0t5mYza/mpLhLz3bSw9Y&#10;QVAVj5wN19uYd33gekNaNyrL8NrJqVdar6zO6Smk/b20c9Trg938BgAA//8DAFBLAwQUAAYACAAA&#10;ACEAxvIJTdwAAAAHAQAADwAAAGRycy9kb3ducmV2LnhtbEyPzU7DMBCE70i8g7VI3KjdlBQIcSoE&#10;4gqi/EjctvE2iYjXUew24e1ZTnAczWjmm3Iz+14daYxdYAvLhQFFXAfXcWPh7fXx4hpUTMgO+8Bk&#10;4ZsibKrTkxILFyZ+oeM2NUpKOBZooU1pKLSOdUse4yIMxOLtw+gxiRwb7UacpNz3OjNmrT12LAst&#10;DnTfUv21PXgL70/7z49L89w8+HyYwmw0+xtt7fnZfHcLKtGc/sLwiy/oUAnTLhzYRdVbkCPJQna1&#10;AiVuts5yUDuJ5asl6KrU//mrHwAAAP//AwBQSwECLQAUAAYACAAAACEAtoM4kv4AAADhAQAAEwAA&#10;AAAAAAAAAAAAAAAAAAAAW0NvbnRlbnRfVHlwZXNdLnhtbFBLAQItABQABgAIAAAAIQA4/SH/1gAA&#10;AJQBAAALAAAAAAAAAAAAAAAAAC8BAABfcmVscy8ucmVsc1BLAQItABQABgAIAAAAIQBla/LyDwIA&#10;APgDAAAOAAAAAAAAAAAAAAAAAC4CAABkcnMvZTJvRG9jLnhtbFBLAQItABQABgAIAAAAIQDG8glN&#10;3AAAAAcBAAAPAAAAAAAAAAAAAAAAAGkEAABkcnMvZG93bnJldi54bWxQSwUGAAAAAAQABADzAAAA&#10;cgUAAAAA&#10;" filled="f" stroked="f">
                <v:textbox>
                  <w:txbxContent>
                    <w:p w:rsidR="002463D2" w:rsidRPr="00074DD8" w:rsidRDefault="002463D2" w:rsidP="00C03B6D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stale</w:t>
                      </w: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zwiększa się liczba mieszkań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5916D7" w:rsidRPr="00074DD8" w:rsidRDefault="00A72EFD" w:rsidP="00633014">
      <w:pPr>
        <w:pStyle w:val="LID"/>
      </w:pPr>
      <w:r w:rsidRPr="002A4300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2101850" cy="105981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0598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B66B19" w:rsidRDefault="002A1B4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2463D2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7030" cy="374650"/>
                                  <wp:effectExtent l="0" t="0" r="0" b="635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061" cy="375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63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101,2</w:t>
                            </w:r>
                          </w:p>
                          <w:p w:rsidR="002463D2" w:rsidRDefault="002463D2" w:rsidP="00202C00">
                            <w:pPr>
                              <w:pStyle w:val="Tekstpodstawowy"/>
                              <w:kinsoku w:val="0"/>
                              <w:overflowPunct w:val="0"/>
                              <w:spacing w:before="1" w:line="238" w:lineRule="exact"/>
                              <w:ind w:left="151" w:right="215"/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Przyrost liczby 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6pt;width:165.5pt;height:83.4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3bKwIAACoEAAAOAAAAZHJzL2Uyb0RvYy54bWysU9tu2zAMfR+wfxD0vviCeEmMOEWXrMOA&#10;rivQ7QNkWY6FSqInKbGzrx8lp2m2vQ3zg0Ca5NHhIbW+GbUiR2GdBFPRbJZSIgyHRpp9Rb9/u3u3&#10;pMR5ZhqmwIiKnoSjN5u3b9ZDX4ocOlCNsARBjCuHvqKd932ZJI53QjM3g14YDLZgNfPo2n3SWDYg&#10;ulZJnqbvkwFs01vgwjn8u5uCdBPx21Zw/7VtnfBEVRS5+XjaeNbhTDZrVu4t6zvJzzTYP7DQTBq8&#10;9AK1Y56Rg5V/QWnJLTho/YyDTqBtJRexB+wmS//o5qljvYi9oDiuv8jk/h8sfzg+WiKbiubZghLD&#10;NA7pEZQgXjw7D4MgeRBp6F2JuU89ZvvxA4w47Niw6++BPztiYNsxsxe31sLQCdYgySxUJlelE44L&#10;IPXwBRq8ix08RKCxtTooiJoQRMdhnS4DEqMnHH/mWZotCwxxjGVpsVpmRbyDlS/lvXX+kwBNglFR&#10;ixsQ4dnx3vlAh5UvKeE2B0o2d1Kp6Nh9vVWWHFnYljTbLRZn9N/SlCFDRVdFXkRkA6E+LpKWHrdZ&#10;SV3RZRq+UM7KIMdH00TbM6kmG5koc9YnSDKJ48d6jPOI4gXtamhOKJiFaXnxsaHRgf1JyYCLW1H3&#10;48CsoER9Nij6KpvPw6ZHZ14scnTsdaS+jjDDEaqinpLJ3Pr4OgJtA7c4nFZG2V6ZnCnjQkY1z48n&#10;bPy1H7Nen/jmFwAAAP//AwBQSwMEFAAGAAgAAAAhAGXbIlvbAAAABwEAAA8AAABkcnMvZG93bnJl&#10;di54bWxMj01PwzAMhu9I/IfISNxY+oFQVZpOCNQDIBBsXLh5jWkrGqdqsq38e8yJHf281uvH1Xpx&#10;ozrQHAbPBtJVAoq49XbgzsDHtrkqQIWIbHH0TAZ+KMC6Pj+rsLT+yO902MROSQmHEg30MU6l1qHt&#10;yWFY+YlYsi8/O4wyzp22Mx6l3I06S5Ib7XBgudDjRPc9td+bvTNwnb62xVv43LJ/abLm+QHdY3gy&#10;5vJiubsFFWmJ/8vwpy/qUIvTzu/ZBjUakEei0DwDJWmepwJ2AookBV1X+tS//gUAAP//AwBQSwEC&#10;LQAUAAYACAAAACEAtoM4kv4AAADhAQAAEwAAAAAAAAAAAAAAAAAAAAAAW0NvbnRlbnRfVHlwZXNd&#10;LnhtbFBLAQItABQABgAIAAAAIQA4/SH/1gAAAJQBAAALAAAAAAAAAAAAAAAAAC8BAABfcmVscy8u&#10;cmVsc1BLAQItABQABgAIAAAAIQBakL3bKwIAACoEAAAOAAAAAAAAAAAAAAAAAC4CAABkcnMvZTJv&#10;RG9jLnhtbFBLAQItABQABgAIAAAAIQBl2yJb2wAAAAcBAAAPAAAAAAAAAAAAAAAAAIUEAABkcnMv&#10;ZG93bnJldi54bWxQSwUGAAAAAAQABADzAAAAjQUAAAAA&#10;" fillcolor="#001d77" stroked="f">
                <v:textbox>
                  <w:txbxContent>
                    <w:p w:rsidR="002463D2" w:rsidRPr="00B66B19" w:rsidRDefault="002A1B4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2463D2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7030" cy="374650"/>
                            <wp:effectExtent l="0" t="0" r="0" b="635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061" cy="375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63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101,2</w:t>
                      </w:r>
                    </w:p>
                    <w:p w:rsidR="002463D2" w:rsidRDefault="002463D2" w:rsidP="00202C00">
                      <w:pPr>
                        <w:pStyle w:val="Tekstpodstawowy"/>
                        <w:kinsoku w:val="0"/>
                        <w:overflowPunct w:val="0"/>
                        <w:spacing w:before="1" w:line="238" w:lineRule="exact"/>
                        <w:ind w:left="151" w:right="215"/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Przyrost liczby mieszkań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BB2" w:rsidRPr="002A4300">
        <w:t>W Polsce w</w:t>
      </w:r>
      <w:r w:rsidR="00BA31DE">
        <w:t>edług stanu na koniec</w:t>
      </w:r>
      <w:r w:rsidR="00930BB2" w:rsidRPr="002A4300">
        <w:t xml:space="preserve"> </w:t>
      </w:r>
      <w:r w:rsidR="00930BB2" w:rsidRPr="005160F9">
        <w:t>201</w:t>
      </w:r>
      <w:r w:rsidR="00BA31DE" w:rsidRPr="005160F9">
        <w:t>8</w:t>
      </w:r>
      <w:r w:rsidR="00930BB2" w:rsidRPr="005160F9">
        <w:t xml:space="preserve"> r</w:t>
      </w:r>
      <w:r w:rsidR="00BA31DE" w:rsidRPr="005160F9">
        <w:t>.</w:t>
      </w:r>
      <w:r w:rsidR="00930BB2" w:rsidRPr="005160F9">
        <w:t xml:space="preserve"> </w:t>
      </w:r>
      <w:r w:rsidR="00BA31DE">
        <w:t xml:space="preserve">odnotowano </w:t>
      </w:r>
      <w:r w:rsidR="00BA31DE" w:rsidRPr="005160F9">
        <w:t xml:space="preserve">14,6 mln </w:t>
      </w:r>
      <w:r w:rsidR="00BA31DE">
        <w:t xml:space="preserve">mieszkań (wzrost o </w:t>
      </w:r>
      <w:r w:rsidR="00BA31DE" w:rsidRPr="005160F9">
        <w:t xml:space="preserve">1,2% </w:t>
      </w:r>
      <w:r w:rsidR="00BA31DE">
        <w:t xml:space="preserve">w porównaniu do stanu na koniec </w:t>
      </w:r>
      <w:r w:rsidR="00BA31DE" w:rsidRPr="005160F9">
        <w:t>2017 r</w:t>
      </w:r>
      <w:r w:rsidR="00BA31DE">
        <w:t xml:space="preserve">.) o łącznej powierzchni użytkowej </w:t>
      </w:r>
      <w:r w:rsidR="00BA31DE" w:rsidRPr="005160F9">
        <w:t>1 084,2 mln m</w:t>
      </w:r>
      <w:r w:rsidR="00BA31DE" w:rsidRPr="0042270A">
        <w:rPr>
          <w:vertAlign w:val="superscript"/>
        </w:rPr>
        <w:t>2</w:t>
      </w:r>
      <w:r w:rsidR="00BA31DE">
        <w:t xml:space="preserve">, w których znajdowało się </w:t>
      </w:r>
      <w:r w:rsidR="00BA31DE" w:rsidRPr="005160F9">
        <w:t>55,</w:t>
      </w:r>
      <w:r w:rsidR="00272785" w:rsidRPr="005160F9">
        <w:t>9</w:t>
      </w:r>
      <w:r w:rsidR="00BA31DE" w:rsidRPr="005160F9">
        <w:t xml:space="preserve"> mln izb</w:t>
      </w:r>
      <w:r w:rsidR="00BA31DE">
        <w:t xml:space="preserve">. 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Default="00C22105" w:rsidP="00E2731E">
      <w:pPr>
        <w:pStyle w:val="Nagwek1"/>
        <w:spacing w:after="0"/>
        <w:rPr>
          <w:shd w:val="clear" w:color="auto" w:fill="FFFFFF"/>
        </w:rPr>
      </w:pPr>
    </w:p>
    <w:p w:rsidR="00E2731E" w:rsidRDefault="00E2731E" w:rsidP="00E2731E">
      <w:pPr>
        <w:spacing w:before="0" w:after="0"/>
        <w:rPr>
          <w:rFonts w:eastAsia="Times New Roman" w:cs="Times New Roman"/>
          <w:bCs/>
          <w:color w:val="001D77"/>
          <w:sz w:val="12"/>
          <w:szCs w:val="12"/>
          <w:lang w:eastAsia="pl-PL"/>
        </w:rPr>
      </w:pPr>
    </w:p>
    <w:p w:rsidR="00265626" w:rsidRPr="00E2731E" w:rsidRDefault="00265626" w:rsidP="00E2731E">
      <w:pPr>
        <w:spacing w:before="0" w:after="0"/>
        <w:rPr>
          <w:rFonts w:eastAsia="Times New Roman" w:cs="Times New Roman"/>
          <w:bCs/>
          <w:color w:val="001D77"/>
          <w:sz w:val="12"/>
          <w:szCs w:val="12"/>
          <w:lang w:eastAsia="pl-PL"/>
        </w:rPr>
      </w:pPr>
    </w:p>
    <w:p w:rsidR="00930BB2" w:rsidRPr="00C90651" w:rsidRDefault="00ED47D9" w:rsidP="00930BB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596BDB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1B7A8363" wp14:editId="460F27DC">
                <wp:simplePos x="0" y="0"/>
                <wp:positionH relativeFrom="column">
                  <wp:posOffset>5248275</wp:posOffset>
                </wp:positionH>
                <wp:positionV relativeFrom="paragraph">
                  <wp:posOffset>170180</wp:posOffset>
                </wp:positionV>
                <wp:extent cx="1735455" cy="723900"/>
                <wp:effectExtent l="0" t="0" r="0" b="0"/>
                <wp:wrapTight wrapText="bothSides">
                  <wp:wrapPolygon edited="0">
                    <wp:start x="711" y="0"/>
                    <wp:lineTo x="711" y="21032"/>
                    <wp:lineTo x="20865" y="21032"/>
                    <wp:lineTo x="20865" y="0"/>
                    <wp:lineTo x="711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Default="002463D2" w:rsidP="00596BDB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Zasoby mieszkaniowe w Polsce na koniec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2018 r.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liczyły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14,6 mln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8363" id="_x0000_s1028" type="#_x0000_t202" style="position:absolute;margin-left:413.25pt;margin-top:13.4pt;width:136.65pt;height:57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69EQIAAP4DAAAOAAAAZHJzL2Uyb0RvYy54bWysU9Fu2yAUfZ+0f0C8L3bcuG2skKpr12lS&#10;t1Xq9gEE4xgVuAxI7Ozrd8FpFm1v0/yAwJd77j3nHlY3o9FkL31QYBmdz0pKpBXQKrtl9Pu3h3fX&#10;lITIbcs1WMnoQQZ6s377ZjW4RlbQg26lJwhiQzM4RvsYXVMUQfTS8DADJy0GO/CGRzz6bdF6PiC6&#10;0UVVlpfFAL51HoQMAf/eT0G6zvhdJ0X82nVBRqIZxd5iXn1eN2kt1ivebD13vRLHNvg/dGG4slj0&#10;BHXPIyc7r/6CMkp4CNDFmQBTQNcpITMHZDMv/2Dz3HMnMxcUJ7iTTOH/wYov+ydPVMvoJSWWGxzR&#10;E2hJonwJEQZJqiTR4EKDN58d3o3jexhx1JlucI8gXgKxcNdzu5W33sPQS95ii/OUWZylTjghgWyG&#10;z9BiLb6LkIHGzpukHypCEB1HdTiNR46RiFTy6qJe1DUlAmNX1cWyzPMrePOa7XyIHyUYkjaMehx/&#10;Ruf7xxBTN7x5vZKKWXhQWmcLaEsGRpd1VeeEs4hRER2qlWH0ukzf5JlE8oNtc3LkSk97LKDtkXUi&#10;OlGO42bMGp/E3EB7QBk8TIbEB4SbHvxPSgY0I6Phx457SYn+ZFHK5XyxSO7Nh0V9VeHBn0c25xFu&#10;BUIxGimZtncxO36ifIuSdyqrkWYzdXJsGU2WRTo+iOTi83O+9fvZrn8BAAD//wMAUEsDBBQABgAI&#10;AAAAIQBXH3OH3gAAAAsBAAAPAAAAZHJzL2Rvd25yZXYueG1sTI/NTsMwEITvSH0Hayv1Rm2iNkpC&#10;nAqBuBZRfiRubrxNIuJ1FLtNeHu2J7jNaD/NzpS72fXigmPoPGm4WysQSLW3HTUa3t+ebzMQIRqy&#10;pveEGn4wwK5a3JSmsH6iV7wcYiM4hEJhNLQxDoWUoW7RmbD2AxLfTn50JrIdG2lHM3G462WiVCqd&#10;6Yg/tGbAxxbr78PZafjYn74+N+qleXLbYfKzkuRyqfVqOT/cg4g4xz8YrvW5OlTc6ejPZIPoNWRJ&#10;umVUQ5LyhCug8pzVkdVGZSCrUv7fUP0CAAD//wMAUEsBAi0AFAAGAAgAAAAhALaDOJL+AAAA4QEA&#10;ABMAAAAAAAAAAAAAAAAAAAAAAFtDb250ZW50X1R5cGVzXS54bWxQSwECLQAUAAYACAAAACEAOP0h&#10;/9YAAACUAQAACwAAAAAAAAAAAAAAAAAvAQAAX3JlbHMvLnJlbHNQSwECLQAUAAYACAAAACEAWvvu&#10;vRECAAD+AwAADgAAAAAAAAAAAAAAAAAuAgAAZHJzL2Uyb0RvYy54bWxQSwECLQAUAAYACAAAACEA&#10;Vx9zh94AAAALAQAADwAAAAAAAAAAAAAAAABrBAAAZHJzL2Rvd25yZXYueG1sUEsFBgAAAAAEAAQA&#10;8wAAAHYFAAAAAA==&#10;" filled="f" stroked="f">
                <v:textbox>
                  <w:txbxContent>
                    <w:p w:rsidR="002463D2" w:rsidRDefault="002463D2" w:rsidP="00596BDB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Zasoby mieszkaniowe w Polsce na koniec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2018 r.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liczyły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14,6 mln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0BB2" w:rsidRPr="00C90651">
        <w:rPr>
          <w:rFonts w:eastAsia="Times New Roman" w:cs="Times New Roman"/>
          <w:b/>
          <w:bCs/>
          <w:color w:val="001D77"/>
          <w:szCs w:val="19"/>
          <w:lang w:eastAsia="pl-PL"/>
        </w:rPr>
        <w:t>Zasoby mieszkaniowe</w:t>
      </w:r>
    </w:p>
    <w:p w:rsidR="00930BB2" w:rsidRPr="00C90651" w:rsidRDefault="00930BB2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2E6180" w:rsidRDefault="00930BB2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C90651">
        <w:rPr>
          <w:rFonts w:eastAsia="Times New Roman" w:cs="Times New Roman"/>
          <w:bCs/>
          <w:szCs w:val="19"/>
          <w:lang w:eastAsia="pl-PL"/>
        </w:rPr>
        <w:t xml:space="preserve">Według stanu na 31 grudnia </w:t>
      </w:r>
      <w:r w:rsidRPr="005160F9">
        <w:rPr>
          <w:rFonts w:eastAsia="Times New Roman" w:cs="Times New Roman"/>
          <w:bCs/>
          <w:szCs w:val="19"/>
          <w:lang w:eastAsia="pl-PL"/>
        </w:rPr>
        <w:t>201</w:t>
      </w:r>
      <w:r w:rsidR="00272785" w:rsidRPr="005160F9">
        <w:rPr>
          <w:rFonts w:eastAsia="Times New Roman" w:cs="Times New Roman"/>
          <w:bCs/>
          <w:szCs w:val="19"/>
          <w:lang w:eastAsia="pl-PL"/>
        </w:rPr>
        <w:t>8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r. 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zasoby mieszkaniowe kraju liczyły </w:t>
      </w:r>
      <w:r w:rsidRPr="005160F9">
        <w:rPr>
          <w:rFonts w:eastAsia="Times New Roman" w:cs="Times New Roman"/>
          <w:bCs/>
          <w:szCs w:val="19"/>
          <w:lang w:eastAsia="pl-PL"/>
        </w:rPr>
        <w:t>14,</w:t>
      </w:r>
      <w:r w:rsidR="002E6180" w:rsidRPr="005160F9">
        <w:rPr>
          <w:rFonts w:eastAsia="Times New Roman" w:cs="Times New Roman"/>
          <w:bCs/>
          <w:szCs w:val="19"/>
          <w:lang w:eastAsia="pl-PL"/>
        </w:rPr>
        <w:t>6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mln </w:t>
      </w:r>
      <w:r w:rsidRPr="00C90651">
        <w:rPr>
          <w:rFonts w:eastAsia="Times New Roman" w:cs="Times New Roman"/>
          <w:bCs/>
          <w:szCs w:val="19"/>
          <w:lang w:eastAsia="pl-PL"/>
        </w:rPr>
        <w:t>mieszkań o</w:t>
      </w:r>
      <w:r w:rsidR="00625167">
        <w:rPr>
          <w:rFonts w:eastAsia="Times New Roman" w:cs="Times New Roman"/>
          <w:bCs/>
          <w:szCs w:val="19"/>
          <w:lang w:eastAsia="pl-PL"/>
        </w:rPr>
        <w:t> 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łącznej powierzchni użytkowej </w:t>
      </w:r>
      <w:r w:rsidRPr="005160F9">
        <w:rPr>
          <w:rFonts w:eastAsia="Times New Roman" w:cs="Times New Roman"/>
          <w:bCs/>
          <w:szCs w:val="19"/>
          <w:lang w:eastAsia="pl-PL"/>
        </w:rPr>
        <w:t>1 0</w:t>
      </w:r>
      <w:r w:rsidR="002E6180" w:rsidRPr="005160F9">
        <w:rPr>
          <w:rFonts w:eastAsia="Times New Roman" w:cs="Times New Roman"/>
          <w:bCs/>
          <w:szCs w:val="19"/>
          <w:lang w:eastAsia="pl-PL"/>
        </w:rPr>
        <w:t>84</w:t>
      </w:r>
      <w:r w:rsidRPr="005160F9">
        <w:rPr>
          <w:rFonts w:eastAsia="Times New Roman" w:cs="Times New Roman"/>
          <w:bCs/>
          <w:szCs w:val="19"/>
          <w:lang w:eastAsia="pl-PL"/>
        </w:rPr>
        <w:t>,</w:t>
      </w:r>
      <w:r w:rsidR="002E6180" w:rsidRPr="005160F9">
        <w:rPr>
          <w:rFonts w:eastAsia="Times New Roman" w:cs="Times New Roman"/>
          <w:bCs/>
          <w:szCs w:val="19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C748E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, w których znajdowało się </w:t>
      </w:r>
      <w:r w:rsidRPr="005160F9">
        <w:rPr>
          <w:rFonts w:eastAsia="Times New Roman" w:cs="Times New Roman"/>
          <w:bCs/>
          <w:szCs w:val="19"/>
          <w:lang w:eastAsia="pl-PL"/>
        </w:rPr>
        <w:t>55,</w:t>
      </w:r>
      <w:r w:rsidR="002E6180" w:rsidRPr="005160F9">
        <w:rPr>
          <w:rFonts w:eastAsia="Times New Roman" w:cs="Times New Roman"/>
          <w:bCs/>
          <w:szCs w:val="19"/>
          <w:lang w:eastAsia="pl-PL"/>
        </w:rPr>
        <w:t>9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mln </w:t>
      </w:r>
      <w:r w:rsidRPr="00C90651">
        <w:rPr>
          <w:rFonts w:eastAsia="Times New Roman" w:cs="Times New Roman"/>
          <w:bCs/>
          <w:szCs w:val="19"/>
          <w:lang w:eastAsia="pl-PL"/>
        </w:rPr>
        <w:t>izb.</w:t>
      </w:r>
    </w:p>
    <w:p w:rsidR="00930BB2" w:rsidRPr="002E6180" w:rsidRDefault="002E6180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>
        <w:rPr>
          <w:rFonts w:eastAsia="Times New Roman" w:cs="Times New Roman"/>
          <w:bCs/>
          <w:szCs w:val="19"/>
          <w:lang w:eastAsia="pl-PL"/>
        </w:rPr>
        <w:t xml:space="preserve">W porównaniu z poprzednim rokiem przybyło 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175,3 tys. </w:t>
      </w:r>
      <w:r>
        <w:rPr>
          <w:rFonts w:eastAsia="Times New Roman" w:cs="Times New Roman"/>
          <w:bCs/>
          <w:szCs w:val="19"/>
          <w:lang w:eastAsia="pl-PL"/>
        </w:rPr>
        <w:t>mieszkań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</w:t>
      </w:r>
      <w:r>
        <w:rPr>
          <w:rFonts w:eastAsia="Times New Roman" w:cs="Times New Roman"/>
          <w:bCs/>
          <w:szCs w:val="19"/>
          <w:lang w:eastAsia="pl-PL"/>
        </w:rPr>
        <w:t xml:space="preserve">(wzrost o </w:t>
      </w:r>
      <w:r w:rsidRPr="005160F9">
        <w:rPr>
          <w:rFonts w:eastAsia="Times New Roman" w:cs="Times New Roman"/>
          <w:bCs/>
          <w:szCs w:val="19"/>
          <w:lang w:eastAsia="pl-PL"/>
        </w:rPr>
        <w:t>1,2%</w:t>
      </w:r>
      <w:r>
        <w:rPr>
          <w:rFonts w:eastAsia="Times New Roman" w:cs="Times New Roman"/>
          <w:bCs/>
          <w:szCs w:val="19"/>
          <w:lang w:eastAsia="pl-PL"/>
        </w:rPr>
        <w:t xml:space="preserve">), których łączna powierzchnia użytkowa wynosiła </w:t>
      </w:r>
      <w:r w:rsidRPr="005160F9">
        <w:rPr>
          <w:rFonts w:eastAsia="Times New Roman" w:cs="Times New Roman"/>
          <w:bCs/>
          <w:szCs w:val="19"/>
          <w:lang w:eastAsia="pl-PL"/>
        </w:rPr>
        <w:t>15 609,0 tys. m</w:t>
      </w:r>
      <w:r w:rsidRPr="0042270A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</w:t>
      </w:r>
      <w:r>
        <w:rPr>
          <w:rFonts w:eastAsia="Times New Roman" w:cs="Times New Roman"/>
          <w:bCs/>
          <w:szCs w:val="19"/>
          <w:lang w:eastAsia="pl-PL"/>
        </w:rPr>
        <w:t xml:space="preserve">(wzrost o </w:t>
      </w:r>
      <w:r w:rsidRPr="005160F9">
        <w:rPr>
          <w:rFonts w:eastAsia="Times New Roman" w:cs="Times New Roman"/>
          <w:bCs/>
          <w:szCs w:val="19"/>
          <w:lang w:eastAsia="pl-PL"/>
        </w:rPr>
        <w:t>1,5%</w:t>
      </w:r>
      <w:r>
        <w:rPr>
          <w:rFonts w:eastAsia="Times New Roman" w:cs="Times New Roman"/>
          <w:bCs/>
          <w:szCs w:val="19"/>
          <w:lang w:eastAsia="pl-PL"/>
        </w:rPr>
        <w:t xml:space="preserve">), a liczba izb </w:t>
      </w:r>
      <w:r w:rsidRPr="005160F9">
        <w:rPr>
          <w:rFonts w:eastAsia="Times New Roman" w:cs="Times New Roman"/>
          <w:bCs/>
          <w:szCs w:val="19"/>
          <w:lang w:eastAsia="pl-PL"/>
        </w:rPr>
        <w:t>668,7 tys</w:t>
      </w:r>
      <w:r>
        <w:rPr>
          <w:rFonts w:eastAsia="Times New Roman" w:cs="Times New Roman"/>
          <w:bCs/>
          <w:szCs w:val="19"/>
          <w:lang w:eastAsia="pl-PL"/>
        </w:rPr>
        <w:t xml:space="preserve">. (wzrost o </w:t>
      </w:r>
      <w:r w:rsidRPr="005160F9">
        <w:rPr>
          <w:rFonts w:eastAsia="Times New Roman" w:cs="Times New Roman"/>
          <w:bCs/>
          <w:szCs w:val="19"/>
          <w:lang w:eastAsia="pl-PL"/>
        </w:rPr>
        <w:t>1,2%</w:t>
      </w:r>
      <w:r>
        <w:rPr>
          <w:rFonts w:eastAsia="Times New Roman" w:cs="Times New Roman"/>
          <w:bCs/>
          <w:szCs w:val="19"/>
          <w:lang w:eastAsia="pl-PL"/>
        </w:rPr>
        <w:t>).</w:t>
      </w:r>
    </w:p>
    <w:p w:rsidR="00930BB2" w:rsidRPr="00C90651" w:rsidRDefault="0042270A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596BDB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5A1D231D" wp14:editId="2AD8F06B">
                <wp:simplePos x="0" y="0"/>
                <wp:positionH relativeFrom="column">
                  <wp:posOffset>5248631</wp:posOffset>
                </wp:positionH>
                <wp:positionV relativeFrom="paragraph">
                  <wp:posOffset>10008</wp:posOffset>
                </wp:positionV>
                <wp:extent cx="1735455" cy="731520"/>
                <wp:effectExtent l="0" t="0" r="0" b="0"/>
                <wp:wrapTight wrapText="bothSides">
                  <wp:wrapPolygon edited="0">
                    <wp:start x="711" y="0"/>
                    <wp:lineTo x="711" y="20813"/>
                    <wp:lineTo x="20865" y="20813"/>
                    <wp:lineTo x="20865" y="0"/>
                    <wp:lineTo x="711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5160F9" w:rsidRDefault="002463D2" w:rsidP="0042270A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Łączna powierzchnia użytkowa to 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1 084,2 mln m</w:t>
                            </w:r>
                            <w:r w:rsidRPr="0042270A">
                              <w:rPr>
                                <w:vertAlign w:val="superscript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,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a liczba izb to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55,9 mln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D231D" id="_x0000_s1029" type="#_x0000_t202" style="position:absolute;margin-left:413.3pt;margin-top:.8pt;width:136.65pt;height:57.6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GBEQIAAP4DAAAOAAAAZHJzL2Uyb0RvYy54bWysU9tu2zAMfR+wfxD0vjg3r60Rp+jadRjQ&#10;bQW6fQAjy7FQSdQkJXb29aPkNA22t2F+ECiTPOQ5pFbXg9FsL31QaGs+m0w5k1Zgo+y25j++37+7&#10;5CxEsA1otLLmBxn49frtm1XvKjnHDnUjPSMQG6re1byL0VVFEUQnDYQJOmnJ2aI3EOnqt0XjoSd0&#10;o4v5dPq+6NE3zqOQIdDfu9HJ1xm/baWI39o2yMh0zam3mE+fz006i/UKqq0H1ylxbAP+oQsDylLR&#10;E9QdRGA7r/6CMkp4DNjGiUBTYNsqITMHYjOb/sHmqQMnMxcSJ7iTTOH/wYqv+0fPVFPzBWcWDI3o&#10;EbVkUT6HiL1k8yRR70JFkU+OYuPwAQcadaYb3AOK58As3nZgt/LGe+w7CQ21OEuZxVnqiBMSyKb/&#10;gg3Vgl3EDDS03iT9SBFG6DSqw2k8cohMpJIXi3JZlpwJ8l0sZuU8z6+A6iXb+RA/STQsGTX3NP6M&#10;DvuHEFM3UL2EpGIW75XWeQW0ZX3Nr8p5mRPOPEZF2lCtTM0vp+kbdyaR/GibnBxB6dGmAtoeWSei&#10;I+U4bIajxhSfFNlgcyAZPI4LSQ+IjA79L856Wsaah5878JIz/dmSlFez5TJtb74sywsizvy5Z3Pu&#10;ASsIquaRs9G8jXnjR8o3JHmrshqvnRxbpiXLIh0fRNri83uOen22698AAAD//wMAUEsDBBQABgAI&#10;AAAAIQDcDxOO3QAAAAoBAAAPAAAAZHJzL2Rvd25yZXYueG1sTI/NTsMwEITvSLyDtUjcqN0KoiSN&#10;U1VFXEH0B4mbG2+TqPE6it0mvD3bE5x2VzOa/aZYTa4TVxxC60nDfKZAIFXetlRr2O/enlIQIRqy&#10;pvOEGn4wwKq8vytMbv1In3jdxlpwCIXcaGhi7HMpQ9WgM2HmeyTWTn5wJvI51NIOZuRw18mFUol0&#10;piX+0JgeNw1W5+3FaTi8n76/ntVH/epe+tFPSpLLpNaPD9N6CSLiFP/McMNndCiZ6egvZIPoNKSL&#10;JGErCzxuusqyDMSRt3mSgiwL+b9C+QsAAP//AwBQSwECLQAUAAYACAAAACEAtoM4kv4AAADhAQAA&#10;EwAAAAAAAAAAAAAAAAAAAAAAW0NvbnRlbnRfVHlwZXNdLnhtbFBLAQItABQABgAIAAAAIQA4/SH/&#10;1gAAAJQBAAALAAAAAAAAAAAAAAAAAC8BAABfcmVscy8ucmVsc1BLAQItABQABgAIAAAAIQBzlCGB&#10;EQIAAP4DAAAOAAAAAAAAAAAAAAAAAC4CAABkcnMvZTJvRG9jLnhtbFBLAQItABQABgAIAAAAIQDc&#10;DxOO3QAAAAoBAAAPAAAAAAAAAAAAAAAAAGsEAABkcnMvZG93bnJldi54bWxQSwUGAAAAAAQABADz&#10;AAAAdQUAAAAA&#10;" filled="f" stroked="f">
                <v:textbox>
                  <w:txbxContent>
                    <w:p w:rsidR="002463D2" w:rsidRPr="005160F9" w:rsidRDefault="002463D2" w:rsidP="0042270A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Łączna powierzchnia użytkowa to 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1 084,2 mln m</w:t>
                      </w:r>
                      <w:r w:rsidRPr="0042270A">
                        <w:rPr>
                          <w:vertAlign w:val="superscript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,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a liczba izb to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55,9 mln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30BB2" w:rsidRDefault="00930BB2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C90651">
        <w:rPr>
          <w:rFonts w:eastAsia="Times New Roman" w:cs="Times New Roman"/>
          <w:bCs/>
          <w:szCs w:val="19"/>
          <w:lang w:eastAsia="pl-PL"/>
        </w:rPr>
        <w:t xml:space="preserve">W miastach zlokalizowanych było </w:t>
      </w:r>
      <w:r w:rsidR="00B2484E" w:rsidRPr="005160F9">
        <w:rPr>
          <w:rFonts w:eastAsia="Times New Roman" w:cs="Times New Roman"/>
          <w:bCs/>
          <w:szCs w:val="19"/>
          <w:lang w:eastAsia="pl-PL"/>
        </w:rPr>
        <w:t>ponad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9,</w:t>
      </w:r>
      <w:r w:rsidR="006D4787">
        <w:rPr>
          <w:rFonts w:eastAsia="Times New Roman" w:cs="Times New Roman"/>
          <w:bCs/>
          <w:szCs w:val="19"/>
          <w:lang w:eastAsia="pl-PL"/>
        </w:rPr>
        <w:t>9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mln 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mieszkań o powierzchni </w:t>
      </w:r>
      <w:r w:rsidR="00B2484E" w:rsidRPr="005160F9">
        <w:rPr>
          <w:rFonts w:eastAsia="Times New Roman" w:cs="Times New Roman"/>
          <w:bCs/>
          <w:szCs w:val="19"/>
          <w:lang w:eastAsia="pl-PL"/>
        </w:rPr>
        <w:t>637,8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C748E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oraz </w:t>
      </w:r>
      <w:r w:rsidR="00B2484E" w:rsidRPr="005160F9">
        <w:rPr>
          <w:rFonts w:eastAsia="Times New Roman" w:cs="Times New Roman"/>
          <w:bCs/>
          <w:szCs w:val="19"/>
          <w:lang w:eastAsia="pl-PL"/>
        </w:rPr>
        <w:t>35,1</w:t>
      </w:r>
      <w:r w:rsidR="00C748E3">
        <w:rPr>
          <w:rFonts w:eastAsia="Times New Roman" w:cs="Times New Roman"/>
          <w:bCs/>
          <w:szCs w:val="19"/>
          <w:lang w:eastAsia="pl-PL"/>
        </w:rPr>
        <w:t> 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mln 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izb. Na terenach wiejskich znajdowało się </w:t>
      </w:r>
      <w:r w:rsidRPr="005160F9">
        <w:rPr>
          <w:rFonts w:eastAsia="Times New Roman" w:cs="Times New Roman"/>
          <w:bCs/>
          <w:szCs w:val="19"/>
          <w:lang w:eastAsia="pl-PL"/>
        </w:rPr>
        <w:t>4,</w:t>
      </w:r>
      <w:r w:rsidR="00B2484E" w:rsidRPr="005160F9">
        <w:rPr>
          <w:rFonts w:eastAsia="Times New Roman" w:cs="Times New Roman"/>
          <w:bCs/>
          <w:szCs w:val="19"/>
          <w:lang w:eastAsia="pl-PL"/>
        </w:rPr>
        <w:t>8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mln 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mieszkań o powierzchni </w:t>
      </w:r>
      <w:r w:rsidR="00B2484E" w:rsidRPr="005160F9">
        <w:rPr>
          <w:rFonts w:eastAsia="Times New Roman" w:cs="Times New Roman"/>
          <w:bCs/>
          <w:szCs w:val="19"/>
          <w:lang w:eastAsia="pl-PL"/>
        </w:rPr>
        <w:t>446,3</w:t>
      </w:r>
      <w:r w:rsidR="00C748E3">
        <w:rPr>
          <w:rFonts w:eastAsia="Times New Roman" w:cs="Times New Roman"/>
          <w:bCs/>
          <w:szCs w:val="19"/>
          <w:lang w:eastAsia="pl-PL"/>
        </w:rPr>
        <w:t> </w:t>
      </w:r>
      <w:r w:rsidR="00B2484E" w:rsidRPr="005160F9">
        <w:rPr>
          <w:rFonts w:eastAsia="Times New Roman" w:cs="Times New Roman"/>
          <w:bCs/>
          <w:szCs w:val="19"/>
          <w:lang w:eastAsia="pl-PL"/>
        </w:rPr>
        <w:t>mln</w:t>
      </w:r>
      <w:r w:rsidR="00C748E3">
        <w:rPr>
          <w:rFonts w:eastAsia="Times New Roman" w:cs="Times New Roman"/>
          <w:bCs/>
          <w:szCs w:val="19"/>
          <w:lang w:eastAsia="pl-PL"/>
        </w:rPr>
        <w:t> </w:t>
      </w:r>
      <w:r w:rsidRPr="00C90651">
        <w:rPr>
          <w:rFonts w:eastAsia="Times New Roman" w:cs="Times New Roman"/>
          <w:bCs/>
          <w:szCs w:val="19"/>
          <w:lang w:eastAsia="pl-PL"/>
        </w:rPr>
        <w:t>m</w:t>
      </w:r>
      <w:r w:rsidRPr="00C748E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oraz </w:t>
      </w:r>
      <w:r w:rsidRPr="005160F9">
        <w:rPr>
          <w:rFonts w:eastAsia="Times New Roman" w:cs="Times New Roman"/>
          <w:bCs/>
          <w:szCs w:val="19"/>
          <w:lang w:eastAsia="pl-PL"/>
        </w:rPr>
        <w:t>20,</w:t>
      </w:r>
      <w:r w:rsidR="00B2484E" w:rsidRPr="005160F9">
        <w:rPr>
          <w:rFonts w:eastAsia="Times New Roman" w:cs="Times New Roman"/>
          <w:bCs/>
          <w:szCs w:val="19"/>
          <w:lang w:eastAsia="pl-PL"/>
        </w:rPr>
        <w:t>7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mln 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izb. W miastach liczba mieszkań wzrosła o </w:t>
      </w:r>
      <w:r w:rsidR="000F5453" w:rsidRPr="005160F9">
        <w:rPr>
          <w:rFonts w:eastAsia="Times New Roman" w:cs="Times New Roman"/>
          <w:bCs/>
          <w:szCs w:val="19"/>
          <w:lang w:eastAsia="pl-PL"/>
        </w:rPr>
        <w:t>125,1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tys. </w:t>
      </w:r>
      <w:r w:rsidRPr="00C90651">
        <w:rPr>
          <w:rFonts w:eastAsia="Times New Roman" w:cs="Times New Roman"/>
          <w:bCs/>
          <w:szCs w:val="19"/>
          <w:lang w:eastAsia="pl-PL"/>
        </w:rPr>
        <w:t>(</w:t>
      </w:r>
      <w:r w:rsidRPr="005160F9">
        <w:rPr>
          <w:rFonts w:eastAsia="Times New Roman" w:cs="Times New Roman"/>
          <w:bCs/>
          <w:szCs w:val="19"/>
          <w:lang w:eastAsia="pl-PL"/>
        </w:rPr>
        <w:t>1,</w:t>
      </w:r>
      <w:r w:rsidR="000F5453" w:rsidRPr="005160F9">
        <w:rPr>
          <w:rFonts w:eastAsia="Times New Roman" w:cs="Times New Roman"/>
          <w:bCs/>
          <w:szCs w:val="19"/>
          <w:lang w:eastAsia="pl-PL"/>
        </w:rPr>
        <w:t>3</w:t>
      </w:r>
      <w:r w:rsidRPr="005160F9">
        <w:rPr>
          <w:rFonts w:eastAsia="Times New Roman" w:cs="Times New Roman"/>
          <w:bCs/>
          <w:szCs w:val="19"/>
          <w:lang w:eastAsia="pl-PL"/>
        </w:rPr>
        <w:t>%</w:t>
      </w:r>
      <w:r w:rsidRPr="00C90651">
        <w:rPr>
          <w:rFonts w:eastAsia="Times New Roman" w:cs="Times New Roman"/>
          <w:bCs/>
          <w:szCs w:val="19"/>
          <w:lang w:eastAsia="pl-PL"/>
        </w:rPr>
        <w:t>), natomiast na</w:t>
      </w:r>
      <w:r w:rsidR="00DA1979">
        <w:rPr>
          <w:rFonts w:eastAsia="Times New Roman" w:cs="Times New Roman"/>
          <w:bCs/>
          <w:szCs w:val="19"/>
          <w:lang w:eastAsia="pl-PL"/>
        </w:rPr>
        <w:t> 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terenach wiejskich przybyło ich </w:t>
      </w:r>
      <w:r w:rsidR="000F5453" w:rsidRPr="005160F9">
        <w:rPr>
          <w:rFonts w:eastAsia="Times New Roman" w:cs="Times New Roman"/>
          <w:bCs/>
          <w:szCs w:val="19"/>
          <w:lang w:eastAsia="pl-PL"/>
        </w:rPr>
        <w:t>50,2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tys. </w:t>
      </w:r>
      <w:r w:rsidRPr="00C90651">
        <w:rPr>
          <w:rFonts w:eastAsia="Times New Roman" w:cs="Times New Roman"/>
          <w:bCs/>
          <w:szCs w:val="19"/>
          <w:lang w:eastAsia="pl-PL"/>
        </w:rPr>
        <w:t>(</w:t>
      </w:r>
      <w:r w:rsidR="00625167" w:rsidRPr="005160F9">
        <w:rPr>
          <w:rFonts w:eastAsia="Times New Roman" w:cs="Times New Roman"/>
          <w:bCs/>
          <w:szCs w:val="19"/>
          <w:lang w:eastAsia="pl-PL"/>
        </w:rPr>
        <w:t>1,1%</w:t>
      </w:r>
      <w:r w:rsidR="00625167">
        <w:rPr>
          <w:rFonts w:eastAsia="Times New Roman" w:cs="Times New Roman"/>
          <w:bCs/>
          <w:szCs w:val="19"/>
          <w:lang w:eastAsia="pl-PL"/>
        </w:rPr>
        <w:t>)</w:t>
      </w:r>
      <w:r w:rsidRPr="00C90651">
        <w:rPr>
          <w:rFonts w:eastAsia="Times New Roman" w:cs="Times New Roman"/>
          <w:bCs/>
          <w:szCs w:val="19"/>
          <w:lang w:eastAsia="pl-PL"/>
        </w:rPr>
        <w:t>.</w:t>
      </w:r>
    </w:p>
    <w:p w:rsidR="00947365" w:rsidRDefault="00947365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0300FB" w:rsidRDefault="000300FB" w:rsidP="000300FB">
      <w:pPr>
        <w:spacing w:before="0" w:after="0"/>
        <w:rPr>
          <w:b/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>
        <w:rPr>
          <w:b/>
          <w:spacing w:val="-2"/>
          <w:sz w:val="18"/>
        </w:rPr>
        <w:t>1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 xml:space="preserve">Zasoby mieszkaniowe (stan </w:t>
      </w:r>
      <w:r w:rsidR="00320AAB">
        <w:rPr>
          <w:b/>
          <w:spacing w:val="-2"/>
          <w:sz w:val="18"/>
        </w:rPr>
        <w:t>na</w:t>
      </w:r>
      <w:r w:rsidR="00DF3119">
        <w:rPr>
          <w:b/>
          <w:spacing w:val="-2"/>
          <w:sz w:val="18"/>
        </w:rPr>
        <w:t xml:space="preserve"> 31.12</w:t>
      </w:r>
      <w:r>
        <w:rPr>
          <w:b/>
          <w:spacing w:val="-2"/>
          <w:sz w:val="18"/>
        </w:rPr>
        <w:t>)</w:t>
      </w:r>
    </w:p>
    <w:p w:rsidR="00093FCD" w:rsidRPr="005160F9" w:rsidRDefault="00093FCD" w:rsidP="00093FCD">
      <w:pPr>
        <w:spacing w:before="0" w:after="0" w:line="240" w:lineRule="auto"/>
        <w:rPr>
          <w:spacing w:val="-2"/>
          <w:szCs w:val="19"/>
        </w:rPr>
      </w:pPr>
    </w:p>
    <w:tbl>
      <w:tblPr>
        <w:tblW w:w="7933" w:type="dxa"/>
        <w:tblBorders>
          <w:insideH w:val="single" w:sz="2" w:space="0" w:color="001D77"/>
          <w:insideV w:val="single" w:sz="2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134"/>
        <w:gridCol w:w="1134"/>
      </w:tblGrid>
      <w:tr w:rsidR="0097136B" w:rsidRPr="0097136B" w:rsidTr="006D4787">
        <w:trPr>
          <w:trHeight w:val="300"/>
        </w:trPr>
        <w:tc>
          <w:tcPr>
            <w:tcW w:w="3397" w:type="dxa"/>
            <w:tcBorders>
              <w:top w:val="nil"/>
              <w:bottom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C51A3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4" w:type="dxa"/>
            <w:tcBorders>
              <w:top w:val="nil"/>
              <w:bottom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bottom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2016</w:t>
            </w:r>
            <w:r w:rsidR="0042270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42270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bottom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134" w:type="dxa"/>
            <w:tcBorders>
              <w:top w:val="nil"/>
              <w:bottom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  <w:r w:rsidR="0042270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42270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</w:tr>
      <w:tr w:rsidR="0097136B" w:rsidRPr="0097136B" w:rsidTr="006D4787">
        <w:trPr>
          <w:trHeight w:val="300"/>
        </w:trPr>
        <w:tc>
          <w:tcPr>
            <w:tcW w:w="3397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Mieszkania w tys.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14 439,8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14 615,1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</w:tr>
      <w:tr w:rsidR="0097136B" w:rsidRPr="0097136B" w:rsidTr="006D4787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Izby w mieszkaniach w tys.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55 205,6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55 874,3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</w:tr>
      <w:tr w:rsidR="0097136B" w:rsidRPr="0097136B" w:rsidTr="006D4787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42270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Powierzchnia użytkowa mieszkań w tys. m</w:t>
            </w:r>
            <w:r w:rsidRPr="0097136B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1 068 557,5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1 084 166,5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101,5</w:t>
            </w:r>
          </w:p>
        </w:tc>
      </w:tr>
      <w:tr w:rsidR="0097136B" w:rsidRPr="0097136B" w:rsidTr="006D4787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Mieszkania na 1</w:t>
            </w:r>
            <w:r w:rsidR="002463D2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000 ludności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375,7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380,5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</w:tr>
      <w:tr w:rsidR="0097136B" w:rsidRPr="0097136B" w:rsidTr="009D50CA">
        <w:trPr>
          <w:trHeight w:val="300"/>
        </w:trPr>
        <w:tc>
          <w:tcPr>
            <w:tcW w:w="339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Przeciętna w zasobach mieszkaniowych: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97136B" w:rsidRPr="0097136B" w:rsidTr="009D50CA">
        <w:trPr>
          <w:trHeight w:val="300"/>
        </w:trPr>
        <w:tc>
          <w:tcPr>
            <w:tcW w:w="3397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42270A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liczba izb w mieszkaniu</w:t>
            </w:r>
          </w:p>
        </w:tc>
        <w:tc>
          <w:tcPr>
            <w:tcW w:w="1134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3,82</w:t>
            </w:r>
          </w:p>
        </w:tc>
        <w:tc>
          <w:tcPr>
            <w:tcW w:w="1134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3,82</w:t>
            </w:r>
          </w:p>
        </w:tc>
        <w:tc>
          <w:tcPr>
            <w:tcW w:w="1134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</w:tr>
      <w:tr w:rsidR="0097136B" w:rsidRPr="0097136B" w:rsidTr="009D50CA">
        <w:trPr>
          <w:trHeight w:val="300"/>
        </w:trPr>
        <w:tc>
          <w:tcPr>
            <w:tcW w:w="3397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42270A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powierzchnia użytkowa w m</w:t>
            </w:r>
            <w:r w:rsidRPr="0097136B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97136B" w:rsidRPr="0097136B" w:rsidTr="009D50CA">
        <w:trPr>
          <w:trHeight w:val="300"/>
        </w:trPr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42270A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 mieszkania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74</w:t>
            </w:r>
            <w:r w:rsidR="001A47DD">
              <w:rPr>
                <w:rFonts w:eastAsia="Times New Roman" w:cs="Calibri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74,2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100,3</w:t>
            </w:r>
          </w:p>
        </w:tc>
      </w:tr>
      <w:tr w:rsidR="0097136B" w:rsidRPr="0097136B" w:rsidTr="009D50CA">
        <w:trPr>
          <w:trHeight w:val="300"/>
        </w:trPr>
        <w:tc>
          <w:tcPr>
            <w:tcW w:w="3397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42270A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na 1 osobę</w:t>
            </w:r>
          </w:p>
        </w:tc>
        <w:tc>
          <w:tcPr>
            <w:tcW w:w="1134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27,8</w:t>
            </w:r>
          </w:p>
        </w:tc>
        <w:tc>
          <w:tcPr>
            <w:tcW w:w="1134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34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28,2</w:t>
            </w:r>
          </w:p>
        </w:tc>
        <w:tc>
          <w:tcPr>
            <w:tcW w:w="1134" w:type="dxa"/>
            <w:tcBorders>
              <w:top w:val="nil"/>
              <w:bottom w:val="single" w:sz="2" w:space="0" w:color="001D77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</w:tr>
      <w:tr w:rsidR="0097136B" w:rsidRPr="0097136B" w:rsidTr="009D50CA">
        <w:trPr>
          <w:trHeight w:val="300"/>
        </w:trPr>
        <w:tc>
          <w:tcPr>
            <w:tcW w:w="3397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42270A" w:rsidP="0042270A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l</w:t>
            </w:r>
            <w:r w:rsidR="008135BB" w:rsidRPr="0097136B">
              <w:rPr>
                <w:rFonts w:eastAsia="Times New Roman" w:cs="Calibri"/>
                <w:sz w:val="16"/>
                <w:szCs w:val="16"/>
                <w:lang w:eastAsia="pl-PL"/>
              </w:rPr>
              <w:t>iczba osób na:</w:t>
            </w:r>
          </w:p>
        </w:tc>
        <w:tc>
          <w:tcPr>
            <w:tcW w:w="1134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97136B" w:rsidRPr="0097136B" w:rsidTr="009D50CA">
        <w:trPr>
          <w:trHeight w:val="300"/>
        </w:trPr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42270A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 mieszkanie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2,66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2,63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98,9</w:t>
            </w:r>
          </w:p>
        </w:tc>
      </w:tr>
      <w:tr w:rsidR="0097136B" w:rsidRPr="0097136B" w:rsidTr="009D50CA">
        <w:trPr>
          <w:trHeight w:val="300"/>
        </w:trPr>
        <w:tc>
          <w:tcPr>
            <w:tcW w:w="33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42270A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 izbę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0,70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8135BB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 w:rsidR="006D4787">
              <w:rPr>
                <w:rFonts w:eastAsia="Times New Roman" w:cs="Calibri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135BB" w:rsidRPr="0097136B" w:rsidRDefault="0042270A" w:rsidP="009329F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98,6</w:t>
            </w:r>
          </w:p>
        </w:tc>
      </w:tr>
    </w:tbl>
    <w:p w:rsidR="00B45508" w:rsidRDefault="0042270A" w:rsidP="00B45508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513E52AA" wp14:editId="5EF62F94">
                <wp:simplePos x="0" y="0"/>
                <wp:positionH relativeFrom="rightMargin">
                  <wp:posOffset>27940</wp:posOffset>
                </wp:positionH>
                <wp:positionV relativeFrom="paragraph">
                  <wp:posOffset>7620</wp:posOffset>
                </wp:positionV>
                <wp:extent cx="1666875" cy="667385"/>
                <wp:effectExtent l="0" t="0" r="0" b="0"/>
                <wp:wrapTight wrapText="bothSides">
                  <wp:wrapPolygon edited="0">
                    <wp:start x="741" y="0"/>
                    <wp:lineTo x="741" y="20963"/>
                    <wp:lineTo x="20736" y="20963"/>
                    <wp:lineTo x="20736" y="0"/>
                    <wp:lineTo x="741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B45508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warunki mieszkaniowe ulegają nieznacznej poprawie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52AA" id="_x0000_s1030" type="#_x0000_t202" style="position:absolute;margin-left:2.2pt;margin-top:.6pt;width:131.25pt;height:52.5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n6EgIAAP4DAAAOAAAAZHJzL2Uyb0RvYy54bWysU8FuGyEQvVfqPyDu9dquvXZWxlGaNFWl&#10;tI2U9AMwy3pRgKGAvet+fQbWdq3mVnUPCHaYN/PePFbXvdFkL31QYBmdjMaUSCugVnbL6M/n+w9L&#10;SkLktuYarGT0IAO9Xr9/t+pcJafQgq6lJwhiQ9U5RtsYXVUUQbTS8DACJy0GG/CGRzz6bVF73iG6&#10;0cV0PC6LDnztPAgZAv69G4J0nfGbRor4o2mCjEQzir3FvPq8btJarFe82nruWiWObfB/6MJwZbHo&#10;GeqOR052Xr2BMkp4CNDEkQBTQNMoITMHZDMZ/8XmqeVOZi4oTnBnmcL/gxXf94+eqJrRBSWWGxzR&#10;I2hJonwJETpJpkmizoUKbz45vBv7T9DjqDPd4B5AvARi4bblditvvIeulbzGFicps7hIHXBCAtl0&#10;36DGWnwXIQP1jTdJP1SEIDqO6nAej+wjEalkWZbLxZwSgbGyXHxcznMJXp2ynQ/xiwRD0oZRj+PP&#10;6Hz/EGLqhlenK6mYhXuldbaAtqRj9Go+neeEi4hRER2qlWF0OU7f4JlE8rOtc3LkSg97LKDtkXUi&#10;OlCO/abPGs9OYm6gPqAMHgZD4gPCTQv+NyUdmpHR8GvHvaREf7Uo5dVkNkvuzYfZfDHFg7+MbC4j&#10;3AqEYjRSMmxvY3b8QPkGJW9UViPNZujk2DKaLIt0fBDJxZfnfOvPs12/AgAA//8DAFBLAwQUAAYA&#10;CAAAACEAWnBxAtkAAAAHAQAADwAAAGRycy9kb3ducmV2LnhtbEyOy07DMBBF90j8gzVI7KhNCBEN&#10;cSoEYguiPCR203iaRMTjKHab8PcMK1jeh+491WbxgzrSFPvAFi5XBhRxE1zPrYW318eLG1AxITsc&#10;ApOFb4qwqU9PKixdmPmFjtvUKhnhWKKFLqWx1Do2HXmMqzASS7YPk8ckcmq1m3CWcT/ozJhCe+xZ&#10;Hjoc6b6j5mt78Bben/afH7l5bh/89TiHxWj2a23t+dlydwsq0ZL+yvCLL+hQC9MuHNhFNVjIcymK&#10;nYGSNCuKNaidaFNcga4r/Z+//gEAAP//AwBQSwECLQAUAAYACAAAACEAtoM4kv4AAADhAQAAEwAA&#10;AAAAAAAAAAAAAAAAAAAAW0NvbnRlbnRfVHlwZXNdLnhtbFBLAQItABQABgAIAAAAIQA4/SH/1gAA&#10;AJQBAAALAAAAAAAAAAAAAAAAAC8BAABfcmVscy8ucmVsc1BLAQItABQABgAIAAAAIQDvOJn6EgIA&#10;AP4DAAAOAAAAAAAAAAAAAAAAAC4CAABkcnMvZTJvRG9jLnhtbFBLAQItABQABgAIAAAAIQBacHEC&#10;2QAAAAcBAAAPAAAAAAAAAAAAAAAAAGwEAABkcnMvZG93bnJldi54bWxQSwUGAAAAAAQABADzAAAA&#10;cgUAAAAA&#10;" filled="f" stroked="f">
                <v:textbox>
                  <w:txbxContent>
                    <w:p w:rsidR="002463D2" w:rsidRPr="00074DD8" w:rsidRDefault="002463D2" w:rsidP="00B45508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warunki mieszkaniowe ulegają nieznacznej poprawie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B45508" w:rsidRPr="005160F9" w:rsidRDefault="00B45508" w:rsidP="00B45508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5160F9">
        <w:rPr>
          <w:rFonts w:eastAsia="Times New Roman" w:cs="Times New Roman"/>
          <w:bCs/>
          <w:szCs w:val="19"/>
          <w:lang w:eastAsia="pl-PL"/>
        </w:rPr>
        <w:t>W 2018 r. warunki mieszkaniowe w Polsce uległy nieznacznej poprawie w porównaniu do poprzednich lat. Według stanu na 31 grudnia 2018 r. przeciętna liczba izb przypadająca na 1</w:t>
      </w:r>
      <w:r w:rsidR="00C748E3">
        <w:rPr>
          <w:rFonts w:eastAsia="Times New Roman" w:cs="Times New Roman"/>
          <w:bCs/>
          <w:szCs w:val="19"/>
          <w:lang w:eastAsia="pl-PL"/>
        </w:rPr>
        <w:t> 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mieszkanie wyniosła 3,82, w tym w miastach 3,56, a na obszarach wiejskich 4,36. Średnia 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wielkość mieszkania </w:t>
      </w:r>
      <w:r>
        <w:rPr>
          <w:rFonts w:eastAsia="Times New Roman" w:cs="Times New Roman"/>
          <w:bCs/>
          <w:szCs w:val="19"/>
          <w:lang w:eastAsia="pl-PL"/>
        </w:rPr>
        <w:t>natomiast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wynosiła </w:t>
      </w:r>
      <w:r w:rsidRPr="0095719E">
        <w:rPr>
          <w:rFonts w:eastAsia="Times New Roman" w:cs="Times New Roman"/>
          <w:bCs/>
          <w:szCs w:val="19"/>
          <w:lang w:eastAsia="pl-PL"/>
        </w:rPr>
        <w:t>74,2 m</w:t>
      </w:r>
      <w:r w:rsidRPr="0095719E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95719E">
        <w:rPr>
          <w:rFonts w:eastAsia="Times New Roman" w:cs="Times New Roman"/>
          <w:bCs/>
          <w:szCs w:val="19"/>
          <w:lang w:eastAsia="pl-PL"/>
        </w:rPr>
        <w:t xml:space="preserve"> i wzrosła o 0,2 m</w:t>
      </w:r>
      <w:r w:rsidRPr="0095719E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95719E">
        <w:rPr>
          <w:rFonts w:eastAsia="Times New Roman" w:cs="Times New Roman"/>
          <w:bCs/>
          <w:szCs w:val="19"/>
          <w:lang w:eastAsia="pl-PL"/>
        </w:rPr>
        <w:t xml:space="preserve"> w porównaniu 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z rokiem poprzednim. </w:t>
      </w:r>
      <w:r w:rsidRPr="005160F9">
        <w:rPr>
          <w:rFonts w:eastAsia="Times New Roman" w:cs="Times New Roman"/>
          <w:bCs/>
          <w:szCs w:val="19"/>
          <w:lang w:eastAsia="pl-PL"/>
        </w:rPr>
        <w:t>Mieszkania na obszarach wiejskich były średnio o 29,3 m</w:t>
      </w:r>
      <w:r w:rsidRPr="005160F9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większe niż na terenach miast (odpowiednie wskaźniki wynoszą dla obszarów wiejskich – 94,0 m</w:t>
      </w:r>
      <w:r w:rsidRPr="005160F9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>, a dla miast – 64,7 m</w:t>
      </w:r>
      <w:r w:rsidRPr="005160F9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>).</w:t>
      </w:r>
    </w:p>
    <w:p w:rsidR="00B45508" w:rsidRDefault="00B45508" w:rsidP="00B45508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5160F9">
        <w:rPr>
          <w:rFonts w:eastAsia="Times New Roman" w:cs="Times New Roman"/>
          <w:bCs/>
          <w:szCs w:val="19"/>
          <w:lang w:eastAsia="pl-PL"/>
        </w:rPr>
        <w:t>W 2018 r. przeciętna powierzchnia użytkowa przypadająca na 1 osobę wzrosła w porównaniu z rokiem poprzednim o 0,4 m</w:t>
      </w:r>
      <w:r w:rsidRPr="005160F9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i wyniosła 28,2 m</w:t>
      </w:r>
      <w:r w:rsidRPr="005160F9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(w miastach wzrosła z 27,2 m</w:t>
      </w:r>
      <w:r w:rsidRPr="005160F9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do 27,7 m</w:t>
      </w:r>
      <w:r w:rsidRPr="005160F9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>, a na wsi z 28,7 m</w:t>
      </w:r>
      <w:r w:rsidRPr="005160F9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 do 29,1 m</w:t>
      </w:r>
      <w:r w:rsidRPr="005160F9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160F9">
        <w:rPr>
          <w:rFonts w:eastAsia="Times New Roman" w:cs="Times New Roman"/>
          <w:bCs/>
          <w:szCs w:val="19"/>
          <w:lang w:eastAsia="pl-PL"/>
        </w:rPr>
        <w:t xml:space="preserve">). </w:t>
      </w:r>
      <w:r w:rsidRPr="005160F9">
        <w:t xml:space="preserve">Dysproporcje pomiędzy miastami a obszarami wiejskimi dotyczyły również stopnia zaludnienia mieszkań. Mieszkania wiejskie były bardziej zaludnione od mieszkań miejskich. Na 1 mieszkanie w miastach przypadało przeciętnie 2,34 osoby, zaś na </w:t>
      </w:r>
      <w:r w:rsidRPr="005160F9">
        <w:lastRenderedPageBreak/>
        <w:t>obszarach wiejskich 3,23</w:t>
      </w:r>
      <w:r w:rsidR="002463D2">
        <w:t>,</w:t>
      </w:r>
      <w:r w:rsidRPr="005160F9">
        <w:t xml:space="preserve"> przy przeciętnej dla Polski 2,63. </w:t>
      </w:r>
      <w:r w:rsidRPr="005160F9">
        <w:rPr>
          <w:rFonts w:eastAsia="Times New Roman" w:cs="Times New Roman"/>
          <w:bCs/>
          <w:szCs w:val="19"/>
          <w:lang w:eastAsia="pl-PL"/>
        </w:rPr>
        <w:t>Kolejnym wskaźnikiem przedstawiającym gęstość zaludnienia mieszkań jest przeciętna liczba osób na 1 izbę. Wskaźnik ten dla Polski kształtował się na poziomie 0,69, przy czym na obszarach wiejskich był wyższy i</w:t>
      </w:r>
      <w:r w:rsidR="00C748E3">
        <w:rPr>
          <w:rFonts w:eastAsia="Times New Roman" w:cs="Times New Roman"/>
          <w:bCs/>
          <w:szCs w:val="19"/>
          <w:lang w:eastAsia="pl-PL"/>
        </w:rPr>
        <w:t> </w:t>
      </w:r>
      <w:r w:rsidRPr="005160F9">
        <w:rPr>
          <w:rFonts w:eastAsia="Times New Roman" w:cs="Times New Roman"/>
          <w:bCs/>
          <w:szCs w:val="19"/>
          <w:lang w:eastAsia="pl-PL"/>
        </w:rPr>
        <w:t>wyniósł 0,74, a dla miast – 0,66 osoby na 1 izbę</w:t>
      </w:r>
      <w:r w:rsidRPr="000300FB">
        <w:rPr>
          <w:rFonts w:eastAsia="Times New Roman" w:cs="Times New Roman"/>
          <w:bCs/>
          <w:szCs w:val="19"/>
          <w:lang w:eastAsia="pl-PL"/>
        </w:rPr>
        <w:t>.</w:t>
      </w:r>
    </w:p>
    <w:p w:rsidR="00D77650" w:rsidRPr="0097136B" w:rsidRDefault="0042270A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47A86875" wp14:editId="22BC356F">
                <wp:simplePos x="0" y="0"/>
                <wp:positionH relativeFrom="rightMargin">
                  <wp:posOffset>0</wp:posOffset>
                </wp:positionH>
                <wp:positionV relativeFrom="paragraph">
                  <wp:posOffset>7239</wp:posOffset>
                </wp:positionV>
                <wp:extent cx="1666875" cy="791210"/>
                <wp:effectExtent l="0" t="0" r="0" b="0"/>
                <wp:wrapTight wrapText="bothSides">
                  <wp:wrapPolygon edited="0">
                    <wp:start x="741" y="0"/>
                    <wp:lineTo x="741" y="20803"/>
                    <wp:lineTo x="20736" y="20803"/>
                    <wp:lineTo x="20736" y="0"/>
                    <wp:lineTo x="741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A9201B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 xml:space="preserve">2018 r.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wzrosła liczba mieszkań wyposażonych w instalacje sanitarno-techniczne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6875" id="_x0000_s1031" type="#_x0000_t202" style="position:absolute;margin-left:0;margin-top:.55pt;width:131.25pt;height:62.3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CVEAIAAP4DAAAOAAAAZHJzL2Uyb0RvYy54bWysU9tu2zAMfR+wfxD0vjg2cjWiFF27DgO6&#10;rkC3D1BkORYqiZqkxs6+fpScpsH2NswPgmiShzyH1OZqMJocpA8KLKPlZEqJtAIaZfeM/vh+92FF&#10;SYjcNlyDlYweZaBX2/fvNr2rZQUd6EZ6giA21L1jtIvR1UURRCcNDxNw0qKzBW94RNPvi8bzHtGN&#10;LqrpdFH04BvnQcgQ8O/t6KTbjN+2UsRvbRtkJJpR7C3m0+dzl85iu+H13nPXKXFqg/9DF4Yri0XP&#10;ULc8cvLi1V9QRgkPAdo4EWAKaFslZOaAbMrpH2yeOu5k5oLiBHeWKfw/WPFwePRENYzOKbHc4Ige&#10;QUsS5XOI0EtSJYl6F2qMfHIYG4ePMOCoM93g7kE8B2LhpuN2L6+9h76TvMEWy5RZXKSOOCGB7Pqv&#10;0GAt/hIhAw2tN0k/VIQgOo7qeB6PHCIRqeRisVgtsU+BvuW6rMo8v4LXr9nOh/hZgiHpwqjH8Wd0&#10;frgPMXXD69eQVMzCndI6r4C2pGd0Pa/mOeHCY1TEDdXKMLqapm/cmUTyk21ycuRKj3csoO2JdSI6&#10;Uo7DbjhpjPFJkR00R5TBw7iQ+IDw0oH/RUmPy8ho+PnCvaREf7Eo5bqczdL2ZmM2X1Zo+EvP7tLD&#10;rUAoRiMl4/Um5o0fKV+j5K3Karx1cmoZlyyLdHoQaYsv7Rz19my3vwEAAP//AwBQSwMEFAAGAAgA&#10;AAAhAOfodcXaAAAABgEAAA8AAABkcnMvZG93bnJldi54bWxMj8FOwzAQRO9I/IO1SNyo3YgUCHEq&#10;BOIKokCl3rbxNomI11HsNuHvWU5wnJ3VzJtyPftenWiMXWALy4UBRVwH13Fj4eP9+eoWVEzIDvvA&#10;ZOGbIqyr87MSCxcmfqPTJjVKQjgWaKFNaSi0jnVLHuMiDMTiHcLoMYkcG+1GnCTc9zozZqU9diwN&#10;LQ702FL9tTl6C58vh9322rw2Tz4fpjAbzf5OW3t5MT/cg0o0p79n+MUXdKiEaR+O7KLqLciQJNcl&#10;KDGzVZaD2ovO8hvQVan/41c/AAAA//8DAFBLAQItABQABgAIAAAAIQC2gziS/gAAAOEBAAATAAAA&#10;AAAAAAAAAAAAAAAAAABbQ29udGVudF9UeXBlc10ueG1sUEsBAi0AFAAGAAgAAAAhADj9If/WAAAA&#10;lAEAAAsAAAAAAAAAAAAAAAAALwEAAF9yZWxzLy5yZWxzUEsBAi0AFAAGAAgAAAAhAA9kgJUQAgAA&#10;/gMAAA4AAAAAAAAAAAAAAAAALgIAAGRycy9lMm9Eb2MueG1sUEsBAi0AFAAGAAgAAAAhAOfodcXa&#10;AAAABgEAAA8AAAAAAAAAAAAAAAAAagQAAGRycy9kb3ducmV2LnhtbFBLBQYAAAAABAAEAPMAAABx&#10;BQAAAAA=&#10;" filled="f" stroked="f">
                <v:textbox>
                  <w:txbxContent>
                    <w:p w:rsidR="002463D2" w:rsidRPr="00074DD8" w:rsidRDefault="002463D2" w:rsidP="00A9201B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 xml:space="preserve">2018 r.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wzrosła liczba mieszkań wyposażonych w instalacje sanitarno-techniczne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A4300" w:rsidRPr="00F63D80" w:rsidRDefault="00A7403E" w:rsidP="002A430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F63D80">
        <w:rPr>
          <w:rFonts w:eastAsia="Times New Roman" w:cs="Times New Roman"/>
          <w:bCs/>
          <w:szCs w:val="19"/>
          <w:lang w:eastAsia="pl-PL"/>
        </w:rPr>
        <w:t>Na poprawę warunków mieszkaniowych ludności wskazuje również r</w:t>
      </w:r>
      <w:r w:rsidR="002A4300" w:rsidRPr="00F63D80">
        <w:rPr>
          <w:rFonts w:eastAsia="Times New Roman" w:cs="Times New Roman"/>
          <w:bCs/>
          <w:szCs w:val="19"/>
          <w:lang w:eastAsia="pl-PL"/>
        </w:rPr>
        <w:t>osnący odsetek mieszkań wyposażonych w</w:t>
      </w:r>
      <w:r w:rsidR="00496EE1" w:rsidRPr="00F63D80">
        <w:rPr>
          <w:rFonts w:eastAsia="Times New Roman" w:cs="Times New Roman"/>
          <w:bCs/>
          <w:szCs w:val="19"/>
          <w:lang w:eastAsia="pl-PL"/>
        </w:rPr>
        <w:t> </w:t>
      </w:r>
      <w:r w:rsidR="002A4300" w:rsidRPr="00F63D80">
        <w:rPr>
          <w:rFonts w:eastAsia="Times New Roman" w:cs="Times New Roman"/>
          <w:bCs/>
          <w:szCs w:val="19"/>
          <w:lang w:eastAsia="pl-PL"/>
        </w:rPr>
        <w:t>instalacje techniczno-sanitarne.</w:t>
      </w:r>
    </w:p>
    <w:p w:rsidR="002A4300" w:rsidRPr="00F63D80" w:rsidRDefault="002A4300" w:rsidP="002A430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F63D80">
        <w:rPr>
          <w:rFonts w:eastAsia="Times New Roman" w:cs="Times New Roman"/>
          <w:bCs/>
          <w:szCs w:val="19"/>
          <w:lang w:eastAsia="pl-PL"/>
        </w:rPr>
        <w:t>W wodociąg wyposażonych było 96,</w:t>
      </w:r>
      <w:r w:rsidR="00F63D80" w:rsidRPr="00F63D80">
        <w:rPr>
          <w:rFonts w:eastAsia="Times New Roman" w:cs="Times New Roman"/>
          <w:bCs/>
          <w:szCs w:val="19"/>
          <w:lang w:eastAsia="pl-PL"/>
        </w:rPr>
        <w:t>9</w:t>
      </w:r>
      <w:r w:rsidRPr="00F63D80">
        <w:rPr>
          <w:rFonts w:eastAsia="Times New Roman" w:cs="Times New Roman"/>
          <w:bCs/>
          <w:szCs w:val="19"/>
          <w:lang w:eastAsia="pl-PL"/>
        </w:rPr>
        <w:t xml:space="preserve">% mieszkań, w ustęp </w:t>
      </w:r>
      <w:r w:rsidR="00395C05" w:rsidRPr="00F63D80">
        <w:rPr>
          <w:rFonts w:eastAsia="Times New Roman" w:cs="Times New Roman"/>
          <w:bCs/>
          <w:szCs w:val="19"/>
          <w:lang w:eastAsia="pl-PL"/>
        </w:rPr>
        <w:t xml:space="preserve">– </w:t>
      </w:r>
      <w:r w:rsidRPr="00F63D80">
        <w:rPr>
          <w:rFonts w:eastAsia="Times New Roman" w:cs="Times New Roman"/>
          <w:bCs/>
          <w:szCs w:val="19"/>
          <w:lang w:eastAsia="pl-PL"/>
        </w:rPr>
        <w:t>93,</w:t>
      </w:r>
      <w:r w:rsidR="00F63D80" w:rsidRPr="00F63D80">
        <w:rPr>
          <w:rFonts w:eastAsia="Times New Roman" w:cs="Times New Roman"/>
          <w:bCs/>
          <w:szCs w:val="19"/>
          <w:lang w:eastAsia="pl-PL"/>
        </w:rPr>
        <w:t>8</w:t>
      </w:r>
      <w:r w:rsidR="002463D2">
        <w:rPr>
          <w:rFonts w:eastAsia="Times New Roman" w:cs="Times New Roman"/>
          <w:bCs/>
          <w:szCs w:val="19"/>
          <w:lang w:eastAsia="pl-PL"/>
        </w:rPr>
        <w:t xml:space="preserve">%, a w </w:t>
      </w:r>
      <w:r w:rsidRPr="00F63D80">
        <w:rPr>
          <w:rFonts w:eastAsia="Times New Roman" w:cs="Times New Roman"/>
          <w:bCs/>
          <w:szCs w:val="19"/>
          <w:lang w:eastAsia="pl-PL"/>
        </w:rPr>
        <w:t xml:space="preserve">łazienkę </w:t>
      </w:r>
      <w:r w:rsidR="00395C05" w:rsidRPr="00F63D80">
        <w:rPr>
          <w:rFonts w:eastAsia="Times New Roman" w:cs="Times New Roman"/>
          <w:bCs/>
          <w:szCs w:val="19"/>
          <w:lang w:eastAsia="pl-PL"/>
        </w:rPr>
        <w:t xml:space="preserve">– </w:t>
      </w:r>
      <w:r w:rsidRPr="00F63D80">
        <w:rPr>
          <w:rFonts w:eastAsia="Times New Roman" w:cs="Times New Roman"/>
          <w:bCs/>
          <w:szCs w:val="19"/>
          <w:lang w:eastAsia="pl-PL"/>
        </w:rPr>
        <w:t>91,</w:t>
      </w:r>
      <w:r w:rsidR="00F63D80" w:rsidRPr="00F63D80">
        <w:rPr>
          <w:rFonts w:eastAsia="Times New Roman" w:cs="Times New Roman"/>
          <w:bCs/>
          <w:szCs w:val="19"/>
          <w:lang w:eastAsia="pl-PL"/>
        </w:rPr>
        <w:t>5</w:t>
      </w:r>
      <w:r w:rsidRPr="00F63D80">
        <w:rPr>
          <w:rFonts w:eastAsia="Times New Roman" w:cs="Times New Roman"/>
          <w:bCs/>
          <w:szCs w:val="19"/>
          <w:lang w:eastAsia="pl-PL"/>
        </w:rPr>
        <w:t>%. Instalacja gazowa natomiast podłączo</w:t>
      </w:r>
      <w:r w:rsidR="00B45508" w:rsidRPr="00F63D80">
        <w:rPr>
          <w:rFonts w:eastAsia="Times New Roman" w:cs="Times New Roman"/>
          <w:bCs/>
          <w:szCs w:val="19"/>
          <w:lang w:eastAsia="pl-PL"/>
        </w:rPr>
        <w:t>na była w co drugim mieszkaniu.</w:t>
      </w:r>
    </w:p>
    <w:p w:rsidR="002A4300" w:rsidRPr="00F63D80" w:rsidRDefault="002A4300" w:rsidP="002A430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F63D80">
        <w:rPr>
          <w:rFonts w:eastAsia="Times New Roman" w:cs="Times New Roman"/>
          <w:bCs/>
          <w:szCs w:val="19"/>
          <w:lang w:eastAsia="pl-PL"/>
        </w:rPr>
        <w:t xml:space="preserve">Pomiędzy miastem a wsią nadal utrzymywały się </w:t>
      </w:r>
      <w:r w:rsidR="00A7403E" w:rsidRPr="00F63D80">
        <w:rPr>
          <w:rFonts w:eastAsia="Times New Roman" w:cs="Times New Roman"/>
          <w:bCs/>
          <w:szCs w:val="19"/>
          <w:lang w:eastAsia="pl-PL"/>
        </w:rPr>
        <w:t xml:space="preserve">różnice </w:t>
      </w:r>
      <w:r w:rsidRPr="00F63D80">
        <w:rPr>
          <w:rFonts w:eastAsia="Times New Roman" w:cs="Times New Roman"/>
          <w:bCs/>
          <w:szCs w:val="19"/>
          <w:lang w:eastAsia="pl-PL"/>
        </w:rPr>
        <w:t>w wyposażeniu mieszkań w</w:t>
      </w:r>
      <w:r w:rsidR="00496EE1" w:rsidRPr="00F63D80">
        <w:rPr>
          <w:rFonts w:eastAsia="Times New Roman" w:cs="Times New Roman"/>
          <w:bCs/>
          <w:szCs w:val="19"/>
          <w:lang w:eastAsia="pl-PL"/>
        </w:rPr>
        <w:t> </w:t>
      </w:r>
      <w:r w:rsidRPr="00F63D80">
        <w:rPr>
          <w:rFonts w:eastAsia="Times New Roman" w:cs="Times New Roman"/>
          <w:bCs/>
          <w:szCs w:val="19"/>
          <w:lang w:eastAsia="pl-PL"/>
        </w:rPr>
        <w:t>podstawowe instalacje. W miastach w wodociąg wyposażonych było 99,1% mieszkań, w ustęp – 97,</w:t>
      </w:r>
      <w:r w:rsidR="00BB6F7D" w:rsidRPr="00F63D80">
        <w:rPr>
          <w:rFonts w:eastAsia="Times New Roman" w:cs="Times New Roman"/>
          <w:bCs/>
          <w:szCs w:val="19"/>
          <w:lang w:eastAsia="pl-PL"/>
        </w:rPr>
        <w:t>3</w:t>
      </w:r>
      <w:r w:rsidRPr="00F63D80">
        <w:rPr>
          <w:rFonts w:eastAsia="Times New Roman" w:cs="Times New Roman"/>
          <w:bCs/>
          <w:szCs w:val="19"/>
          <w:lang w:eastAsia="pl-PL"/>
        </w:rPr>
        <w:t>%, a łazienkę – 95,</w:t>
      </w:r>
      <w:r w:rsidR="00F63D80" w:rsidRPr="00F63D80">
        <w:rPr>
          <w:rFonts w:eastAsia="Times New Roman" w:cs="Times New Roman"/>
          <w:bCs/>
          <w:szCs w:val="19"/>
          <w:lang w:eastAsia="pl-PL"/>
        </w:rPr>
        <w:t>6</w:t>
      </w:r>
      <w:r w:rsidRPr="00F63D80">
        <w:rPr>
          <w:rFonts w:eastAsia="Times New Roman" w:cs="Times New Roman"/>
          <w:bCs/>
          <w:szCs w:val="19"/>
          <w:lang w:eastAsia="pl-PL"/>
        </w:rPr>
        <w:t xml:space="preserve">%. Na </w:t>
      </w:r>
      <w:r w:rsidR="00395C05" w:rsidRPr="00F63D80">
        <w:rPr>
          <w:rFonts w:eastAsia="Times New Roman" w:cs="Times New Roman"/>
          <w:bCs/>
          <w:szCs w:val="19"/>
          <w:lang w:eastAsia="pl-PL"/>
        </w:rPr>
        <w:t xml:space="preserve">obszarach wiejskich </w:t>
      </w:r>
      <w:r w:rsidRPr="00F63D80">
        <w:rPr>
          <w:rFonts w:eastAsia="Times New Roman" w:cs="Times New Roman"/>
          <w:bCs/>
          <w:szCs w:val="19"/>
          <w:lang w:eastAsia="pl-PL"/>
        </w:rPr>
        <w:t xml:space="preserve">do wodociągu podłączonych było </w:t>
      </w:r>
      <w:r w:rsidR="00BB6F7D" w:rsidRPr="00F63D80">
        <w:rPr>
          <w:rFonts w:eastAsia="Times New Roman" w:cs="Times New Roman"/>
          <w:bCs/>
          <w:szCs w:val="19"/>
          <w:lang w:eastAsia="pl-PL"/>
        </w:rPr>
        <w:t>92,</w:t>
      </w:r>
      <w:r w:rsidR="00F63D80" w:rsidRPr="00F63D80">
        <w:rPr>
          <w:rFonts w:eastAsia="Times New Roman" w:cs="Times New Roman"/>
          <w:bCs/>
          <w:szCs w:val="19"/>
          <w:lang w:eastAsia="pl-PL"/>
        </w:rPr>
        <w:t>3</w:t>
      </w:r>
      <w:r w:rsidRPr="00F63D80">
        <w:rPr>
          <w:rFonts w:eastAsia="Times New Roman" w:cs="Times New Roman"/>
          <w:bCs/>
          <w:szCs w:val="19"/>
          <w:lang w:eastAsia="pl-PL"/>
        </w:rPr>
        <w:t>% mieszkań, ustęp posiadało 86,</w:t>
      </w:r>
      <w:r w:rsidR="00F63D80" w:rsidRPr="00F63D80">
        <w:rPr>
          <w:rFonts w:eastAsia="Times New Roman" w:cs="Times New Roman"/>
          <w:bCs/>
          <w:szCs w:val="19"/>
          <w:lang w:eastAsia="pl-PL"/>
        </w:rPr>
        <w:t>6</w:t>
      </w:r>
      <w:r w:rsidRPr="00F63D80">
        <w:rPr>
          <w:rFonts w:eastAsia="Times New Roman" w:cs="Times New Roman"/>
          <w:bCs/>
          <w:szCs w:val="19"/>
          <w:lang w:eastAsia="pl-PL"/>
        </w:rPr>
        <w:t xml:space="preserve">%, a łazienkę </w:t>
      </w:r>
      <w:r w:rsidR="00AC3C97" w:rsidRPr="00F63D80">
        <w:rPr>
          <w:rFonts w:eastAsia="Times New Roman" w:cs="Times New Roman"/>
          <w:bCs/>
          <w:szCs w:val="19"/>
          <w:lang w:eastAsia="pl-PL"/>
        </w:rPr>
        <w:t xml:space="preserve">– </w:t>
      </w:r>
      <w:r w:rsidR="00F63D80" w:rsidRPr="00F63D80">
        <w:rPr>
          <w:rFonts w:eastAsia="Times New Roman" w:cs="Times New Roman"/>
          <w:bCs/>
          <w:szCs w:val="19"/>
          <w:lang w:eastAsia="pl-PL"/>
        </w:rPr>
        <w:t>83,1</w:t>
      </w:r>
      <w:r w:rsidRPr="00F63D80">
        <w:rPr>
          <w:rFonts w:eastAsia="Times New Roman" w:cs="Times New Roman"/>
          <w:bCs/>
          <w:szCs w:val="19"/>
          <w:lang w:eastAsia="pl-PL"/>
        </w:rPr>
        <w:t>%</w:t>
      </w:r>
      <w:r w:rsidR="00AC3C97" w:rsidRPr="00F63D80">
        <w:rPr>
          <w:rFonts w:eastAsia="Times New Roman" w:cs="Times New Roman"/>
          <w:bCs/>
          <w:szCs w:val="19"/>
          <w:lang w:eastAsia="pl-PL"/>
        </w:rPr>
        <w:t xml:space="preserve"> mieszkań</w:t>
      </w:r>
      <w:r w:rsidRPr="00F63D80">
        <w:rPr>
          <w:rFonts w:eastAsia="Times New Roman" w:cs="Times New Roman"/>
          <w:bCs/>
          <w:szCs w:val="19"/>
          <w:lang w:eastAsia="pl-PL"/>
        </w:rPr>
        <w:t>.</w:t>
      </w:r>
    </w:p>
    <w:p w:rsidR="00B7368E" w:rsidRPr="005160F9" w:rsidRDefault="00B7368E" w:rsidP="000300FB">
      <w:pPr>
        <w:spacing w:before="0" w:after="0"/>
        <w:rPr>
          <w:spacing w:val="-2"/>
          <w:sz w:val="18"/>
        </w:rPr>
      </w:pPr>
    </w:p>
    <w:p w:rsidR="00B065C1" w:rsidRDefault="00EC3AB3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EC3AB3">
        <w:rPr>
          <w:b/>
          <w:spacing w:val="-2"/>
          <w:sz w:val="18"/>
        </w:rPr>
        <w:t xml:space="preserve">Wykres 1. </w:t>
      </w:r>
      <w:r w:rsidR="00AC3C97">
        <w:rPr>
          <w:b/>
          <w:spacing w:val="-2"/>
          <w:sz w:val="18"/>
        </w:rPr>
        <w:t>M</w:t>
      </w:r>
      <w:r w:rsidRPr="00EC3AB3">
        <w:rPr>
          <w:b/>
          <w:spacing w:val="-2"/>
          <w:sz w:val="18"/>
        </w:rPr>
        <w:t>ieszka</w:t>
      </w:r>
      <w:r w:rsidR="00AC3C97">
        <w:rPr>
          <w:b/>
          <w:spacing w:val="-2"/>
          <w:sz w:val="18"/>
        </w:rPr>
        <w:t>nia wyposażone w instalacje</w:t>
      </w:r>
      <w:r w:rsidRPr="00EC3AB3">
        <w:rPr>
          <w:b/>
          <w:spacing w:val="-2"/>
          <w:sz w:val="18"/>
        </w:rPr>
        <w:t xml:space="preserve"> w </w:t>
      </w:r>
      <w:r w:rsidR="006409FD">
        <w:rPr>
          <w:b/>
          <w:spacing w:val="-2"/>
          <w:sz w:val="18"/>
        </w:rPr>
        <w:t>%</w:t>
      </w:r>
      <w:r w:rsidRPr="00EC3AB3">
        <w:rPr>
          <w:b/>
          <w:spacing w:val="-2"/>
          <w:sz w:val="18"/>
        </w:rPr>
        <w:t xml:space="preserve"> ogółu mieszkań w 201</w:t>
      </w:r>
      <w:r w:rsidR="00F63D80">
        <w:rPr>
          <w:b/>
          <w:spacing w:val="-2"/>
          <w:sz w:val="18"/>
        </w:rPr>
        <w:t>8</w:t>
      </w:r>
      <w:r w:rsidRPr="00EC3AB3">
        <w:rPr>
          <w:b/>
          <w:spacing w:val="-2"/>
          <w:sz w:val="18"/>
        </w:rPr>
        <w:t xml:space="preserve"> r.</w:t>
      </w:r>
      <w:r w:rsidR="006409FD">
        <w:rPr>
          <w:b/>
          <w:spacing w:val="-2"/>
          <w:sz w:val="18"/>
        </w:rPr>
        <w:t xml:space="preserve"> (stan </w:t>
      </w:r>
      <w:r w:rsidR="00C748E3">
        <w:rPr>
          <w:b/>
          <w:spacing w:val="-2"/>
          <w:sz w:val="18"/>
        </w:rPr>
        <w:t>na</w:t>
      </w:r>
      <w:r w:rsidR="00C7068A">
        <w:rPr>
          <w:b/>
          <w:spacing w:val="-2"/>
          <w:sz w:val="18"/>
        </w:rPr>
        <w:t xml:space="preserve"> 31.12</w:t>
      </w:r>
      <w:r w:rsidR="006409FD">
        <w:rPr>
          <w:b/>
          <w:spacing w:val="-2"/>
          <w:sz w:val="18"/>
        </w:rPr>
        <w:t>)</w:t>
      </w: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9174E9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418F320" wp14:editId="6C33D3CF">
            <wp:simplePos x="0" y="0"/>
            <wp:positionH relativeFrom="margin">
              <wp:posOffset>191447</wp:posOffset>
            </wp:positionH>
            <wp:positionV relativeFrom="paragraph">
              <wp:posOffset>43078</wp:posOffset>
            </wp:positionV>
            <wp:extent cx="4518212" cy="2220685"/>
            <wp:effectExtent l="0" t="0" r="0" b="8255"/>
            <wp:wrapNone/>
            <wp:docPr id="15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Cs/>
          <w:noProof/>
          <w:szCs w:val="19"/>
          <w:lang w:eastAsia="pl-PL"/>
        </w:rPr>
        <w:drawing>
          <wp:inline distT="0" distB="0" distL="0" distR="0" wp14:anchorId="45910523">
            <wp:extent cx="4523740" cy="2225040"/>
            <wp:effectExtent l="0" t="0" r="0" b="381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3A1BEF" w:rsidRPr="00527ADD" w:rsidRDefault="003A1BEF" w:rsidP="00D77650">
      <w:pPr>
        <w:spacing w:before="0" w:after="0"/>
        <w:rPr>
          <w:rFonts w:eastAsia="Times New Roman" w:cs="Times New Roman"/>
          <w:bCs/>
          <w:szCs w:val="24"/>
          <w:lang w:eastAsia="pl-PL"/>
        </w:rPr>
      </w:pPr>
    </w:p>
    <w:p w:rsidR="00AD1169" w:rsidRPr="006D4787" w:rsidRDefault="00AD1169" w:rsidP="00D77650">
      <w:pPr>
        <w:spacing w:before="0" w:after="0"/>
        <w:rPr>
          <w:rFonts w:eastAsia="Times New Roman" w:cs="Times New Roman"/>
          <w:bCs/>
          <w:color w:val="001D77"/>
          <w:szCs w:val="24"/>
          <w:lang w:eastAsia="pl-PL"/>
        </w:rPr>
      </w:pPr>
    </w:p>
    <w:p w:rsidR="00AD1169" w:rsidRPr="006D4787" w:rsidRDefault="00AD1169" w:rsidP="00D77650">
      <w:pPr>
        <w:spacing w:before="0" w:after="0"/>
        <w:rPr>
          <w:rFonts w:eastAsia="Times New Roman" w:cs="Times New Roman"/>
          <w:bCs/>
          <w:color w:val="001D77"/>
          <w:szCs w:val="24"/>
          <w:lang w:eastAsia="pl-PL"/>
        </w:rPr>
      </w:pPr>
    </w:p>
    <w:p w:rsidR="00AD1169" w:rsidRPr="006D4787" w:rsidRDefault="00AD1169" w:rsidP="00D77650">
      <w:pPr>
        <w:spacing w:before="0" w:after="0"/>
        <w:rPr>
          <w:rFonts w:eastAsia="Times New Roman" w:cs="Times New Roman"/>
          <w:bCs/>
          <w:color w:val="001D77"/>
          <w:szCs w:val="24"/>
          <w:lang w:eastAsia="pl-PL"/>
        </w:rPr>
      </w:pPr>
    </w:p>
    <w:p w:rsidR="00AD1169" w:rsidRDefault="006D4787" w:rsidP="00D77650">
      <w:pPr>
        <w:spacing w:before="0" w:after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812DA6C" wp14:editId="36524C75">
                <wp:simplePos x="0" y="0"/>
                <wp:positionH relativeFrom="rightMargin">
                  <wp:posOffset>1270</wp:posOffset>
                </wp:positionH>
                <wp:positionV relativeFrom="paragraph">
                  <wp:posOffset>12624</wp:posOffset>
                </wp:positionV>
                <wp:extent cx="1666875" cy="774065"/>
                <wp:effectExtent l="0" t="0" r="0" b="0"/>
                <wp:wrapTight wrapText="bothSides">
                  <wp:wrapPolygon edited="0">
                    <wp:start x="741" y="0"/>
                    <wp:lineTo x="741" y="20732"/>
                    <wp:lineTo x="20736" y="20732"/>
                    <wp:lineTo x="20736" y="0"/>
                    <wp:lineTo x="741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74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6D4787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najwięcej mieszkań pozostaje w zasobie osób fizycznych (ok. 11,5 mln, tj. 79%)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DA6C" id="_x0000_s1032" type="#_x0000_t202" style="position:absolute;margin-left:.1pt;margin-top:1pt;width:131.25pt;height:60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M7EgIAAP8DAAAOAAAAZHJzL2Uyb0RvYy54bWysU8Fu2zAMvQ/YPwi6L3aMxEmNOEXXrsOA&#10;bivQ7QNkWY6FSqImKbGzrx8lJ1mw3Yb5IIgm+cj3SG1uR63IQTgvwdR0PsspEYZDK82upt+/Pb5b&#10;U+IDMy1TYERNj8LT2+3bN5vBVqKAHlQrHEEQ46vB1rQPwVZZ5nkvNPMzsMKgswOnWUDT7bLWsQHR&#10;tcqKPC+zAVxrHXDhPf59mJx0m/C7TvDwteu8CETVFHsL6XTpbOKZbTes2jlme8lPbbB/6EIzabDo&#10;BeqBBUb2Tv4FpSV34KELMw46g66TXCQOyGae/8HmpWdWJC4ojrcXmfz/g+VfDs+OyBZnV1BimMYZ&#10;PYMSJIhXH2AQpIgaDdZXGPpiMTiM72HE+MTX2yfgr54YuO+Z2Yk752DoBWuxx3nMzK5SJxwfQZrh&#10;M7RYi+0DJKCxczoKiJIQRMdZHS/zEWMgPJYsy3K9WlLC0bdaLfJymUqw6pxtnQ8fBWgSLzV1OP+E&#10;zg5PPsRuWHUOicUMPEql0g4oQ4aa3iyLZUq48mgZcEWV1DVd5/GbliaS/GDalByYVNMdCyhzYh2J&#10;TpTD2IxJ5PIsZgPtEWVwMG0kviC89OB+UjLgNtbU/9gzJyhRnwxKeTNfLOL6JmOxXBVouGtPc+1h&#10;hiNUTQMl0/U+pJWfKN+h5J1MasTZTJ2cWsYtSyKdXkRc42s7Rf1+t9tfAAAA//8DAFBLAwQUAAYA&#10;CAAAACEAIv4IT9oAAAAGAQAADwAAAGRycy9kb3ducmV2LnhtbEyPTU/DMAyG70j8h8hI3FhCgMFK&#10;0wmBuIIYHxI3r/Haisapmmwt/x5zgosl6330+nG5nkOvDjSmLrKD84UBRVxH33Hj4O318ewGVMrI&#10;HvvI5OCbEqyr46MSCx8nfqHDJjdKSjgV6KDNeSi0TnVLAdMiDsSS7eIYMMs6NtqPOEl56LU1ZqkD&#10;diwXWhzovqX6a7MPDt6fdp8fl+a5eQhXwxRnozmstHOnJ/PdLahMc/6D4Vdf1KESp23cs0+qd2CF&#10;kyn/SGiX9hrUVih7sQJdlfq/fvUDAAD//wMAUEsBAi0AFAAGAAgAAAAhALaDOJL+AAAA4QEAABMA&#10;AAAAAAAAAAAAAAAAAAAAAFtDb250ZW50X1R5cGVzXS54bWxQSwECLQAUAAYACAAAACEAOP0h/9YA&#10;AACUAQAACwAAAAAAAAAAAAAAAAAvAQAAX3JlbHMvLnJlbHNQSwECLQAUAAYACAAAACEAGkmzOxIC&#10;AAD/AwAADgAAAAAAAAAAAAAAAAAuAgAAZHJzL2Uyb0RvYy54bWxQSwECLQAUAAYACAAAACEAIv4I&#10;T9oAAAAGAQAADwAAAAAAAAAAAAAAAABsBAAAZHJzL2Rvd25yZXYueG1sUEsFBgAAAAAEAAQA8wAA&#10;AHMFAAAAAA==&#10;" filled="f" stroked="f">
                <v:textbox>
                  <w:txbxContent>
                    <w:p w:rsidR="002463D2" w:rsidRPr="00074DD8" w:rsidRDefault="002463D2" w:rsidP="006D4787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najwięcej mieszkań pozostaje w zasobie osób fizycznych (ok. 11,5 mln, tj. 79%)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6D4787" w:rsidRDefault="006D4787" w:rsidP="006D4787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 xml:space="preserve">Najwięcej mieszkań pozostawało w zasobie osób fizycznych poza wspólnotami mieszkaniowymi </w:t>
      </w:r>
      <w:r w:rsidR="009D50CA">
        <w:rPr>
          <w:rFonts w:eastAsia="Times New Roman" w:cs="Times New Roman"/>
          <w:bCs/>
          <w:szCs w:val="19"/>
          <w:lang w:eastAsia="pl-PL"/>
        </w:rPr>
        <w:t>–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ok. 8,</w:t>
      </w:r>
      <w:r>
        <w:rPr>
          <w:rFonts w:eastAsia="Times New Roman" w:cs="Times New Roman"/>
          <w:bCs/>
          <w:szCs w:val="19"/>
          <w:lang w:eastAsia="pl-PL"/>
        </w:rPr>
        <w:t>6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(</w:t>
      </w:r>
      <w:r>
        <w:rPr>
          <w:rFonts w:eastAsia="Times New Roman" w:cs="Times New Roman"/>
          <w:bCs/>
          <w:szCs w:val="19"/>
          <w:lang w:eastAsia="pl-PL"/>
        </w:rPr>
        <w:t>58,6</w:t>
      </w:r>
      <w:r w:rsidRPr="00D77650">
        <w:rPr>
          <w:rFonts w:eastAsia="Times New Roman" w:cs="Times New Roman"/>
          <w:bCs/>
          <w:szCs w:val="19"/>
          <w:lang w:eastAsia="pl-PL"/>
        </w:rPr>
        <w:t>%), a prawie 3,</w:t>
      </w:r>
      <w:r>
        <w:rPr>
          <w:rFonts w:eastAsia="Times New Roman" w:cs="Times New Roman"/>
          <w:bCs/>
          <w:szCs w:val="19"/>
          <w:lang w:eastAsia="pl-PL"/>
        </w:rPr>
        <w:t>0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(</w:t>
      </w:r>
      <w:r>
        <w:rPr>
          <w:rFonts w:eastAsia="Times New Roman" w:cs="Times New Roman"/>
          <w:bCs/>
          <w:szCs w:val="19"/>
          <w:lang w:eastAsia="pl-PL"/>
        </w:rPr>
        <w:t>20,5</w:t>
      </w:r>
      <w:r w:rsidRPr="00D77650">
        <w:rPr>
          <w:rFonts w:eastAsia="Times New Roman" w:cs="Times New Roman"/>
          <w:bCs/>
          <w:szCs w:val="19"/>
          <w:lang w:eastAsia="pl-PL"/>
        </w:rPr>
        <w:t>%) we wspólnotach mieszkaniowych. Łączna powierzchnia mieszkań należących do osób fizycznych to ponad 9</w:t>
      </w:r>
      <w:r>
        <w:rPr>
          <w:rFonts w:eastAsia="Times New Roman" w:cs="Times New Roman"/>
          <w:bCs/>
          <w:szCs w:val="19"/>
          <w:lang w:eastAsia="pl-PL"/>
        </w:rPr>
        <w:t>36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C748E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, </w:t>
      </w:r>
      <w:r>
        <w:rPr>
          <w:rFonts w:eastAsia="Times New Roman" w:cs="Times New Roman"/>
          <w:bCs/>
          <w:szCs w:val="19"/>
          <w:lang w:eastAsia="pl-PL"/>
        </w:rPr>
        <w:t xml:space="preserve">która 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stanowiła </w:t>
      </w:r>
      <w:r>
        <w:rPr>
          <w:rFonts w:eastAsia="Times New Roman" w:cs="Times New Roman"/>
          <w:bCs/>
          <w:szCs w:val="19"/>
          <w:lang w:eastAsia="pl-PL"/>
        </w:rPr>
        <w:t>ponad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86% ogólnej powierzchni mieszkań w kraju. Zasoby spółdzielni mieszkaniowych to nieco ponad 2,0 mln mieszkań o łącznej powierzchni 100,1 mln m</w:t>
      </w:r>
      <w:r w:rsidRPr="006D4787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>. Najmniej stanowiły mieszkania będące w zasobie Skarbu Państwa – ok. 28,9 tys. mieszkań o powierzchni prawie 1,5</w:t>
      </w:r>
      <w:r>
        <w:rPr>
          <w:rFonts w:eastAsia="Times New Roman" w:cs="Times New Roman"/>
          <w:bCs/>
          <w:szCs w:val="19"/>
          <w:lang w:eastAsia="pl-PL"/>
        </w:rPr>
        <w:t> </w:t>
      </w:r>
      <w:r w:rsidRPr="00D77650">
        <w:rPr>
          <w:rFonts w:eastAsia="Times New Roman" w:cs="Times New Roman"/>
          <w:bCs/>
          <w:szCs w:val="19"/>
          <w:lang w:eastAsia="pl-PL"/>
        </w:rPr>
        <w:t>mln m</w:t>
      </w:r>
      <w:r w:rsidRPr="006960DA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>.</w:t>
      </w:r>
    </w:p>
    <w:p w:rsidR="006D4787" w:rsidRDefault="006D4787" w:rsidP="006D4787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6D4787" w:rsidRDefault="006D4787" w:rsidP="006D4787">
      <w:pPr>
        <w:spacing w:before="0" w:after="0"/>
        <w:rPr>
          <w:b/>
          <w:spacing w:val="-2"/>
          <w:sz w:val="18"/>
        </w:rPr>
      </w:pPr>
      <w:r>
        <w:rPr>
          <w:b/>
          <w:spacing w:val="-2"/>
          <w:sz w:val="18"/>
        </w:rPr>
        <w:t xml:space="preserve">Tablica 2. </w:t>
      </w:r>
      <w:r w:rsidRPr="00D77650">
        <w:rPr>
          <w:b/>
          <w:spacing w:val="-2"/>
          <w:sz w:val="18"/>
        </w:rPr>
        <w:t xml:space="preserve">Zasoby mieszkaniowe według form własności </w:t>
      </w:r>
      <w:r w:rsidRPr="00947365">
        <w:rPr>
          <w:b/>
          <w:spacing w:val="-2"/>
          <w:sz w:val="18"/>
        </w:rPr>
        <w:t xml:space="preserve">(stan </w:t>
      </w:r>
      <w:r>
        <w:rPr>
          <w:b/>
          <w:spacing w:val="-2"/>
          <w:sz w:val="18"/>
        </w:rPr>
        <w:t>na</w:t>
      </w:r>
      <w:r w:rsidR="00DF3119">
        <w:rPr>
          <w:b/>
          <w:spacing w:val="-2"/>
          <w:sz w:val="18"/>
        </w:rPr>
        <w:t xml:space="preserve"> 31.12</w:t>
      </w:r>
      <w:r w:rsidRPr="00947365">
        <w:rPr>
          <w:b/>
          <w:spacing w:val="-2"/>
          <w:sz w:val="18"/>
        </w:rPr>
        <w:t>)</w:t>
      </w:r>
    </w:p>
    <w:p w:rsidR="006D4787" w:rsidRPr="005160F9" w:rsidRDefault="006D4787" w:rsidP="006D4787">
      <w:pPr>
        <w:spacing w:before="0" w:after="0" w:line="240" w:lineRule="auto"/>
        <w:rPr>
          <w:rFonts w:eastAsia="Times New Roman" w:cs="Times New Roman"/>
          <w:bCs/>
          <w:szCs w:val="19"/>
          <w:lang w:eastAsia="pl-PL"/>
        </w:rPr>
      </w:pPr>
    </w:p>
    <w:tbl>
      <w:tblPr>
        <w:tblW w:w="8121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304"/>
        <w:gridCol w:w="1304"/>
        <w:gridCol w:w="1304"/>
        <w:gridCol w:w="1304"/>
      </w:tblGrid>
      <w:tr w:rsidR="006D4787" w:rsidRPr="003578BD" w:rsidTr="009D50CA">
        <w:trPr>
          <w:trHeight w:val="170"/>
        </w:trPr>
        <w:tc>
          <w:tcPr>
            <w:tcW w:w="2905" w:type="dxa"/>
            <w:vMerge w:val="restart"/>
            <w:shd w:val="clear" w:color="auto" w:fill="auto"/>
            <w:noWrap/>
            <w:vAlign w:val="center"/>
            <w:hideMark/>
          </w:tcPr>
          <w:p w:rsidR="006D4787" w:rsidRPr="003578BD" w:rsidRDefault="006D4787" w:rsidP="006D4787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6D4787" w:rsidRPr="003578BD" w:rsidRDefault="006D4787" w:rsidP="006D478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304" w:type="dxa"/>
            <w:vAlign w:val="center"/>
          </w:tcPr>
          <w:p w:rsidR="006D4787" w:rsidRPr="003578BD" w:rsidRDefault="006D4787" w:rsidP="006D478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</w:tr>
      <w:tr w:rsidR="006D4787" w:rsidRPr="003578BD" w:rsidTr="009D50CA">
        <w:trPr>
          <w:trHeight w:val="340"/>
        </w:trPr>
        <w:tc>
          <w:tcPr>
            <w:tcW w:w="2905" w:type="dxa"/>
            <w:vMerge/>
            <w:tcBorders>
              <w:bottom w:val="single" w:sz="12" w:space="0" w:color="001D77"/>
            </w:tcBorders>
            <w:shd w:val="clear" w:color="auto" w:fill="auto"/>
            <w:noWrap/>
            <w:vAlign w:val="bottom"/>
          </w:tcPr>
          <w:p w:rsidR="006D4787" w:rsidRPr="003578BD" w:rsidRDefault="006D4787" w:rsidP="006D478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</w:tcPr>
          <w:p w:rsidR="006D4787" w:rsidRPr="003578BD" w:rsidRDefault="006D4787" w:rsidP="0077444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Mieszkania</w:t>
            </w:r>
            <w:r w:rsidR="00774449">
              <w:rPr>
                <w:rFonts w:eastAsia="Times New Roman" w:cs="Calibri"/>
                <w:sz w:val="16"/>
                <w:szCs w:val="16"/>
                <w:lang w:eastAsia="pl-PL"/>
              </w:rPr>
              <w:t xml:space="preserve"> w tys.</w:t>
            </w:r>
          </w:p>
        </w:tc>
        <w:tc>
          <w:tcPr>
            <w:tcW w:w="2608" w:type="dxa"/>
            <w:gridSpan w:val="2"/>
            <w:tcBorders>
              <w:bottom w:val="single" w:sz="12" w:space="0" w:color="001D77"/>
            </w:tcBorders>
            <w:vAlign w:val="center"/>
          </w:tcPr>
          <w:p w:rsidR="006D4787" w:rsidRPr="003578BD" w:rsidRDefault="006D4787" w:rsidP="0077444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 xml:space="preserve">Powierzchnia mieszkań w </w:t>
            </w:r>
            <w:r w:rsidR="00774449">
              <w:rPr>
                <w:rFonts w:eastAsia="Times New Roman" w:cs="Calibri"/>
                <w:sz w:val="16"/>
                <w:szCs w:val="16"/>
                <w:lang w:eastAsia="pl-PL"/>
              </w:rPr>
              <w:t xml:space="preserve">tys. </w:t>
            </w: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Pr="003578BD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</w:tr>
      <w:tr w:rsidR="006D4787" w:rsidRPr="003578BD" w:rsidTr="002463D2">
        <w:trPr>
          <w:trHeight w:val="227"/>
        </w:trPr>
        <w:tc>
          <w:tcPr>
            <w:tcW w:w="290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6D4787" w:rsidRPr="003578BD" w:rsidRDefault="006D4787" w:rsidP="006D478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30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14 272,0</w:t>
            </w:r>
          </w:p>
        </w:tc>
        <w:tc>
          <w:tcPr>
            <w:tcW w:w="130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14 615,1</w:t>
            </w:r>
          </w:p>
        </w:tc>
        <w:tc>
          <w:tcPr>
            <w:tcW w:w="130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1 053 251,8</w:t>
            </w:r>
          </w:p>
        </w:tc>
        <w:tc>
          <w:tcPr>
            <w:tcW w:w="130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1 084 166,5</w:t>
            </w:r>
          </w:p>
        </w:tc>
      </w:tr>
      <w:tr w:rsidR="006D4787" w:rsidRPr="003578BD" w:rsidTr="002463D2">
        <w:trPr>
          <w:trHeight w:val="227"/>
        </w:trPr>
        <w:tc>
          <w:tcPr>
            <w:tcW w:w="2905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  <w:hideMark/>
          </w:tcPr>
          <w:p w:rsidR="006D4787" w:rsidRPr="003578BD" w:rsidRDefault="006D4787" w:rsidP="006D478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 xml:space="preserve">Własność: </w:t>
            </w:r>
          </w:p>
        </w:tc>
        <w:tc>
          <w:tcPr>
            <w:tcW w:w="1304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001D77"/>
              <w:bottom w:val="nil"/>
            </w:tcBorders>
            <w:vAlign w:val="center"/>
          </w:tcPr>
          <w:p w:rsidR="006D4787" w:rsidRPr="003578BD" w:rsidRDefault="006D4787" w:rsidP="009D50CA">
            <w:pPr>
              <w:spacing w:after="0" w:line="240" w:lineRule="auto"/>
              <w:ind w:left="-383" w:firstLineChars="48" w:firstLine="77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6D4787" w:rsidRPr="003578BD" w:rsidTr="002463D2">
        <w:trPr>
          <w:trHeight w:val="227"/>
        </w:trPr>
        <w:tc>
          <w:tcPr>
            <w:tcW w:w="290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D4787" w:rsidRPr="003578BD" w:rsidRDefault="009D50CA" w:rsidP="006D478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r w:rsidR="006D4787" w:rsidRPr="003578BD">
              <w:rPr>
                <w:rFonts w:eastAsia="Times New Roman" w:cs="Calibri"/>
                <w:sz w:val="16"/>
                <w:szCs w:val="16"/>
                <w:lang w:eastAsia="pl-PL"/>
              </w:rPr>
              <w:t>półdzielni mieszkaniowych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2 073,9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2 029,9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102 336,1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100 085,3</w:t>
            </w:r>
          </w:p>
        </w:tc>
      </w:tr>
      <w:tr w:rsidR="006D4787" w:rsidRPr="003578BD" w:rsidTr="002463D2">
        <w:trPr>
          <w:trHeight w:val="227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6D4787" w:rsidRPr="003578BD" w:rsidRDefault="009D50CA" w:rsidP="006D478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g</w:t>
            </w:r>
            <w:r w:rsidR="006D4787" w:rsidRPr="003578BD">
              <w:rPr>
                <w:rFonts w:eastAsia="Times New Roman" w:cs="Calibri"/>
                <w:sz w:val="16"/>
                <w:szCs w:val="16"/>
                <w:lang w:eastAsia="pl-PL"/>
              </w:rPr>
              <w:t>min (komunalna)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868,5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840,4</w:t>
            </w:r>
          </w:p>
        </w:tc>
        <w:tc>
          <w:tcPr>
            <w:tcW w:w="1304" w:type="dxa"/>
            <w:vAlign w:val="center"/>
          </w:tcPr>
          <w:p w:rsidR="006D4787" w:rsidRPr="003578BD" w:rsidRDefault="006D4787" w:rsidP="004C6810">
            <w:pPr>
              <w:spacing w:after="0" w:line="240" w:lineRule="auto"/>
              <w:ind w:left="-268"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38 306,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6 913,4</w:t>
            </w:r>
          </w:p>
        </w:tc>
      </w:tr>
      <w:tr w:rsidR="006D4787" w:rsidRPr="003578BD" w:rsidTr="002463D2">
        <w:trPr>
          <w:trHeight w:val="227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6D4787" w:rsidRPr="003578BD" w:rsidRDefault="009D50CA" w:rsidP="006D478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z</w:t>
            </w:r>
            <w:r w:rsidR="006D4787" w:rsidRPr="003578BD">
              <w:rPr>
                <w:rFonts w:eastAsia="Times New Roman" w:cs="Calibri"/>
                <w:sz w:val="16"/>
                <w:szCs w:val="16"/>
                <w:lang w:eastAsia="pl-PL"/>
              </w:rPr>
              <w:t>akładów pracy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79,3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69,1</w:t>
            </w:r>
          </w:p>
        </w:tc>
        <w:tc>
          <w:tcPr>
            <w:tcW w:w="1304" w:type="dxa"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4 564,7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4 038,8</w:t>
            </w:r>
          </w:p>
        </w:tc>
      </w:tr>
      <w:tr w:rsidR="006D4787" w:rsidRPr="003578BD" w:rsidTr="002463D2">
        <w:trPr>
          <w:trHeight w:val="227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6D4787" w:rsidRPr="003578BD" w:rsidRDefault="006D4787" w:rsidP="006D478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Skarbu Państwa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29,1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28,9</w:t>
            </w:r>
          </w:p>
        </w:tc>
        <w:tc>
          <w:tcPr>
            <w:tcW w:w="1304" w:type="dxa"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1 473,6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1 470,1</w:t>
            </w:r>
          </w:p>
        </w:tc>
      </w:tr>
      <w:tr w:rsidR="006D4787" w:rsidRPr="003578BD" w:rsidTr="002463D2">
        <w:trPr>
          <w:trHeight w:val="227"/>
        </w:trPr>
        <w:tc>
          <w:tcPr>
            <w:tcW w:w="2905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6D4787" w:rsidRPr="003578BD" w:rsidRDefault="009D50CA" w:rsidP="006D478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</w:t>
            </w:r>
            <w:r w:rsidR="006D4787" w:rsidRPr="003578BD">
              <w:rPr>
                <w:rFonts w:eastAsia="Times New Roman" w:cs="Calibri"/>
                <w:sz w:val="16"/>
                <w:szCs w:val="16"/>
                <w:lang w:eastAsia="pl-PL"/>
              </w:rPr>
              <w:t>owarzystw budownictwa społecznego</w:t>
            </w:r>
          </w:p>
        </w:tc>
        <w:tc>
          <w:tcPr>
            <w:tcW w:w="1304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304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304" w:type="dxa"/>
            <w:tcBorders>
              <w:bottom w:val="single" w:sz="4" w:space="0" w:color="001D77"/>
            </w:tcBorders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4 843,2</w:t>
            </w:r>
          </w:p>
        </w:tc>
        <w:tc>
          <w:tcPr>
            <w:tcW w:w="1304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5 043,7</w:t>
            </w:r>
          </w:p>
        </w:tc>
      </w:tr>
      <w:tr w:rsidR="006D4787" w:rsidRPr="003578BD" w:rsidTr="002463D2">
        <w:trPr>
          <w:trHeight w:val="227"/>
        </w:trPr>
        <w:tc>
          <w:tcPr>
            <w:tcW w:w="2905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  <w:hideMark/>
          </w:tcPr>
          <w:p w:rsidR="006D4787" w:rsidRPr="003578BD" w:rsidRDefault="009D50CA" w:rsidP="006D4787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6D4787" w:rsidRPr="003578BD">
              <w:rPr>
                <w:rFonts w:eastAsia="Times New Roman" w:cs="Calibri"/>
                <w:sz w:val="16"/>
                <w:szCs w:val="16"/>
                <w:lang w:eastAsia="pl-PL"/>
              </w:rPr>
              <w:t>sób fizycznych</w:t>
            </w:r>
            <w:r w:rsidR="006D4787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1304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11 122,9</w:t>
            </w:r>
          </w:p>
        </w:tc>
        <w:tc>
          <w:tcPr>
            <w:tcW w:w="1304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11 544,6</w:t>
            </w:r>
          </w:p>
        </w:tc>
        <w:tc>
          <w:tcPr>
            <w:tcW w:w="1304" w:type="dxa"/>
            <w:tcBorders>
              <w:top w:val="single" w:sz="4" w:space="0" w:color="001D77"/>
              <w:bottom w:val="nil"/>
            </w:tcBorders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901 728,1</w:t>
            </w:r>
          </w:p>
        </w:tc>
        <w:tc>
          <w:tcPr>
            <w:tcW w:w="1304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:rsidR="006D4787" w:rsidRPr="003578BD" w:rsidRDefault="006D4787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936 615,1</w:t>
            </w:r>
          </w:p>
        </w:tc>
      </w:tr>
      <w:tr w:rsidR="002463D2" w:rsidRPr="003578BD" w:rsidTr="002463D2">
        <w:trPr>
          <w:trHeight w:val="227"/>
        </w:trPr>
        <w:tc>
          <w:tcPr>
            <w:tcW w:w="290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3D2" w:rsidRDefault="002463D2" w:rsidP="002463D2">
            <w:pPr>
              <w:spacing w:after="0" w:line="240" w:lineRule="auto"/>
              <w:ind w:left="176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Pr="003578BD">
              <w:rPr>
                <w:rFonts w:eastAsia="Times New Roman" w:cs="Calibri"/>
                <w:sz w:val="16"/>
                <w:szCs w:val="16"/>
                <w:lang w:eastAsia="pl-PL"/>
              </w:rPr>
              <w:t>e wspólnotach mieszkaniowych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3D2" w:rsidRDefault="002463D2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2 896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3D2" w:rsidRDefault="002463D2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2 966,5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2463D2" w:rsidRDefault="002463D2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151 532,1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3D2" w:rsidRDefault="002463D2" w:rsidP="006D47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154 879,3</w:t>
            </w:r>
          </w:p>
        </w:tc>
      </w:tr>
    </w:tbl>
    <w:p w:rsidR="006D4787" w:rsidRPr="002A1B4D" w:rsidRDefault="009D50CA" w:rsidP="009D50CA">
      <w:pPr>
        <w:pStyle w:val="Akapitzlist"/>
        <w:numPr>
          <w:ilvl w:val="0"/>
          <w:numId w:val="6"/>
        </w:numPr>
        <w:spacing w:before="240" w:after="0"/>
        <w:ind w:left="142" w:hanging="153"/>
        <w:rPr>
          <w:rFonts w:eastAsia="Times New Roman" w:cs="Times New Roman"/>
          <w:bCs/>
          <w:sz w:val="22"/>
          <w:szCs w:val="19"/>
          <w:lang w:eastAsia="pl-PL"/>
        </w:rPr>
      </w:pPr>
      <w:r w:rsidRPr="002A1B4D">
        <w:rPr>
          <w:rFonts w:eastAsia="Times New Roman" w:cs="Calibri"/>
          <w:sz w:val="16"/>
          <w:szCs w:val="12"/>
          <w:lang w:eastAsia="pl-PL"/>
        </w:rPr>
        <w:t>Ł</w:t>
      </w:r>
      <w:r w:rsidR="006D4787" w:rsidRPr="002A1B4D">
        <w:rPr>
          <w:rFonts w:eastAsia="Times New Roman" w:cs="Calibri"/>
          <w:sz w:val="16"/>
          <w:szCs w:val="12"/>
          <w:lang w:eastAsia="pl-PL"/>
        </w:rPr>
        <w:t>ącznie z innymi podmiotami</w:t>
      </w:r>
      <w:r w:rsidRPr="002A1B4D">
        <w:rPr>
          <w:rFonts w:eastAsia="Times New Roman" w:cs="Calibri"/>
          <w:sz w:val="16"/>
          <w:szCs w:val="12"/>
          <w:lang w:eastAsia="pl-PL"/>
        </w:rPr>
        <w:t>.</w:t>
      </w:r>
    </w:p>
    <w:p w:rsidR="00AD1169" w:rsidRDefault="00AD1169" w:rsidP="00D77650">
      <w:pPr>
        <w:spacing w:before="0" w:after="0"/>
        <w:rPr>
          <w:rFonts w:eastAsia="Times New Roman" w:cs="Times New Roman"/>
          <w:b/>
          <w:bCs/>
          <w:color w:val="001D77"/>
          <w:szCs w:val="24"/>
          <w:lang w:eastAsia="pl-PL"/>
        </w:rPr>
      </w:pPr>
    </w:p>
    <w:p w:rsidR="006D4787" w:rsidRDefault="006D4787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>
        <w:rPr>
          <w:rFonts w:eastAsia="Times New Roman" w:cs="Times New Roman"/>
          <w:b/>
          <w:bCs/>
          <w:color w:val="001D77"/>
          <w:szCs w:val="24"/>
          <w:lang w:eastAsia="pl-PL"/>
        </w:rPr>
        <w:br w:type="page"/>
      </w:r>
    </w:p>
    <w:p w:rsidR="00D77650" w:rsidRPr="00D77650" w:rsidRDefault="00D77650" w:rsidP="00D77650">
      <w:pPr>
        <w:spacing w:before="0" w:after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D77650">
        <w:rPr>
          <w:rFonts w:eastAsia="Times New Roman" w:cs="Times New Roman"/>
          <w:b/>
          <w:bCs/>
          <w:color w:val="001D77"/>
          <w:szCs w:val="24"/>
          <w:lang w:eastAsia="pl-PL"/>
        </w:rPr>
        <w:lastRenderedPageBreak/>
        <w:t>Formy własności zasobów mieszkaniowych w budynkach objętych zarządem/administracją</w: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 xml:space="preserve">Spośród </w:t>
      </w:r>
      <w:r w:rsidR="00A7445D">
        <w:rPr>
          <w:rFonts w:eastAsia="Times New Roman" w:cs="Times New Roman"/>
          <w:bCs/>
          <w:szCs w:val="19"/>
          <w:lang w:eastAsia="pl-PL"/>
        </w:rPr>
        <w:t xml:space="preserve">ogółu mieszkań ok. </w:t>
      </w:r>
      <w:r w:rsidRPr="00D77650">
        <w:rPr>
          <w:rFonts w:eastAsia="Times New Roman" w:cs="Times New Roman"/>
          <w:bCs/>
          <w:szCs w:val="19"/>
          <w:lang w:eastAsia="pl-PL"/>
        </w:rPr>
        <w:t>6</w:t>
      </w:r>
      <w:r w:rsidR="006960DA">
        <w:rPr>
          <w:rFonts w:eastAsia="Times New Roman" w:cs="Times New Roman"/>
          <w:bCs/>
          <w:szCs w:val="19"/>
          <w:lang w:eastAsia="pl-PL"/>
        </w:rPr>
        <w:t> 052,8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tys. mieszkań znajd</w:t>
      </w:r>
      <w:r w:rsidR="00A7445D">
        <w:rPr>
          <w:rFonts w:eastAsia="Times New Roman" w:cs="Times New Roman"/>
          <w:bCs/>
          <w:szCs w:val="19"/>
          <w:lang w:eastAsia="pl-PL"/>
        </w:rPr>
        <w:t>owało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się w budynkach</w:t>
      </w:r>
      <w:r w:rsidR="00A7445D">
        <w:rPr>
          <w:rFonts w:eastAsia="Times New Roman" w:cs="Times New Roman"/>
          <w:bCs/>
          <w:szCs w:val="19"/>
          <w:lang w:eastAsia="pl-PL"/>
        </w:rPr>
        <w:t>, które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</w:t>
      </w:r>
      <w:r w:rsidR="00A7445D" w:rsidRPr="00D77650">
        <w:rPr>
          <w:rFonts w:eastAsia="Times New Roman" w:cs="Times New Roman"/>
          <w:bCs/>
          <w:szCs w:val="19"/>
          <w:lang w:eastAsia="pl-PL"/>
        </w:rPr>
        <w:t>pozosta</w:t>
      </w:r>
      <w:r w:rsidR="00A7445D">
        <w:rPr>
          <w:rFonts w:eastAsia="Times New Roman" w:cs="Times New Roman"/>
          <w:bCs/>
          <w:szCs w:val="19"/>
          <w:lang w:eastAsia="pl-PL"/>
        </w:rPr>
        <w:t>wały</w:t>
      </w:r>
      <w:r w:rsidR="00A7445D" w:rsidRPr="00D77650">
        <w:rPr>
          <w:rFonts w:eastAsia="Times New Roman" w:cs="Times New Roman"/>
          <w:bCs/>
          <w:szCs w:val="19"/>
          <w:lang w:eastAsia="pl-PL"/>
        </w:rPr>
        <w:t xml:space="preserve"> </w:t>
      </w:r>
      <w:r w:rsidRPr="00D77650">
        <w:rPr>
          <w:rFonts w:eastAsia="Times New Roman" w:cs="Times New Roman"/>
          <w:bCs/>
          <w:szCs w:val="19"/>
          <w:lang w:eastAsia="pl-PL"/>
        </w:rPr>
        <w:t>w zarządzie/administracji</w:t>
      </w:r>
      <w:r w:rsidR="00D808F8">
        <w:rPr>
          <w:rStyle w:val="Odwoanieprzypisudolnego"/>
          <w:rFonts w:eastAsia="Times New Roman" w:cs="Times New Roman"/>
          <w:bCs/>
          <w:szCs w:val="19"/>
          <w:lang w:eastAsia="pl-PL"/>
        </w:rPr>
        <w:footnoteReference w:id="1"/>
      </w:r>
      <w:r w:rsidR="00D25CFA">
        <w:rPr>
          <w:rFonts w:eastAsia="Times New Roman" w:cs="Times New Roman"/>
          <w:bCs/>
          <w:szCs w:val="19"/>
          <w:lang w:eastAsia="pl-PL"/>
        </w:rPr>
        <w:t>. P</w:t>
      </w:r>
      <w:r w:rsidR="00A7445D">
        <w:rPr>
          <w:rFonts w:eastAsia="Times New Roman" w:cs="Times New Roman"/>
          <w:bCs/>
          <w:szCs w:val="19"/>
          <w:lang w:eastAsia="pl-PL"/>
        </w:rPr>
        <w:t>rawie połowę, tj.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</w:t>
      </w:r>
      <w:r w:rsidR="006960DA">
        <w:rPr>
          <w:rFonts w:eastAsia="Times New Roman" w:cs="Times New Roman"/>
          <w:bCs/>
          <w:szCs w:val="19"/>
          <w:lang w:eastAsia="pl-PL"/>
        </w:rPr>
        <w:t>49,0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% </w:t>
      </w:r>
      <w:r w:rsidR="00A7445D" w:rsidRPr="00D77650">
        <w:rPr>
          <w:rFonts w:eastAsia="Times New Roman" w:cs="Times New Roman"/>
          <w:bCs/>
          <w:szCs w:val="19"/>
          <w:lang w:eastAsia="pl-PL"/>
        </w:rPr>
        <w:t>stanowi</w:t>
      </w:r>
      <w:r w:rsidR="00A7445D">
        <w:rPr>
          <w:rFonts w:eastAsia="Times New Roman" w:cs="Times New Roman"/>
          <w:bCs/>
          <w:szCs w:val="19"/>
          <w:lang w:eastAsia="pl-PL"/>
        </w:rPr>
        <w:t>ły</w:t>
      </w:r>
      <w:r w:rsidR="00A7445D" w:rsidRPr="00D77650">
        <w:rPr>
          <w:rFonts w:eastAsia="Times New Roman" w:cs="Times New Roman"/>
          <w:bCs/>
          <w:szCs w:val="19"/>
          <w:lang w:eastAsia="pl-PL"/>
        </w:rPr>
        <w:t xml:space="preserve"> 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mieszkania osób fizycznych w budynkach objętych wspólnotami mieszkaniowymi, </w:t>
      </w:r>
      <w:r w:rsidR="006960DA">
        <w:rPr>
          <w:rFonts w:eastAsia="Times New Roman" w:cs="Times New Roman"/>
          <w:bCs/>
          <w:szCs w:val="19"/>
          <w:lang w:eastAsia="pl-PL"/>
        </w:rPr>
        <w:t>33,5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% – będące własnością spółdzielni mieszkaniowych, </w:t>
      </w:r>
      <w:r w:rsidR="006960DA">
        <w:rPr>
          <w:rFonts w:eastAsia="Times New Roman" w:cs="Times New Roman"/>
          <w:bCs/>
          <w:szCs w:val="19"/>
          <w:lang w:eastAsia="pl-PL"/>
        </w:rPr>
        <w:t>13,9</w:t>
      </w:r>
      <w:r w:rsidRPr="00D77650">
        <w:rPr>
          <w:rFonts w:eastAsia="Times New Roman" w:cs="Times New Roman"/>
          <w:bCs/>
          <w:szCs w:val="19"/>
          <w:lang w:eastAsia="pl-PL"/>
        </w:rPr>
        <w:t>% – mieszkania komunalne, 1,</w:t>
      </w:r>
      <w:r w:rsidR="006960DA">
        <w:rPr>
          <w:rFonts w:eastAsia="Times New Roman" w:cs="Times New Roman"/>
          <w:bCs/>
          <w:szCs w:val="19"/>
          <w:lang w:eastAsia="pl-PL"/>
        </w:rPr>
        <w:t>7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% – </w:t>
      </w:r>
      <w:r w:rsidR="00774449">
        <w:rPr>
          <w:rFonts w:eastAsia="Times New Roman" w:cs="Times New Roman"/>
          <w:bCs/>
          <w:szCs w:val="19"/>
          <w:lang w:eastAsia="pl-PL"/>
        </w:rPr>
        <w:t>towarzystw budownictwa społecznego</w:t>
      </w:r>
      <w:r w:rsidRPr="00D77650">
        <w:rPr>
          <w:rFonts w:eastAsia="Times New Roman" w:cs="Times New Roman"/>
          <w:bCs/>
          <w:szCs w:val="19"/>
          <w:lang w:eastAsia="pl-PL"/>
        </w:rPr>
        <w:t>, 1,1% – zakładowe, 0,</w:t>
      </w:r>
      <w:r w:rsidR="001A47DD">
        <w:rPr>
          <w:rFonts w:eastAsia="Times New Roman" w:cs="Times New Roman"/>
          <w:bCs/>
          <w:szCs w:val="19"/>
          <w:lang w:eastAsia="pl-PL"/>
        </w:rPr>
        <w:t>5</w:t>
      </w:r>
      <w:r w:rsidRPr="00D77650">
        <w:rPr>
          <w:rFonts w:eastAsia="Times New Roman" w:cs="Times New Roman"/>
          <w:bCs/>
          <w:szCs w:val="19"/>
          <w:lang w:eastAsia="pl-PL"/>
        </w:rPr>
        <w:t>% – Skarbu Państwa i 0,</w:t>
      </w:r>
      <w:r w:rsidR="001A47DD">
        <w:rPr>
          <w:rFonts w:eastAsia="Times New Roman" w:cs="Times New Roman"/>
          <w:bCs/>
          <w:szCs w:val="19"/>
          <w:lang w:eastAsia="pl-PL"/>
        </w:rPr>
        <w:t>3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% </w:t>
      </w:r>
      <w:r w:rsidR="009D50CA" w:rsidRPr="009D50CA">
        <w:rPr>
          <w:rFonts w:eastAsia="Times New Roman" w:cs="Times New Roman"/>
          <w:bCs/>
          <w:szCs w:val="19"/>
          <w:lang w:eastAsia="pl-PL"/>
        </w:rPr>
        <w:t>–</w:t>
      </w:r>
      <w:r w:rsidR="009D50CA">
        <w:rPr>
          <w:rFonts w:eastAsia="Times New Roman" w:cs="Times New Roman"/>
          <w:bCs/>
          <w:szCs w:val="19"/>
          <w:lang w:eastAsia="pl-PL"/>
        </w:rPr>
        <w:t xml:space="preserve"> </w:t>
      </w:r>
      <w:r w:rsidRPr="00D77650">
        <w:rPr>
          <w:rFonts w:eastAsia="Times New Roman" w:cs="Times New Roman"/>
          <w:bCs/>
          <w:szCs w:val="19"/>
          <w:lang w:eastAsia="pl-PL"/>
        </w:rPr>
        <w:t>innych podmiotów.</w:t>
      </w:r>
    </w:p>
    <w:p w:rsidR="006960DA" w:rsidRDefault="006960DA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D77650" w:rsidRPr="00F7496A" w:rsidRDefault="00D77650" w:rsidP="00D77650">
      <w:pPr>
        <w:spacing w:before="0" w:after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bookmarkStart w:id="1" w:name="_Toc464548400"/>
      <w:bookmarkStart w:id="2" w:name="_Toc465667890"/>
      <w:bookmarkStart w:id="3" w:name="_Toc496870065"/>
      <w:r w:rsidRPr="00F7496A">
        <w:rPr>
          <w:rFonts w:eastAsia="Times New Roman" w:cs="Times New Roman"/>
          <w:b/>
          <w:bCs/>
          <w:color w:val="001D77"/>
          <w:szCs w:val="24"/>
          <w:lang w:eastAsia="pl-PL"/>
        </w:rPr>
        <w:t>Sprzedaż zasobów mieszkaniowych</w:t>
      </w:r>
      <w:bookmarkEnd w:id="1"/>
      <w:bookmarkEnd w:id="2"/>
      <w:bookmarkEnd w:id="3"/>
    </w:p>
    <w:p w:rsidR="00F7496A" w:rsidRDefault="00527ADD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962A782" wp14:editId="48C0FFD7">
                <wp:simplePos x="0" y="0"/>
                <wp:positionH relativeFrom="rightMargin">
                  <wp:align>left</wp:align>
                </wp:positionH>
                <wp:positionV relativeFrom="paragraph">
                  <wp:posOffset>18879</wp:posOffset>
                </wp:positionV>
                <wp:extent cx="1666875" cy="791210"/>
                <wp:effectExtent l="0" t="0" r="0" b="0"/>
                <wp:wrapTight wrapText="bothSides">
                  <wp:wrapPolygon edited="0">
                    <wp:start x="741" y="0"/>
                    <wp:lineTo x="741" y="20803"/>
                    <wp:lineTo x="20736" y="20803"/>
                    <wp:lineTo x="20736" y="0"/>
                    <wp:lineTo x="741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527ADD">
                            <w:pPr>
                              <w:pStyle w:val="tekstzboku"/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>2018 r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. kontynuowany był proces sprzedaży bądź zwrotu mieszkań dawnym właścicielom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A782" id="_x0000_s1033" type="#_x0000_t202" style="position:absolute;margin-left:0;margin-top:1.5pt;width:131.25pt;height:62.3pt;z-index:-25155993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9PEgIAAP8DAAAOAAAAZHJzL2Uyb0RvYy54bWysU9tu2zAMfR+wfxD0vviyXI04Rdeuw4Bu&#10;K9DtAxRZjoVKoiYpsbOvLyUnWbC9DfODIJrkIc8htb4ZtCIH4bwEU9NiklMiDIdGml1Nf3x/eLek&#10;xAdmGqbAiJoehac3m7dv1r2tRAkdqEY4giDGV72taReCrbLM805o5idghUFnC06zgKbbZY1jPaJr&#10;lZV5Ps96cI11wIX3+Pd+dNJNwm9bwcO3tvUiEFVT7C2k06VzG89ss2bVzjHbSX5qg/1DF5pJg0Uv&#10;UPcsMLJ38i8oLbkDD22YcNAZtK3kInFANkX+B5vnjlmRuKA43l5k8v8Pln89PDkiG5zde0oM0zij&#10;J1CCBPHiA/SClFGj3voKQ58tBofhAwwYn/h6+wj8xRMDdx0zO3HrHPSdYA32WMTM7Cp1xPERZNt/&#10;gQZrsX2ABDS0TkcBURKC6Dir42U+YgiEx5Lz+Xy5mFHC0bdYFWWRBpix6pxtnQ+fBGgSLzV1OP+E&#10;zg6PPsRuWHUOicUMPEil0g4oQ/qarmblLCVcebQMuKJK6pou8/iNSxNJfjRNSg5MqvGOBZQ5sY5E&#10;R8ph2A5J5MVZzC00R5TBwbiR+ILw0oH7RUmP21hT/3PPnKBEfTYo5aqYTuP6JmM6W5RouGvP9trD&#10;DEeomgZKxutdSCs/Ur5FyVuZ1IizGTs5tYxblkQ6vYi4xtd2ivr9bjevAAAA//8DAFBLAwQUAAYA&#10;CAAAACEAqfTJmNsAAAAGAQAADwAAAGRycy9kb3ducmV2LnhtbEyPwU7DMBBE70j8g7VI3KhNoCmE&#10;OBUCcQVRKBK3bbxNIuJ1FLtN+HuWE5xGqxnNvC3Xs+/VkcbYBbZwuTCgiOvgOm4svL89XdyAignZ&#10;YR+YLHxThHV1elJi4cLEr3TcpEZJCccCLbQpDYXWsW7JY1yEgVi8fRg9JjnHRrsRJyn3vc6MybXH&#10;jmWhxYEeWqq/NgdvYfu8//y4Ni/No18OU5iNZn+rrT0/m+/vQCWa018YfvEFHSph2oUDu6h6C/JI&#10;snAlImaWZ0tQO0llqxx0Ver/+NUPAAAA//8DAFBLAQItABQABgAIAAAAIQC2gziS/gAAAOEBAAAT&#10;AAAAAAAAAAAAAAAAAAAAAABbQ29udGVudF9UeXBlc10ueG1sUEsBAi0AFAAGAAgAAAAhADj9If/W&#10;AAAAlAEAAAsAAAAAAAAAAAAAAAAALwEAAF9yZWxzLy5yZWxzUEsBAi0AFAAGAAgAAAAhAM+OL08S&#10;AgAA/wMAAA4AAAAAAAAAAAAAAAAALgIAAGRycy9lMm9Eb2MueG1sUEsBAi0AFAAGAAgAAAAhAKn0&#10;yZjbAAAABgEAAA8AAAAAAAAAAAAAAAAAbAQAAGRycy9kb3ducmV2LnhtbFBLBQYAAAAABAAEAPMA&#10;AAB0BQAAAAA=&#10;" filled="f" stroked="f">
                <v:textbox>
                  <w:txbxContent>
                    <w:p w:rsidR="002463D2" w:rsidRPr="00074DD8" w:rsidRDefault="002463D2" w:rsidP="00527ADD">
                      <w:pPr>
                        <w:pStyle w:val="tekstzboku"/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>2018 r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. kontynuowany był proces sprzedaży bądź zwrotu mieszkań dawnym właścicielom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>W 2018 r. kontynuowany był proces sprzedaży bądź zwrotu mieszkań dawnym właścicielom (nabywanie mieszkań przez osoby fizyczne). Proces sprzedaży obejmował mieszkania znajdujące się w budynkach wielomieszkaniowych oraz</w:t>
      </w:r>
      <w:r w:rsidR="008A5220">
        <w:rPr>
          <w:rFonts w:eastAsia="Times New Roman" w:cs="Times New Roman"/>
          <w:bCs/>
          <w:szCs w:val="19"/>
          <w:lang w:eastAsia="pl-PL"/>
        </w:rPr>
        <w:t xml:space="preserve"> </w:t>
      </w:r>
      <w:r w:rsidRPr="00D77650">
        <w:rPr>
          <w:rFonts w:eastAsia="Times New Roman" w:cs="Times New Roman"/>
          <w:bCs/>
          <w:szCs w:val="19"/>
          <w:lang w:eastAsia="pl-PL"/>
        </w:rPr>
        <w:t>mieszkania w budynkach, które zostały sprzedane w całości pojedynczym osobom fizycznym. W analizowanym okresie osobom fizycznym sprzedano p</w:t>
      </w:r>
      <w:r w:rsidR="001A47DD">
        <w:rPr>
          <w:rFonts w:eastAsia="Times New Roman" w:cs="Times New Roman"/>
          <w:bCs/>
          <w:szCs w:val="19"/>
          <w:lang w:eastAsia="pl-PL"/>
        </w:rPr>
        <w:t>rawie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134 tys. mieszkań.</w:t>
      </w:r>
    </w:p>
    <w:p w:rsidR="006960DA" w:rsidRPr="00D77650" w:rsidRDefault="006960DA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D77650" w:rsidRPr="002B37FF" w:rsidRDefault="00D77650" w:rsidP="002A1B4D">
      <w:pPr>
        <w:spacing w:before="0" w:after="0"/>
        <w:ind w:left="851" w:hanging="851"/>
        <w:rPr>
          <w:rFonts w:eastAsia="Times New Roman" w:cs="Times New Roman"/>
          <w:b/>
          <w:bCs/>
          <w:sz w:val="18"/>
          <w:szCs w:val="18"/>
          <w:lang w:eastAsia="pl-PL"/>
        </w:rPr>
      </w:pPr>
      <w:bookmarkStart w:id="4" w:name="_Toc496766922"/>
      <w:r w:rsidRPr="002B37FF">
        <w:rPr>
          <w:rFonts w:eastAsia="Times New Roman" w:cs="Times New Roman"/>
          <w:b/>
          <w:bCs/>
          <w:sz w:val="18"/>
          <w:szCs w:val="18"/>
          <w:lang w:eastAsia="pl-PL"/>
        </w:rPr>
        <w:t>Tabl</w:t>
      </w:r>
      <w:r w:rsidR="00093FCD" w:rsidRPr="002B37FF">
        <w:rPr>
          <w:rFonts w:eastAsia="Times New Roman" w:cs="Times New Roman"/>
          <w:b/>
          <w:bCs/>
          <w:sz w:val="18"/>
          <w:szCs w:val="18"/>
          <w:lang w:eastAsia="pl-PL"/>
        </w:rPr>
        <w:t>ica</w:t>
      </w:r>
      <w:r w:rsidRPr="002B37FF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</w:t>
      </w:r>
      <w:r w:rsidR="002B37FF" w:rsidRPr="002B37FF">
        <w:rPr>
          <w:rFonts w:eastAsia="Times New Roman" w:cs="Times New Roman"/>
          <w:b/>
          <w:bCs/>
          <w:sz w:val="18"/>
          <w:szCs w:val="18"/>
          <w:lang w:eastAsia="pl-PL"/>
        </w:rPr>
        <w:t>3.</w:t>
      </w:r>
      <w:r w:rsidRPr="002B37FF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</w:t>
      </w:r>
      <w:r w:rsidR="002A1B4D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</w:t>
      </w:r>
      <w:r w:rsidRPr="002B37FF">
        <w:rPr>
          <w:rFonts w:eastAsia="Times New Roman" w:cs="Times New Roman"/>
          <w:b/>
          <w:bCs/>
          <w:sz w:val="18"/>
          <w:szCs w:val="18"/>
          <w:lang w:eastAsia="pl-PL"/>
        </w:rPr>
        <w:t xml:space="preserve">Liczba i struktura mieszkań sprzedanych w </w:t>
      </w:r>
      <w:r w:rsidR="006D31FD">
        <w:rPr>
          <w:rFonts w:eastAsia="Times New Roman" w:cs="Times New Roman"/>
          <w:b/>
          <w:bCs/>
          <w:sz w:val="18"/>
          <w:szCs w:val="18"/>
          <w:lang w:eastAsia="pl-PL"/>
        </w:rPr>
        <w:t>latach 2017-</w:t>
      </w:r>
      <w:r w:rsidRPr="002B37FF">
        <w:rPr>
          <w:rFonts w:eastAsia="Times New Roman" w:cs="Times New Roman"/>
          <w:b/>
          <w:bCs/>
          <w:sz w:val="18"/>
          <w:szCs w:val="18"/>
          <w:lang w:eastAsia="pl-PL"/>
        </w:rPr>
        <w:t>2018 według rodzaju jednostki będące</w:t>
      </w:r>
      <w:r w:rsidR="006D31FD">
        <w:rPr>
          <w:rFonts w:eastAsia="Times New Roman" w:cs="Times New Roman"/>
          <w:b/>
          <w:bCs/>
          <w:sz w:val="18"/>
          <w:szCs w:val="18"/>
          <w:lang w:eastAsia="pl-PL"/>
        </w:rPr>
        <w:t>j</w:t>
      </w:r>
      <w:r w:rsidRPr="002B37FF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właścicielem</w:t>
      </w:r>
      <w:bookmarkEnd w:id="4"/>
    </w:p>
    <w:p w:rsidR="00093FCD" w:rsidRPr="005160F9" w:rsidRDefault="00093FCD" w:rsidP="00093FCD">
      <w:pPr>
        <w:spacing w:before="0" w:after="0" w:line="240" w:lineRule="auto"/>
        <w:rPr>
          <w:rFonts w:eastAsia="Times New Roman" w:cs="Times New Roman"/>
          <w:bCs/>
          <w:szCs w:val="19"/>
          <w:lang w:eastAsia="pl-PL"/>
        </w:rPr>
      </w:pPr>
    </w:p>
    <w:tbl>
      <w:tblPr>
        <w:tblW w:w="7792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596"/>
        <w:gridCol w:w="1276"/>
      </w:tblGrid>
      <w:tr w:rsidR="00D77650" w:rsidRPr="006B7D12" w:rsidTr="00B7368E">
        <w:trPr>
          <w:trHeight w:val="283"/>
        </w:trPr>
        <w:tc>
          <w:tcPr>
            <w:tcW w:w="4920" w:type="dxa"/>
            <w:vMerge w:val="restart"/>
            <w:tcBorders>
              <w:top w:val="nil"/>
              <w:bottom w:val="single" w:sz="12" w:space="0" w:color="001D77"/>
            </w:tcBorders>
            <w:shd w:val="clear" w:color="auto" w:fill="auto"/>
            <w:noWrap/>
            <w:vAlign w:val="center"/>
            <w:hideMark/>
          </w:tcPr>
          <w:p w:rsidR="00D77650" w:rsidRPr="00F7496A" w:rsidRDefault="00D77650" w:rsidP="00F7496A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872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D77650" w:rsidRPr="00F7496A" w:rsidRDefault="009D50CA" w:rsidP="00B7368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Mieszkania</w:t>
            </w:r>
          </w:p>
        </w:tc>
      </w:tr>
      <w:tr w:rsidR="00D77650" w:rsidRPr="006B7D12" w:rsidTr="00B7368E">
        <w:trPr>
          <w:trHeight w:val="510"/>
        </w:trPr>
        <w:tc>
          <w:tcPr>
            <w:tcW w:w="4920" w:type="dxa"/>
            <w:vMerge/>
            <w:tcBorders>
              <w:top w:val="single" w:sz="12" w:space="0" w:color="001D77"/>
              <w:bottom w:val="single" w:sz="12" w:space="0" w:color="001D77"/>
            </w:tcBorders>
            <w:vAlign w:val="center"/>
            <w:hideMark/>
          </w:tcPr>
          <w:p w:rsidR="00D77650" w:rsidRPr="00F7496A" w:rsidRDefault="00D77650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77650" w:rsidRPr="00F7496A" w:rsidRDefault="00D77650" w:rsidP="009D50C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liczb</w:t>
            </w:r>
            <w:r w:rsidR="009D50CA">
              <w:rPr>
                <w:rFonts w:eastAsia="Times New Roman" w:cs="Calibri"/>
                <w:sz w:val="16"/>
                <w:szCs w:val="16"/>
                <w:lang w:eastAsia="pl-PL"/>
              </w:rPr>
              <w:t>y</w:t>
            </w: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 xml:space="preserve"> bezwzględn</w:t>
            </w:r>
            <w:r w:rsidR="009D50CA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noWrap/>
            <w:vAlign w:val="center"/>
            <w:hideMark/>
          </w:tcPr>
          <w:p w:rsidR="00D77650" w:rsidRPr="00F7496A" w:rsidRDefault="00D77650" w:rsidP="00B7368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%</w:t>
            </w:r>
          </w:p>
        </w:tc>
      </w:tr>
      <w:tr w:rsidR="00D77650" w:rsidRPr="006B7D12" w:rsidTr="00B45508">
        <w:trPr>
          <w:trHeight w:val="283"/>
        </w:trPr>
        <w:tc>
          <w:tcPr>
            <w:tcW w:w="492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D77650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59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D4787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13</w:t>
            </w:r>
            <w:r w:rsidR="006D4787">
              <w:rPr>
                <w:rFonts w:eastAsia="Times New Roman" w:cs="Calibri"/>
                <w:b/>
                <w:sz w:val="16"/>
                <w:szCs w:val="16"/>
                <w:lang w:eastAsia="pl-PL"/>
              </w:rPr>
              <w:t>3</w:t>
            </w:r>
            <w:r w:rsidRPr="00F7496A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 </w:t>
            </w:r>
            <w:r w:rsidR="006D31F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99</w:t>
            </w:r>
            <w:r w:rsidRPr="00F7496A">
              <w:rPr>
                <w:rFonts w:eastAsia="Times New Roman" w:cs="Calibri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100</w:t>
            </w:r>
            <w:r w:rsidR="009D50CA">
              <w:rPr>
                <w:rFonts w:eastAsia="Times New Roman" w:cs="Calibri"/>
                <w:b/>
                <w:sz w:val="16"/>
                <w:szCs w:val="16"/>
                <w:lang w:eastAsia="pl-PL"/>
              </w:rPr>
              <w:t>,0</w:t>
            </w:r>
          </w:p>
        </w:tc>
      </w:tr>
      <w:tr w:rsidR="00D77650" w:rsidRPr="006B7D12" w:rsidTr="00B45508">
        <w:trPr>
          <w:trHeight w:val="283"/>
        </w:trPr>
        <w:tc>
          <w:tcPr>
            <w:tcW w:w="4920" w:type="dxa"/>
            <w:tcBorders>
              <w:top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B45508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g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>miny</w:t>
            </w:r>
          </w:p>
        </w:tc>
        <w:tc>
          <w:tcPr>
            <w:tcW w:w="1596" w:type="dxa"/>
            <w:tcBorders>
              <w:top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34 7</w:t>
            </w:r>
            <w:r w:rsidR="006D31FD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D4787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26,</w:t>
            </w:r>
            <w:r w:rsidR="006D4787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="00D77650" w:rsidRPr="006B7D12" w:rsidTr="00B45508">
        <w:trPr>
          <w:trHeight w:val="283"/>
        </w:trPr>
        <w:tc>
          <w:tcPr>
            <w:tcW w:w="4920" w:type="dxa"/>
            <w:shd w:val="clear" w:color="000000" w:fill="FFFFFF"/>
            <w:noWrap/>
            <w:vAlign w:val="bottom"/>
            <w:hideMark/>
          </w:tcPr>
          <w:p w:rsidR="00D77650" w:rsidRPr="00F7496A" w:rsidRDefault="00B45508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>półdzielnie mieszkaniowe</w:t>
            </w:r>
          </w:p>
        </w:tc>
        <w:tc>
          <w:tcPr>
            <w:tcW w:w="1596" w:type="dxa"/>
            <w:shd w:val="clear" w:color="000000" w:fill="FFFFFF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50 686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37,8</w:t>
            </w:r>
          </w:p>
        </w:tc>
      </w:tr>
      <w:tr w:rsidR="00D77650" w:rsidRPr="006B7D12" w:rsidTr="00B45508">
        <w:trPr>
          <w:trHeight w:val="283"/>
        </w:trPr>
        <w:tc>
          <w:tcPr>
            <w:tcW w:w="4920" w:type="dxa"/>
            <w:shd w:val="clear" w:color="auto" w:fill="auto"/>
            <w:noWrap/>
            <w:vAlign w:val="bottom"/>
            <w:hideMark/>
          </w:tcPr>
          <w:p w:rsidR="00D77650" w:rsidRPr="00F7496A" w:rsidRDefault="00774449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Skarb P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>aństwa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1 159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0,9</w:t>
            </w:r>
          </w:p>
        </w:tc>
      </w:tr>
      <w:tr w:rsidR="00D77650" w:rsidRPr="006B7D12" w:rsidTr="00B45508">
        <w:trPr>
          <w:trHeight w:val="283"/>
        </w:trPr>
        <w:tc>
          <w:tcPr>
            <w:tcW w:w="4920" w:type="dxa"/>
            <w:shd w:val="clear" w:color="auto" w:fill="auto"/>
            <w:noWrap/>
            <w:vAlign w:val="bottom"/>
            <w:hideMark/>
          </w:tcPr>
          <w:p w:rsidR="00D77650" w:rsidRPr="00F7496A" w:rsidRDefault="00B45508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z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>akłady pracy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6 626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4,9</w:t>
            </w:r>
          </w:p>
        </w:tc>
      </w:tr>
      <w:tr w:rsidR="00D77650" w:rsidRPr="006B7D12" w:rsidTr="00B45508">
        <w:trPr>
          <w:trHeight w:val="283"/>
        </w:trPr>
        <w:tc>
          <w:tcPr>
            <w:tcW w:w="4920" w:type="dxa"/>
            <w:shd w:val="clear" w:color="auto" w:fill="auto"/>
            <w:noWrap/>
            <w:vAlign w:val="bottom"/>
            <w:hideMark/>
          </w:tcPr>
          <w:p w:rsidR="00D77650" w:rsidRPr="00F7496A" w:rsidRDefault="00B45508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>spólnoty mieszkaniowe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D77650" w:rsidRPr="006B7D12" w:rsidTr="00B45508">
        <w:trPr>
          <w:trHeight w:val="283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:rsidR="00D77650" w:rsidRPr="00F7496A" w:rsidRDefault="009D50CA" w:rsidP="00774449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 xml:space="preserve">owarzystwa </w:t>
            </w:r>
            <w:r w:rsidR="00774449">
              <w:rPr>
                <w:rFonts w:eastAsia="Times New Roman" w:cs="Calibri"/>
                <w:sz w:val="16"/>
                <w:szCs w:val="16"/>
                <w:lang w:eastAsia="pl-PL"/>
              </w:rPr>
              <w:t>b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 xml:space="preserve">udownictwa </w:t>
            </w:r>
            <w:r w:rsidR="00774449"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>połecznego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0,3</w:t>
            </w:r>
          </w:p>
        </w:tc>
      </w:tr>
      <w:tr w:rsidR="00D77650" w:rsidRPr="006B7D12" w:rsidTr="00B45508">
        <w:trPr>
          <w:trHeight w:val="283"/>
        </w:trPr>
        <w:tc>
          <w:tcPr>
            <w:tcW w:w="4920" w:type="dxa"/>
            <w:shd w:val="clear" w:color="000000" w:fill="FFFFFF"/>
            <w:noWrap/>
            <w:vAlign w:val="bottom"/>
            <w:hideMark/>
          </w:tcPr>
          <w:p w:rsidR="00D77650" w:rsidRPr="00F7496A" w:rsidRDefault="00B45508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>nne podmioty</w:t>
            </w:r>
          </w:p>
        </w:tc>
        <w:tc>
          <w:tcPr>
            <w:tcW w:w="1596" w:type="dxa"/>
            <w:shd w:val="clear" w:color="000000" w:fill="FFFFFF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40 396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D77650" w:rsidRPr="00F7496A" w:rsidRDefault="00D77650" w:rsidP="00DD16F5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30,1</w:t>
            </w:r>
          </w:p>
        </w:tc>
      </w:tr>
    </w:tbl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D77650" w:rsidRPr="00D77650" w:rsidRDefault="00D77650" w:rsidP="00D77650">
      <w:pPr>
        <w:pStyle w:val="Nagwek1"/>
        <w:spacing w:before="0" w:after="0"/>
        <w:rPr>
          <w:rFonts w:ascii="Fira Sans" w:hAnsi="Fira Sans"/>
          <w:b/>
        </w:rPr>
      </w:pPr>
      <w:r w:rsidRPr="00D77650">
        <w:rPr>
          <w:rFonts w:ascii="Fira Sans" w:hAnsi="Fira Sans"/>
          <w:b/>
        </w:rPr>
        <w:t>Zaległości w opłatach za mieszkania</w:t>
      </w:r>
    </w:p>
    <w:p w:rsidR="00D77650" w:rsidRDefault="005160F9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0EDB0399" wp14:editId="0325B97C">
                <wp:simplePos x="0" y="0"/>
                <wp:positionH relativeFrom="rightMargin">
                  <wp:align>left</wp:align>
                </wp:positionH>
                <wp:positionV relativeFrom="paragraph">
                  <wp:posOffset>12118</wp:posOffset>
                </wp:positionV>
                <wp:extent cx="1704975" cy="791210"/>
                <wp:effectExtent l="0" t="0" r="0" b="0"/>
                <wp:wrapTight wrapText="bothSides">
                  <wp:wrapPolygon edited="0">
                    <wp:start x="724" y="0"/>
                    <wp:lineTo x="724" y="20803"/>
                    <wp:lineTo x="20755" y="20803"/>
                    <wp:lineTo x="20755" y="0"/>
                    <wp:lineTo x="72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384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527ADD">
                            <w:pPr>
                              <w:pStyle w:val="tekstzboku"/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Według stanu na 31.12.</w:t>
                            </w:r>
                            <w:r w:rsidRPr="005160F9">
                              <w:t xml:space="preserve">2018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r. w 25,5% mieszkań lokatorzy zalegali z opłatami za mieszkanie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0399" id="_x0000_s1034" type="#_x0000_t202" style="position:absolute;margin-left:0;margin-top:.95pt;width:134.25pt;height:62.3pt;z-index:-2515578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ZXEgIAAP8DAAAOAAAAZHJzL2Uyb0RvYy54bWysU9uO0zAQfUfiHyy/01xoaRs1XS27LEJa&#10;YKWFD3Acp7HW9hjbbVK+nrHTlgreEHmwPJmZM3POjDc3o1bkIJyXYGpazHJKhOHQSrOr6fdvD29W&#10;lPjATMsUGFHTo/D0Zvv61WawlSihB9UKRxDE+GqwNe1DsFWWed4LzfwMrDDo7MBpFtB0u6x1bEB0&#10;rbIyz99lA7jWOuDCe/x7PznpNuF3neDha9d5EYiqKfYW0unS2cQz225YtXPM9pKf2mD/0IVm0mDR&#10;C9Q9C4zsnfwLSkvuwEMXZhx0Bl0nuUgckE2R/8HmuWdWJC4ojrcXmfz/g+VfDk+OyBZnN6fEMI0z&#10;egIlSBAvPsAgSBk1GqyvMPTZYnAY38OI8Ymvt4/AXzwxcNczsxO3zsHQC9Zij0XMzK5SJxwfQZrh&#10;M7RYi+0DJKCxczoKiJIQRMdZHS/zEWMgPJZc5ou3K+yTo2+5LsoiDTBj1TnbOh8+CtAkXmrqcP4J&#10;nR0efYjdsOocEosZeJBKpR1Qhgw1XS/KRUq48mgZcEWV1DVd5fGbliaS/GDalByYVNMdCyhzYh2J&#10;TpTD2IxJ5NVZzAbaI8rgYNpIfEF46cH9pGTAbayp/7FnTlCiPhmUcl3M53F9kzFfLEs03LWnufYw&#10;wxGqpoGS6XoX0spPlG9R8k4mNeJspk5OLeOWJZFOLyKu8bWdon6/2+0vAAAA//8DAFBLAwQUAAYA&#10;CAAAACEASHkdqtoAAAAGAQAADwAAAGRycy9kb3ducmV2LnhtbEyPzU7DMBCE70i8g7VI3KhNRKI2&#10;xKkQiCuI8iNx28bbJCJeR7HbhLdnOcFxdlYz31TbxQ/qRFPsA1u4XhlQxE1wPbcW3l4fr9agYkJ2&#10;OAQmC98UYVufn1VYujDzC512qVUSwrFEC11KY6l1bDryGFdhJBbvECaPSeTUajfhLOF+0JkxhfbY&#10;szR0ONJ9R83X7ugtvD8dPj9uzHP74PNxDovR7Dfa2suL5e4WVKIl/T3DL76gQy1M+3BkF9VgQYYk&#10;uW5AiZkV6xzUXnRW5KDrSv/Hr38AAAD//wMAUEsBAi0AFAAGAAgAAAAhALaDOJL+AAAA4QEAABMA&#10;AAAAAAAAAAAAAAAAAAAAAFtDb250ZW50X1R5cGVzXS54bWxQSwECLQAUAAYACAAAACEAOP0h/9YA&#10;AACUAQAACwAAAAAAAAAAAAAAAAAvAQAAX3JlbHMvLnJlbHNQSwECLQAUAAYACAAAACEAnDHmVxIC&#10;AAD/AwAADgAAAAAAAAAAAAAAAAAuAgAAZHJzL2Uyb0RvYy54bWxQSwECLQAUAAYACAAAACEASHkd&#10;qtoAAAAGAQAADwAAAAAAAAAAAAAAAABsBAAAZHJzL2Rvd25yZXYueG1sUEsFBgAAAAAEAAQA8wAA&#10;AHMFAAAAAA==&#10;" filled="f" stroked="f">
                <v:textbox>
                  <w:txbxContent>
                    <w:p w:rsidR="002463D2" w:rsidRPr="00074DD8" w:rsidRDefault="002463D2" w:rsidP="00527ADD">
                      <w:pPr>
                        <w:pStyle w:val="tekstzboku"/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Według stanu na 31.12.</w:t>
                      </w:r>
                      <w:r w:rsidRPr="005160F9">
                        <w:t xml:space="preserve">2018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r. w 25,5% mieszkań lokatorzy zalegali z opłatami za mieszkanie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2030D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>Według stanu na 31 grudnia 201</w:t>
      </w:r>
      <w:r w:rsidR="006D31FD">
        <w:rPr>
          <w:rFonts w:eastAsia="Times New Roman" w:cs="Times New Roman"/>
          <w:bCs/>
          <w:szCs w:val="19"/>
          <w:lang w:eastAsia="pl-PL"/>
        </w:rPr>
        <w:t>8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r. z ok. 7,5 mln zasobów mieszkaniowych (łącznie z</w:t>
      </w:r>
      <w:r w:rsidR="00C748E3">
        <w:rPr>
          <w:rFonts w:eastAsia="Times New Roman" w:cs="Times New Roman"/>
          <w:bCs/>
          <w:szCs w:val="19"/>
          <w:lang w:eastAsia="pl-PL"/>
        </w:rPr>
        <w:t> </w:t>
      </w:r>
      <w:r w:rsidRPr="00D77650">
        <w:rPr>
          <w:rFonts w:eastAsia="Times New Roman" w:cs="Times New Roman"/>
          <w:bCs/>
          <w:szCs w:val="19"/>
          <w:lang w:eastAsia="pl-PL"/>
        </w:rPr>
        <w:t>mieszkaniami stanowiącymi odrębną własność, a zarządzanymi nadal przez s</w:t>
      </w:r>
      <w:r w:rsidR="006D4787">
        <w:rPr>
          <w:rFonts w:eastAsia="Times New Roman" w:cs="Times New Roman"/>
          <w:bCs/>
          <w:szCs w:val="19"/>
          <w:lang w:eastAsia="pl-PL"/>
        </w:rPr>
        <w:t>półdzielnie mieszkaniowe) w 25,5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% mieszkań lokatorzy zalegali z opłatami za mieszkanie. Łączna kwota zaległości od początku ich powstania (wraz z odsetkami) z tytułu nieuiszczania opłat za mieszkanie wyniosła około </w:t>
      </w:r>
      <w:r w:rsidR="006D4787">
        <w:rPr>
          <w:rFonts w:eastAsia="Times New Roman" w:cs="Times New Roman"/>
          <w:bCs/>
          <w:szCs w:val="19"/>
          <w:lang w:eastAsia="pl-PL"/>
        </w:rPr>
        <w:t>6,5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mld </w:t>
      </w:r>
      <w:r w:rsidR="00DF3119">
        <w:rPr>
          <w:rFonts w:eastAsia="Times New Roman" w:cs="Times New Roman"/>
          <w:bCs/>
          <w:szCs w:val="19"/>
          <w:lang w:eastAsia="pl-PL"/>
        </w:rPr>
        <w:t>PLN</w:t>
      </w:r>
      <w:r w:rsidRPr="00D77650">
        <w:rPr>
          <w:rFonts w:eastAsia="Times New Roman" w:cs="Times New Roman"/>
          <w:bCs/>
          <w:szCs w:val="19"/>
          <w:lang w:eastAsia="pl-PL"/>
        </w:rPr>
        <w:t>.</w: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D77650" w:rsidRDefault="00093FCD" w:rsidP="00D77650">
      <w:pPr>
        <w:spacing w:before="0" w:after="0"/>
        <w:rPr>
          <w:rFonts w:eastAsia="Times New Roman" w:cs="Times New Roman"/>
          <w:b/>
          <w:bCs/>
          <w:sz w:val="18"/>
          <w:szCs w:val="18"/>
          <w:lang w:eastAsia="pl-PL"/>
        </w:rPr>
      </w:pPr>
      <w:bookmarkStart w:id="5" w:name="_Toc496766924"/>
      <w:r w:rsidRPr="002B37FF">
        <w:rPr>
          <w:rFonts w:eastAsia="Times New Roman" w:cs="Times New Roman"/>
          <w:b/>
          <w:bCs/>
          <w:sz w:val="18"/>
          <w:szCs w:val="18"/>
          <w:lang w:eastAsia="pl-PL"/>
        </w:rPr>
        <w:t>Tablica 4</w:t>
      </w:r>
      <w:r w:rsidR="002B37FF" w:rsidRPr="002B37FF">
        <w:rPr>
          <w:rFonts w:eastAsia="Times New Roman" w:cs="Times New Roman"/>
          <w:b/>
          <w:bCs/>
          <w:sz w:val="18"/>
          <w:szCs w:val="18"/>
          <w:lang w:eastAsia="pl-PL"/>
        </w:rPr>
        <w:t>.</w:t>
      </w:r>
      <w:r w:rsidRPr="002B37FF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</w:t>
      </w:r>
      <w:r w:rsidR="00D77650" w:rsidRPr="002B37FF">
        <w:rPr>
          <w:rFonts w:eastAsia="Times New Roman" w:cs="Times New Roman"/>
          <w:b/>
          <w:bCs/>
          <w:sz w:val="18"/>
          <w:szCs w:val="18"/>
          <w:lang w:eastAsia="pl-PL"/>
        </w:rPr>
        <w:t xml:space="preserve">Zaległości w opłatach za mieszkanie według form własności </w:t>
      </w:r>
      <w:r w:rsidR="003A1BEF">
        <w:rPr>
          <w:rFonts w:eastAsia="Times New Roman" w:cs="Times New Roman"/>
          <w:b/>
          <w:bCs/>
          <w:sz w:val="18"/>
          <w:szCs w:val="18"/>
          <w:lang w:eastAsia="pl-PL"/>
        </w:rPr>
        <w:t xml:space="preserve">(stan </w:t>
      </w:r>
      <w:r w:rsidR="00D77650" w:rsidRPr="002B37FF">
        <w:rPr>
          <w:rFonts w:eastAsia="Times New Roman" w:cs="Times New Roman"/>
          <w:b/>
          <w:bCs/>
          <w:sz w:val="18"/>
          <w:szCs w:val="18"/>
          <w:lang w:eastAsia="pl-PL"/>
        </w:rPr>
        <w:t>na 31.12.2018 r.</w:t>
      </w:r>
      <w:bookmarkEnd w:id="5"/>
      <w:r w:rsidR="003A1BEF">
        <w:rPr>
          <w:rFonts w:eastAsia="Times New Roman" w:cs="Times New Roman"/>
          <w:b/>
          <w:bCs/>
          <w:sz w:val="18"/>
          <w:szCs w:val="18"/>
          <w:lang w:eastAsia="pl-PL"/>
        </w:rPr>
        <w:t>)</w:t>
      </w:r>
    </w:p>
    <w:p w:rsidR="006D4787" w:rsidRPr="002B37FF" w:rsidRDefault="006D4787" w:rsidP="00D77650">
      <w:pPr>
        <w:spacing w:before="0" w:after="0"/>
        <w:rPr>
          <w:rFonts w:eastAsia="Times New Roman" w:cs="Times New Roman"/>
          <w:b/>
          <w:bCs/>
          <w:sz w:val="18"/>
          <w:szCs w:val="18"/>
          <w:lang w:eastAsia="pl-PL"/>
        </w:rPr>
      </w:pPr>
    </w:p>
    <w:tbl>
      <w:tblPr>
        <w:tblW w:w="7511" w:type="dxa"/>
        <w:tblBorders>
          <w:insideH w:val="single" w:sz="12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134"/>
        <w:gridCol w:w="1134"/>
        <w:gridCol w:w="2196"/>
      </w:tblGrid>
      <w:tr w:rsidR="00F7496A" w:rsidRPr="00F7496A" w:rsidTr="006D4787">
        <w:trPr>
          <w:trHeight w:val="1037"/>
        </w:trPr>
        <w:tc>
          <w:tcPr>
            <w:tcW w:w="3047" w:type="dxa"/>
            <w:vMerge w:val="restart"/>
            <w:vAlign w:val="center"/>
            <w:hideMark/>
          </w:tcPr>
          <w:p w:rsidR="00D77650" w:rsidRPr="00F7496A" w:rsidRDefault="00DF3119" w:rsidP="00DF3119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Zasoby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001D77"/>
            </w:tcBorders>
            <w:vAlign w:val="center"/>
            <w:hideMark/>
          </w:tcPr>
          <w:p w:rsidR="00D77650" w:rsidRPr="00F7496A" w:rsidRDefault="00035198" w:rsidP="00F7496A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Zaległości</w:t>
            </w:r>
          </w:p>
        </w:tc>
        <w:tc>
          <w:tcPr>
            <w:tcW w:w="2196" w:type="dxa"/>
            <w:tcBorders>
              <w:top w:val="nil"/>
              <w:bottom w:val="single" w:sz="4" w:space="0" w:color="001D77"/>
            </w:tcBorders>
            <w:vAlign w:val="center"/>
            <w:hideMark/>
          </w:tcPr>
          <w:p w:rsidR="00D77650" w:rsidRPr="00F7496A" w:rsidRDefault="00035198" w:rsidP="00DF3119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Przeciętna kwota zaległości na 1 mieszkanie, których lokatorzy zalegają z</w:t>
            </w:r>
            <w:r w:rsidR="00DF3119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opłatami za mieszkanie</w:t>
            </w:r>
          </w:p>
        </w:tc>
      </w:tr>
      <w:tr w:rsidR="00F7496A" w:rsidRPr="00F7496A" w:rsidTr="006D4787">
        <w:trPr>
          <w:trHeight w:val="315"/>
        </w:trPr>
        <w:tc>
          <w:tcPr>
            <w:tcW w:w="3047" w:type="dxa"/>
            <w:vMerge/>
            <w:vAlign w:val="center"/>
            <w:hideMark/>
          </w:tcPr>
          <w:p w:rsidR="00D77650" w:rsidRPr="00F7496A" w:rsidRDefault="00D77650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D77650" w:rsidRPr="00F7496A" w:rsidRDefault="00D77650" w:rsidP="00DF3119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 xml:space="preserve">w tys. </w:t>
            </w:r>
            <w:r w:rsidR="00DF3119">
              <w:rPr>
                <w:rFonts w:eastAsia="Times New Roman" w:cs="Calibr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D77650" w:rsidRPr="00F7496A" w:rsidRDefault="00D77650" w:rsidP="00093FCD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w %</w:t>
            </w:r>
          </w:p>
        </w:tc>
        <w:tc>
          <w:tcPr>
            <w:tcW w:w="2196" w:type="dxa"/>
            <w:tcBorders>
              <w:top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D77650" w:rsidRPr="00F7496A" w:rsidRDefault="00D77650" w:rsidP="00DF3119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 xml:space="preserve">w </w:t>
            </w:r>
            <w:r w:rsidR="00DF3119">
              <w:rPr>
                <w:rFonts w:eastAsia="Times New Roman" w:cs="Calibri"/>
                <w:sz w:val="16"/>
                <w:szCs w:val="16"/>
                <w:lang w:eastAsia="pl-PL"/>
              </w:rPr>
              <w:t>PLN</w:t>
            </w:r>
          </w:p>
        </w:tc>
      </w:tr>
      <w:tr w:rsidR="00F7496A" w:rsidRPr="00B7368E" w:rsidTr="006D4787">
        <w:trPr>
          <w:trHeight w:val="283"/>
        </w:trPr>
        <w:tc>
          <w:tcPr>
            <w:tcW w:w="3047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B7368E" w:rsidRDefault="00D77650" w:rsidP="00D77650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B7368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B7368E" w:rsidRDefault="00D77650" w:rsidP="006D31FD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B7368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6 471 4</w:t>
            </w:r>
            <w:r w:rsidR="006D31F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93</w:t>
            </w:r>
            <w:r w:rsidRPr="00B7368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,5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B7368E" w:rsidRDefault="00D77650" w:rsidP="006B7D12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B7368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100</w:t>
            </w:r>
            <w:r w:rsidR="00B7368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2196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B7368E" w:rsidRDefault="00D77650" w:rsidP="006B7D12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B7368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3 407</w:t>
            </w:r>
          </w:p>
        </w:tc>
      </w:tr>
      <w:tr w:rsidR="00F7496A" w:rsidRPr="00F7496A" w:rsidTr="006D4787">
        <w:trPr>
          <w:trHeight w:val="283"/>
        </w:trPr>
        <w:tc>
          <w:tcPr>
            <w:tcW w:w="304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DF3119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gminn</w:t>
            </w:r>
            <w:r w:rsidR="00DF3119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4 189 508,0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64,7</w:t>
            </w:r>
          </w:p>
        </w:tc>
        <w:tc>
          <w:tcPr>
            <w:tcW w:w="219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10 728</w:t>
            </w:r>
          </w:p>
        </w:tc>
      </w:tr>
      <w:tr w:rsidR="00F7496A" w:rsidRPr="00F7496A" w:rsidTr="006D4787">
        <w:trPr>
          <w:trHeight w:val="283"/>
        </w:trPr>
        <w:tc>
          <w:tcPr>
            <w:tcW w:w="304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DF3119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spółdzielcz</w:t>
            </w:r>
            <w:r w:rsidR="00DF3119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1 136 439,5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17,6</w:t>
            </w:r>
          </w:p>
        </w:tc>
        <w:tc>
          <w:tcPr>
            <w:tcW w:w="219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1 210</w:t>
            </w:r>
          </w:p>
        </w:tc>
      </w:tr>
      <w:tr w:rsidR="00F7496A" w:rsidRPr="00F7496A" w:rsidTr="006D4787">
        <w:trPr>
          <w:trHeight w:val="283"/>
        </w:trPr>
        <w:tc>
          <w:tcPr>
            <w:tcW w:w="304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zakładów pracy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774449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209 614,2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3,2</w:t>
            </w:r>
          </w:p>
        </w:tc>
        <w:tc>
          <w:tcPr>
            <w:tcW w:w="219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9 709</w:t>
            </w:r>
          </w:p>
        </w:tc>
      </w:tr>
      <w:tr w:rsidR="00F7496A" w:rsidRPr="00F7496A" w:rsidTr="006D4787">
        <w:trPr>
          <w:trHeight w:val="283"/>
        </w:trPr>
        <w:tc>
          <w:tcPr>
            <w:tcW w:w="304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Skarbu Państwa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61 799,7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219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5 069</w:t>
            </w:r>
          </w:p>
        </w:tc>
      </w:tr>
      <w:tr w:rsidR="00F7496A" w:rsidRPr="00F7496A" w:rsidTr="006D4787">
        <w:trPr>
          <w:trHeight w:val="283"/>
        </w:trPr>
        <w:tc>
          <w:tcPr>
            <w:tcW w:w="304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F3119" w:rsidP="00DF3119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 xml:space="preserve">owarzystw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b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 xml:space="preserve">udownictwa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r w:rsidR="00D77650" w:rsidRPr="00F7496A">
              <w:rPr>
                <w:rFonts w:eastAsia="Times New Roman" w:cs="Calibri"/>
                <w:sz w:val="16"/>
                <w:szCs w:val="16"/>
                <w:lang w:eastAsia="pl-PL"/>
              </w:rPr>
              <w:t xml:space="preserve">połecznego 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59 738,9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219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2 392</w:t>
            </w:r>
          </w:p>
        </w:tc>
      </w:tr>
      <w:tr w:rsidR="00F7496A" w:rsidRPr="00F7496A" w:rsidTr="006D4787">
        <w:trPr>
          <w:trHeight w:val="283"/>
        </w:trPr>
        <w:tc>
          <w:tcPr>
            <w:tcW w:w="304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  <w:hideMark/>
          </w:tcPr>
          <w:p w:rsidR="00D77650" w:rsidRPr="00F7496A" w:rsidRDefault="00D77650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osób fizycznych w budynkach objętych wspólnotami mieszkaniowymi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797 406,9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12,3</w:t>
            </w:r>
          </w:p>
        </w:tc>
        <w:tc>
          <w:tcPr>
            <w:tcW w:w="219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1 564</w:t>
            </w:r>
          </w:p>
        </w:tc>
      </w:tr>
      <w:tr w:rsidR="00F7496A" w:rsidRPr="00F7496A" w:rsidTr="006D4787">
        <w:trPr>
          <w:trHeight w:val="283"/>
        </w:trPr>
        <w:tc>
          <w:tcPr>
            <w:tcW w:w="3047" w:type="dxa"/>
            <w:tcBorders>
              <w:top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D7765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innych podmiotów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D31F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16 98</w:t>
            </w:r>
            <w:r w:rsidR="006D31FD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2196" w:type="dxa"/>
            <w:tcBorders>
              <w:top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D77650" w:rsidRPr="00F7496A" w:rsidRDefault="00D77650" w:rsidP="006B7D1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496A">
              <w:rPr>
                <w:rFonts w:eastAsia="Times New Roman" w:cs="Calibri"/>
                <w:sz w:val="16"/>
                <w:szCs w:val="16"/>
                <w:lang w:eastAsia="pl-PL"/>
              </w:rPr>
              <w:t>13 117</w:t>
            </w:r>
          </w:p>
        </w:tc>
      </w:tr>
    </w:tbl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lastRenderedPageBreak/>
        <w:t>Najwyższy udział w ogólnej kwocie zaległości mieli lokatorzy mieszkań pozostających w</w:t>
      </w:r>
      <w:r w:rsidR="00DF3119">
        <w:rPr>
          <w:rFonts w:eastAsia="Times New Roman" w:cs="Times New Roman"/>
          <w:bCs/>
          <w:szCs w:val="19"/>
          <w:lang w:eastAsia="pl-PL"/>
        </w:rPr>
        <w:t> 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zasobach gmin – 64,7% oraz spółdzielni mieszkaniowych – 17,6%. W przeliczeniu na mieszkanie, których lokatorzy zalegają z opłatami, najwyższe zaległości odnotowano dla mieszkań należących do zasobów innych podmiotów – 13,1 tys. </w:t>
      </w:r>
      <w:r w:rsidR="00DF3119">
        <w:rPr>
          <w:rFonts w:eastAsia="Times New Roman" w:cs="Times New Roman"/>
          <w:bCs/>
          <w:szCs w:val="19"/>
          <w:lang w:eastAsia="pl-PL"/>
        </w:rPr>
        <w:t>PLN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oraz mieszkań z zasobów gmin – 10,7</w:t>
      </w:r>
      <w:r w:rsidR="00C748E3">
        <w:rPr>
          <w:rFonts w:eastAsia="Times New Roman" w:cs="Times New Roman"/>
          <w:bCs/>
          <w:szCs w:val="19"/>
          <w:lang w:eastAsia="pl-PL"/>
        </w:rPr>
        <w:t> 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tys. </w:t>
      </w:r>
      <w:r w:rsidR="00DF3119">
        <w:rPr>
          <w:rFonts w:eastAsia="Times New Roman" w:cs="Times New Roman"/>
          <w:bCs/>
          <w:szCs w:val="19"/>
          <w:lang w:eastAsia="pl-PL"/>
        </w:rPr>
        <w:t>PLN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. Przeciętnie najmniejsze zaległości w opłatach za 1 mieszkanie </w:t>
      </w:r>
      <w:r w:rsidR="00401454" w:rsidRPr="00D77650">
        <w:rPr>
          <w:rFonts w:eastAsia="Times New Roman" w:cs="Times New Roman"/>
          <w:bCs/>
          <w:szCs w:val="19"/>
          <w:lang w:eastAsia="pl-PL"/>
        </w:rPr>
        <w:t>przypad</w:t>
      </w:r>
      <w:r w:rsidR="00401454">
        <w:rPr>
          <w:rFonts w:eastAsia="Times New Roman" w:cs="Times New Roman"/>
          <w:bCs/>
          <w:szCs w:val="19"/>
          <w:lang w:eastAsia="pl-PL"/>
        </w:rPr>
        <w:t>ały</w:t>
      </w:r>
      <w:r w:rsidR="00401454" w:rsidRPr="00D77650">
        <w:rPr>
          <w:rFonts w:eastAsia="Times New Roman" w:cs="Times New Roman"/>
          <w:bCs/>
          <w:szCs w:val="19"/>
          <w:lang w:eastAsia="pl-PL"/>
        </w:rPr>
        <w:t xml:space="preserve"> 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na zasoby należące do spółdzielni mieszkaniowych – 1,2 tys. </w:t>
      </w:r>
      <w:r w:rsidR="00DF3119">
        <w:rPr>
          <w:rFonts w:eastAsia="Times New Roman" w:cs="Times New Roman"/>
          <w:bCs/>
          <w:szCs w:val="19"/>
          <w:lang w:eastAsia="pl-PL"/>
        </w:rPr>
        <w:t>PLN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i zasoby osób fizycznych w</w:t>
      </w:r>
      <w:r w:rsidR="00DF3119">
        <w:rPr>
          <w:rFonts w:eastAsia="Times New Roman" w:cs="Times New Roman"/>
          <w:bCs/>
          <w:szCs w:val="19"/>
          <w:lang w:eastAsia="pl-PL"/>
        </w:rPr>
        <w:t> 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budynkach objętych wspólnotami mieszkaniowymi – 1,6 tys. </w:t>
      </w:r>
      <w:r w:rsidR="00DF3119">
        <w:rPr>
          <w:rFonts w:eastAsia="Times New Roman" w:cs="Times New Roman"/>
          <w:bCs/>
          <w:szCs w:val="19"/>
          <w:lang w:eastAsia="pl-PL"/>
        </w:rPr>
        <w:t>PLN</w:t>
      </w:r>
      <w:r w:rsidRPr="00D77650">
        <w:rPr>
          <w:rFonts w:eastAsia="Times New Roman" w:cs="Times New Roman"/>
          <w:bCs/>
          <w:szCs w:val="19"/>
          <w:lang w:eastAsia="pl-PL"/>
        </w:rPr>
        <w:t>.</w: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D77650" w:rsidRDefault="00D77650" w:rsidP="00D77650">
      <w:pPr>
        <w:spacing w:before="0" w:after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D77650">
        <w:rPr>
          <w:rFonts w:eastAsia="Times New Roman" w:cs="Times New Roman"/>
          <w:b/>
          <w:bCs/>
          <w:color w:val="001D77"/>
          <w:szCs w:val="24"/>
          <w:lang w:eastAsia="pl-PL"/>
        </w:rPr>
        <w:t>Działania eksmisyjne</w:t>
      </w:r>
    </w:p>
    <w:p w:rsidR="00241155" w:rsidRPr="00093FCD" w:rsidRDefault="00527ADD" w:rsidP="00D77650">
      <w:pPr>
        <w:spacing w:before="0" w:after="0"/>
        <w:rPr>
          <w:rFonts w:eastAsia="Times New Roman" w:cs="Times New Roman"/>
          <w:bCs/>
          <w:color w:val="001D77"/>
          <w:szCs w:val="24"/>
          <w:lang w:eastAsia="pl-PL"/>
        </w:rPr>
      </w:pPr>
      <w:r w:rsidRPr="0097136B">
        <w:rPr>
          <w:noProof/>
          <w:color w:val="FF0000"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54881241" wp14:editId="03311804">
                <wp:simplePos x="0" y="0"/>
                <wp:positionH relativeFrom="rightMargin">
                  <wp:align>left</wp:align>
                </wp:positionH>
                <wp:positionV relativeFrom="paragraph">
                  <wp:posOffset>3511</wp:posOffset>
                </wp:positionV>
                <wp:extent cx="1666875" cy="967740"/>
                <wp:effectExtent l="0" t="0" r="0" b="3810"/>
                <wp:wrapTight wrapText="bothSides">
                  <wp:wrapPolygon edited="0">
                    <wp:start x="741" y="0"/>
                    <wp:lineTo x="741" y="21260"/>
                    <wp:lineTo x="20736" y="21260"/>
                    <wp:lineTo x="20736" y="0"/>
                    <wp:lineTo x="741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968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527ADD">
                            <w:pPr>
                              <w:pStyle w:val="tekstzboku"/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>2018 r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. </w:t>
                            </w:r>
                            <w:r w:rsidRPr="00561043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sądach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toczyło się 15,7 tys. postępowań eksmisyjnych, z tego 89% z powodu zaległości w opłatach za mieszkanie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81241" id="_x0000_s1035" type="#_x0000_t202" style="position:absolute;margin-left:0;margin-top:.3pt;width:131.25pt;height:76.2pt;z-index:-25155584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qaEAIAAP8DAAAOAAAAZHJzL2Uyb0RvYy54bWysU9tu2zAMfR+wfxD0vjgJcjXiFF27DgO6&#10;rkC3D2BkORYqiZqkxs6+fpScpsH2NswPgmiShzyH1OaqN5odpA8KbcUnozFn0gqsld1X/Mf3uw8r&#10;zkIEW4NGKyt+lIFfbd+/23SulFNsUdfSMwKxoexcxdsYXVkUQbTSQBihk5acDXoDkUy/L2oPHaEb&#10;XUzH40XRoa+dRyFDoL+3g5NvM37TSBG/NU2QkemKU28xnz6fu3QW2w2Uew+uVeLUBvxDFwaUpaJn&#10;qFuIwF68+gvKKOExYBNHAk2BTaOEzByIzWT8B5unFpzMXEic4M4yhf8HKx4Oj56pmma35MyCoRk9&#10;opYsyucQsZNsmjTqXCgp9MlRcOw/Yk/xmW9w9yieA7N404Ldy2vvsWsl1NTjJGUWF6kDTkggu+4r&#10;1lQLXiJmoL7xJglIkjBCp1kdz/ORfWQilVwsFqvlnDNBvvViNVmtcwkoX7OdD/GzRMPSpeKe5p/R&#10;4XAfYuoGyteQVMzindI674C2rCPQ+XSeEy48RkVaUa1MxVfj9A1Lk0h+snVOjqD0cKcC2p5YJ6ID&#10;5djv+ixy7jcpssP6SDJ4HDaSXhBdWvS/OOtoGysefr6Al5zpL5akXE9ms7S+2ZjNl1My/KVnd+kB&#10;Kwiq4pGz4XoT88oPlK9J8kZlNd46ObVMW5ZFOr2ItMaXdo56e7fb3wAAAP//AwBQSwMEFAAGAAgA&#10;AAAhAO8Wo1jZAAAABQEAAA8AAABkcnMvZG93bnJldi54bWxMj81OwzAQhO9IvIO1SNyoTSARhDgV&#10;AnEFUX4kbtt4m0TE6yh2m/D2LCd6HM1o5ptqvfhBHWiKfWALlysDirgJrufWwvvb08UNqJiQHQ6B&#10;ycIPRVjXpycVli7M/EqHTWqVlHAs0UKX0lhqHZuOPMZVGInF24XJYxI5tdpNOEu5H3RmTKE99iwL&#10;HY700FHzvdl7Cx/Pu6/Pa/PSPvp8nMNiNPtbbe352XJ/ByrRkv7D8Icv6FAL0zbs2UU1WJAjyUIB&#10;SrysyHJQWwnlVwZ0Xelj+voXAAD//wMAUEsBAi0AFAAGAAgAAAAhALaDOJL+AAAA4QEAABMAAAAA&#10;AAAAAAAAAAAAAAAAAFtDb250ZW50X1R5cGVzXS54bWxQSwECLQAUAAYACAAAACEAOP0h/9YAAACU&#10;AQAACwAAAAAAAAAAAAAAAAAvAQAAX3JlbHMvLnJlbHNQSwECLQAUAAYACAAAACEAhyUKmhACAAD/&#10;AwAADgAAAAAAAAAAAAAAAAAuAgAAZHJzL2Uyb0RvYy54bWxQSwECLQAUAAYACAAAACEA7xajWNkA&#10;AAAFAQAADwAAAAAAAAAAAAAAAABqBAAAZHJzL2Rvd25yZXYueG1sUEsFBgAAAAAEAAQA8wAAAHAF&#10;AAAAAA==&#10;" filled="f" stroked="f">
                <v:textbox>
                  <w:txbxContent>
                    <w:p w:rsidR="002463D2" w:rsidRPr="00074DD8" w:rsidRDefault="002463D2" w:rsidP="00527ADD">
                      <w:pPr>
                        <w:pStyle w:val="tekstzboku"/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>2018 r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. </w:t>
                      </w:r>
                      <w:r w:rsidRPr="00561043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sądach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toczyło się 15,7 tys. postępowań eksmisyjnych, z tego 89% z powodu zaległości w opłatach za mieszkanie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D77650" w:rsidRP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>Na 15,7 tys. postępowań eksmisyjnych toczących się w sąd</w:t>
      </w:r>
      <w:r w:rsidR="00DF3119">
        <w:rPr>
          <w:rFonts w:eastAsia="Times New Roman" w:cs="Times New Roman"/>
          <w:bCs/>
          <w:szCs w:val="19"/>
          <w:lang w:eastAsia="pl-PL"/>
        </w:rPr>
        <w:t>ach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w 2018 r. </w:t>
      </w:r>
      <w:r w:rsidR="00DF3119">
        <w:rPr>
          <w:rFonts w:eastAsia="Times New Roman" w:cs="Times New Roman"/>
          <w:bCs/>
          <w:szCs w:val="19"/>
          <w:lang w:eastAsia="pl-PL"/>
        </w:rPr>
        <w:t xml:space="preserve">ponad 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68% dotyczyło lokatorów zajmujących mieszkania gminne, w dalszej kolejności były to postępowania wobec osób fizycznych w budynkach objętych wspólnotami mieszkaniowymi </w:t>
      </w:r>
      <w:r w:rsidR="00561043">
        <w:rPr>
          <w:rFonts w:eastAsia="Times New Roman" w:cs="Times New Roman"/>
          <w:bCs/>
          <w:szCs w:val="19"/>
          <w:lang w:eastAsia="pl-PL"/>
        </w:rPr>
        <w:t>(</w:t>
      </w:r>
      <w:r w:rsidRPr="00D77650">
        <w:rPr>
          <w:rFonts w:eastAsia="Times New Roman" w:cs="Times New Roman"/>
          <w:bCs/>
          <w:szCs w:val="19"/>
          <w:lang w:eastAsia="pl-PL"/>
        </w:rPr>
        <w:t>15,1%</w:t>
      </w:r>
      <w:r w:rsidR="00561043">
        <w:rPr>
          <w:rFonts w:eastAsia="Times New Roman" w:cs="Times New Roman"/>
          <w:bCs/>
          <w:szCs w:val="19"/>
          <w:lang w:eastAsia="pl-PL"/>
        </w:rPr>
        <w:t>)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, a 8,8% wobec lokatorów mieszkań spółdzielni mieszkaniowych. Najmniejszy udział stanowiły postępowania wobec lokatorów mieszkań pozostających w zasobach innych podmiotów </w:t>
      </w:r>
      <w:r w:rsidR="00561043">
        <w:rPr>
          <w:rFonts w:eastAsia="Times New Roman" w:cs="Times New Roman"/>
          <w:bCs/>
          <w:szCs w:val="19"/>
          <w:lang w:eastAsia="pl-PL"/>
        </w:rPr>
        <w:t>(</w:t>
      </w:r>
      <w:r w:rsidRPr="00D77650">
        <w:rPr>
          <w:rFonts w:eastAsia="Times New Roman" w:cs="Times New Roman"/>
          <w:bCs/>
          <w:szCs w:val="19"/>
          <w:lang w:eastAsia="pl-PL"/>
        </w:rPr>
        <w:t>0,1%</w:t>
      </w:r>
      <w:r w:rsidR="00561043">
        <w:rPr>
          <w:rFonts w:eastAsia="Times New Roman" w:cs="Times New Roman"/>
          <w:bCs/>
          <w:szCs w:val="19"/>
          <w:lang w:eastAsia="pl-PL"/>
        </w:rPr>
        <w:t>)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. </w: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>Blisko 89% postępowań eksmisyjnych zostało wszczętych z powodu zaległości w opłatach za mieszkanie. Przyczyna ta najczęściej występowała w przypadku mieszkań pozostających w</w:t>
      </w:r>
      <w:r w:rsidR="00561043">
        <w:rPr>
          <w:rFonts w:eastAsia="Times New Roman" w:cs="Times New Roman"/>
          <w:bCs/>
          <w:szCs w:val="19"/>
          <w:lang w:eastAsia="pl-PL"/>
        </w:rPr>
        <w:t> 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zarządzie zakładów pracy (w 97,6% ogółu postępowań eksmisyjnych), wspólnot mieszkaniowych </w:t>
      </w:r>
      <w:r w:rsidR="00A57748">
        <w:rPr>
          <w:rFonts w:eastAsia="Times New Roman" w:cs="Times New Roman"/>
          <w:bCs/>
          <w:szCs w:val="19"/>
          <w:lang w:eastAsia="pl-PL"/>
        </w:rPr>
        <w:t>(</w:t>
      </w:r>
      <w:r w:rsidRPr="00D77650">
        <w:rPr>
          <w:rFonts w:eastAsia="Times New Roman" w:cs="Times New Roman"/>
          <w:bCs/>
          <w:szCs w:val="19"/>
          <w:lang w:eastAsia="pl-PL"/>
        </w:rPr>
        <w:t>95,3%</w:t>
      </w:r>
      <w:r w:rsidR="00A57748">
        <w:rPr>
          <w:rFonts w:eastAsia="Times New Roman" w:cs="Times New Roman"/>
          <w:bCs/>
          <w:szCs w:val="19"/>
          <w:lang w:eastAsia="pl-PL"/>
        </w:rPr>
        <w:t>)</w:t>
      </w:r>
      <w:r w:rsidRPr="00D77650">
        <w:rPr>
          <w:rFonts w:eastAsia="Times New Roman" w:cs="Times New Roman"/>
          <w:bCs/>
          <w:szCs w:val="19"/>
          <w:lang w:eastAsia="pl-PL"/>
        </w:rPr>
        <w:t>, mieszkań innych podmio</w:t>
      </w:r>
      <w:r w:rsidR="00561043">
        <w:rPr>
          <w:rFonts w:eastAsia="Times New Roman" w:cs="Times New Roman"/>
          <w:bCs/>
          <w:szCs w:val="19"/>
          <w:lang w:eastAsia="pl-PL"/>
        </w:rPr>
        <w:t>tów (94,7%) oraz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spółdzielni mieszkaniowych (9</w:t>
      </w:r>
      <w:r w:rsidR="006D31FD">
        <w:rPr>
          <w:rFonts w:eastAsia="Times New Roman" w:cs="Times New Roman"/>
          <w:bCs/>
          <w:szCs w:val="19"/>
          <w:lang w:eastAsia="pl-PL"/>
        </w:rPr>
        <w:t>3</w:t>
      </w:r>
      <w:r w:rsidRPr="00D77650">
        <w:rPr>
          <w:rFonts w:eastAsia="Times New Roman" w:cs="Times New Roman"/>
          <w:bCs/>
          <w:szCs w:val="19"/>
          <w:lang w:eastAsia="pl-PL"/>
        </w:rPr>
        <w:t>,</w:t>
      </w:r>
      <w:r w:rsidR="006D31FD">
        <w:rPr>
          <w:rFonts w:eastAsia="Times New Roman" w:cs="Times New Roman"/>
          <w:bCs/>
          <w:szCs w:val="19"/>
          <w:lang w:eastAsia="pl-PL"/>
        </w:rPr>
        <w:t>4</w:t>
      </w:r>
      <w:r w:rsidR="002657C6">
        <w:rPr>
          <w:rFonts w:eastAsia="Times New Roman" w:cs="Times New Roman"/>
          <w:bCs/>
          <w:szCs w:val="19"/>
          <w:lang w:eastAsia="pl-PL"/>
        </w:rPr>
        <w:t>%).</w: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D77650" w:rsidRP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/>
          <w:bCs/>
          <w:color w:val="001D77"/>
          <w:szCs w:val="24"/>
          <w:lang w:eastAsia="pl-PL"/>
        </w:rPr>
        <w:t>Remonty zasobów mieszkaniowych</w:t>
      </w:r>
    </w:p>
    <w:p w:rsidR="00EA6C89" w:rsidRDefault="00EA6C89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52E313B2" wp14:editId="6C777225">
                <wp:simplePos x="0" y="0"/>
                <wp:positionH relativeFrom="rightMargin">
                  <wp:align>left</wp:align>
                </wp:positionH>
                <wp:positionV relativeFrom="paragraph">
                  <wp:posOffset>4434</wp:posOffset>
                </wp:positionV>
                <wp:extent cx="1666875" cy="1106170"/>
                <wp:effectExtent l="0" t="0" r="0" b="0"/>
                <wp:wrapTight wrapText="bothSides">
                  <wp:wrapPolygon edited="0">
                    <wp:start x="741" y="0"/>
                    <wp:lineTo x="741" y="21203"/>
                    <wp:lineTo x="20736" y="21203"/>
                    <wp:lineTo x="20736" y="0"/>
                    <wp:lineTo x="741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06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EA6C89">
                            <w:pPr>
                              <w:pStyle w:val="tekstzboku"/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 xml:space="preserve">2018 r. przeprowadzono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ok. 678 tys. robót remontowych, przywracających budynkom i mieszkaniom pierwotną wartość techniczną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13B2" id="_x0000_s1036" type="#_x0000_t202" style="position:absolute;margin-left:0;margin-top:.35pt;width:131.25pt;height:87.1pt;z-index:-2515537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QwEQIAAAEEAAAOAAAAZHJzL2Uyb0RvYy54bWysU8Fu2zAMvQ/YPwi6L3aCJG2NOEXXrsOA&#10;rivQ7QMYWY6FSqImKbGzrx8lp2mw3Yb5IEgm+cj39LS6Hoxme+mDQlvz6aTkTFqBjbLbmv/4fv/h&#10;krMQwTag0cqaH2Tg1+v371a9q+QMO9SN9IxAbKh6V/MuRlcVRRCdNBAm6KSlYIveQKSj3xaNh57Q&#10;jS5mZbksevSN8yhkCPT3bgzydcZvWynit7YNMjJdc5ot5tXndZPWYr2CauvBdUocx4B/mMKAstT0&#10;BHUHEdjOq7+gjBIeA7ZxItAU2LZKyMyB2EzLP9g8d+Bk5kLiBHeSKfw/WPG4f/JMNXR3dFMWDN3R&#10;E2rJonwJEXvJZkmj3oWKUp8dJcfhIw6Un/kG94DiJTCLtx3YrbzxHvtOQkMzTlNlcVY64oQEsum/&#10;YkO9YBcxAw2tN0lAkoQROt3V4XQ/cohMpJbL5fLyYsGZoNh0Wi4X5dgDqtdy50P8LNGwtKm5JwNk&#10;eNg/hJjGgeo1JXWzeK+0zibQlvU1v1rMFrngLGJUJI9qZWp+WaZvdE1i+ck2uTiC0uOeGmh7pJ2Y&#10;jpzjsBlGlXNx0mSDzYGE8Dh6kt4QbTr0vzjryY81Dz934CVn+oslMa+m83kycD7MFxczOvjzyOY8&#10;AlYQVM0jZ+P2NmbTj5xvSPRWZTneJjnOTD7LKh3fRDLy+Tlnvb3c9W8AAAD//wMAUEsDBBQABgAI&#10;AAAAIQDDO5AD2QAAAAUBAAAPAAAAZHJzL2Rvd25yZXYueG1sTI/NTsMwEITvSLyDtUjcqE3U3xCn&#10;QiCuIApU4raNt0lEvI5itwlvz3KC42hGM98U28l36kxDbANbuJ0ZUMRVcC3XFt7fnm7WoGJCdtgF&#10;JgvfFGFbXl4UmLsw8iudd6lWUsIxRwtNSn2udawa8hhnoScW7xgGj0nkUGs34CjlvtOZMUvtsWVZ&#10;aLCnh4aqr93JW/h4Pn7u5+alfvSLfgyT0ew32trrq+n+DlSiKf2F4Rdf0KEUpkM4sYuqsyBHkoUV&#10;KPGyZbYAdZDQar4BXRb6P335AwAA//8DAFBLAQItABQABgAIAAAAIQC2gziS/gAAAOEBAAATAAAA&#10;AAAAAAAAAAAAAAAAAABbQ29udGVudF9UeXBlc10ueG1sUEsBAi0AFAAGAAgAAAAhADj9If/WAAAA&#10;lAEAAAsAAAAAAAAAAAAAAAAALwEAAF9yZWxzLy5yZWxzUEsBAi0AFAAGAAgAAAAhACy0hDARAgAA&#10;AQQAAA4AAAAAAAAAAAAAAAAALgIAAGRycy9lMm9Eb2MueG1sUEsBAi0AFAAGAAgAAAAhAMM7kAPZ&#10;AAAABQEAAA8AAAAAAAAAAAAAAAAAawQAAGRycy9kb3ducmV2LnhtbFBLBQYAAAAABAAEAPMAAABx&#10;BQAAAAA=&#10;" filled="f" stroked="f">
                <v:textbox>
                  <w:txbxContent>
                    <w:p w:rsidR="002463D2" w:rsidRPr="00074DD8" w:rsidRDefault="002463D2" w:rsidP="00EA6C89">
                      <w:pPr>
                        <w:pStyle w:val="tekstzboku"/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 xml:space="preserve">2018 r. przeprowadzono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ok. 678 tys. robót remontowych, przywracających budynkom i mieszkaniom pierwotną wartość techniczną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>W 201</w:t>
      </w:r>
      <w:r w:rsidR="006D31FD">
        <w:rPr>
          <w:rFonts w:eastAsia="Times New Roman" w:cs="Times New Roman"/>
          <w:bCs/>
          <w:szCs w:val="19"/>
          <w:lang w:eastAsia="pl-PL"/>
        </w:rPr>
        <w:t>8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r. </w:t>
      </w:r>
      <w:r w:rsidR="006D31FD">
        <w:rPr>
          <w:rFonts w:eastAsia="Times New Roman" w:cs="Times New Roman"/>
          <w:bCs/>
          <w:szCs w:val="19"/>
          <w:lang w:eastAsia="pl-PL"/>
        </w:rPr>
        <w:t xml:space="preserve">przeprowadzono ok. 678 tys. </w:t>
      </w:r>
      <w:r w:rsidRPr="00D77650">
        <w:rPr>
          <w:rFonts w:eastAsia="Times New Roman" w:cs="Times New Roman"/>
          <w:bCs/>
          <w:szCs w:val="19"/>
          <w:lang w:eastAsia="pl-PL"/>
        </w:rPr>
        <w:t>robót remontowych (niestanowiących remontu kapitalnego) przywracających budynkom i mieszkani</w:t>
      </w:r>
      <w:r w:rsidR="00561043">
        <w:rPr>
          <w:rFonts w:eastAsia="Times New Roman" w:cs="Times New Roman"/>
          <w:bCs/>
          <w:szCs w:val="19"/>
          <w:lang w:eastAsia="pl-PL"/>
        </w:rPr>
        <w:t>om pierwotną wartość techniczną.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</w:t>
      </w:r>
      <w:r w:rsidR="00561043">
        <w:rPr>
          <w:rFonts w:eastAsia="Times New Roman" w:cs="Times New Roman"/>
          <w:bCs/>
          <w:szCs w:val="19"/>
          <w:lang w:eastAsia="pl-PL"/>
        </w:rPr>
        <w:t xml:space="preserve">Polegały one na </w:t>
      </w:r>
      <w:r w:rsidRPr="00D77650">
        <w:rPr>
          <w:rFonts w:eastAsia="Times New Roman" w:cs="Times New Roman"/>
          <w:bCs/>
          <w:szCs w:val="19"/>
          <w:lang w:eastAsia="pl-PL"/>
        </w:rPr>
        <w:t>wymian</w:t>
      </w:r>
      <w:r w:rsidR="00561043">
        <w:rPr>
          <w:rFonts w:eastAsia="Times New Roman" w:cs="Times New Roman"/>
          <w:bCs/>
          <w:szCs w:val="19"/>
          <w:lang w:eastAsia="pl-PL"/>
        </w:rPr>
        <w:t>ie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wszyst</w:t>
      </w:r>
      <w:r w:rsidR="00EA6C89">
        <w:rPr>
          <w:rFonts w:eastAsia="Times New Roman" w:cs="Times New Roman"/>
          <w:bCs/>
          <w:szCs w:val="19"/>
          <w:lang w:eastAsia="pl-PL"/>
        </w:rPr>
        <w:t>kich lub niektórych instalacji.</w:t>
      </w:r>
    </w:p>
    <w:p w:rsidR="00D77650" w:rsidRPr="00D77650" w:rsidRDefault="00885136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>
        <w:rPr>
          <w:rFonts w:eastAsia="Times New Roman" w:cs="Times New Roman"/>
          <w:bCs/>
          <w:szCs w:val="19"/>
          <w:lang w:eastAsia="pl-PL"/>
        </w:rPr>
        <w:t xml:space="preserve">Około </w:t>
      </w:r>
      <w:r w:rsidR="00D77650" w:rsidRPr="00D77650">
        <w:rPr>
          <w:rFonts w:eastAsia="Times New Roman" w:cs="Times New Roman"/>
          <w:bCs/>
          <w:szCs w:val="19"/>
          <w:lang w:eastAsia="pl-PL"/>
        </w:rPr>
        <w:t xml:space="preserve">91,9 tys. </w:t>
      </w:r>
      <w:r w:rsidR="00561043" w:rsidRPr="00D77650">
        <w:rPr>
          <w:rFonts w:eastAsia="Times New Roman" w:cs="Times New Roman"/>
          <w:bCs/>
          <w:szCs w:val="19"/>
          <w:lang w:eastAsia="pl-PL"/>
        </w:rPr>
        <w:t>ogół</w:t>
      </w:r>
      <w:r w:rsidR="00561043">
        <w:rPr>
          <w:rFonts w:eastAsia="Times New Roman" w:cs="Times New Roman"/>
          <w:bCs/>
          <w:szCs w:val="19"/>
          <w:lang w:eastAsia="pl-PL"/>
        </w:rPr>
        <w:t>u</w:t>
      </w:r>
      <w:r w:rsidR="00561043" w:rsidRPr="00D77650">
        <w:rPr>
          <w:rFonts w:eastAsia="Times New Roman" w:cs="Times New Roman"/>
          <w:bCs/>
          <w:szCs w:val="19"/>
          <w:lang w:eastAsia="pl-PL"/>
        </w:rPr>
        <w:t xml:space="preserve"> </w:t>
      </w:r>
      <w:r w:rsidR="00D77650" w:rsidRPr="00D77650">
        <w:rPr>
          <w:rFonts w:eastAsia="Times New Roman" w:cs="Times New Roman"/>
          <w:bCs/>
          <w:szCs w:val="19"/>
          <w:lang w:eastAsia="pl-PL"/>
        </w:rPr>
        <w:t>mieszkań zostało poddanych remontom związanym z podwyższeniem ich standardu poprzez doprowadzenie do budynków i mieszkań w nich zlokalizowanych wcześniej nieistniejących instalacji techniczno-sanitarnych (wodociąg, kanalizacja, centralne ogrzewanie, ciepła woda, gaz sieciowy).</w: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 xml:space="preserve">W badanym roku w 22,7 tys. mieszkań zainstalowano centralne ogrzewanie, 19,6 tys. mieszkań podłączono bezpośrednio do sieci wodociągowej, a 16,6 tys. mieszkań do sieci kanalizacyjnej. </w:t>
      </w:r>
      <w:r w:rsidRPr="00B45508">
        <w:rPr>
          <w:rFonts w:eastAsia="Times New Roman" w:cs="Times New Roman"/>
          <w:bCs/>
          <w:szCs w:val="19"/>
          <w:lang w:eastAsia="pl-PL"/>
        </w:rPr>
        <w:t xml:space="preserve">Do </w:t>
      </w:r>
      <w:r w:rsidR="00A00930" w:rsidRPr="00B45508">
        <w:rPr>
          <w:rFonts w:eastAsia="Times New Roman" w:cs="Times New Roman"/>
          <w:bCs/>
          <w:szCs w:val="19"/>
          <w:lang w:eastAsia="pl-PL"/>
        </w:rPr>
        <w:t>55,2</w:t>
      </w:r>
      <w:r w:rsidRPr="00B45508">
        <w:rPr>
          <w:rFonts w:eastAsia="Times New Roman" w:cs="Times New Roman"/>
          <w:bCs/>
          <w:szCs w:val="19"/>
          <w:lang w:eastAsia="pl-PL"/>
        </w:rPr>
        <w:t xml:space="preserve"> tys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. mieszkań doprowadzono ciepłą wodę, a gaz z sieci podłączono do 10,1 tys. mieszkań. </w: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D77650" w:rsidRDefault="00EA6C89" w:rsidP="00D77650">
      <w:pPr>
        <w:spacing w:before="0" w:after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97136B">
        <w:rPr>
          <w:noProof/>
          <w:color w:val="FF0000"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4AF9EA24" wp14:editId="70983620">
                <wp:simplePos x="0" y="0"/>
                <wp:positionH relativeFrom="rightMargin">
                  <wp:posOffset>18415</wp:posOffset>
                </wp:positionH>
                <wp:positionV relativeFrom="paragraph">
                  <wp:posOffset>172085</wp:posOffset>
                </wp:positionV>
                <wp:extent cx="1666875" cy="1106170"/>
                <wp:effectExtent l="0" t="0" r="0" b="0"/>
                <wp:wrapTight wrapText="bothSides">
                  <wp:wrapPolygon edited="0">
                    <wp:start x="741" y="0"/>
                    <wp:lineTo x="741" y="21203"/>
                    <wp:lineTo x="20736" y="21203"/>
                    <wp:lineTo x="20736" y="0"/>
                    <wp:lineTo x="741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EA6C89">
                            <w:pPr>
                              <w:pStyle w:val="tekstzboku"/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 xml:space="preserve">2018 r. roczne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koszty utrzymania zasobów lokalowych wyniosły 34,1 mld PLN i były niższe niż w 2016 r. o 1,9%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EA24" id="_x0000_s1037" type="#_x0000_t202" style="position:absolute;margin-left:1.45pt;margin-top:13.55pt;width:131.25pt;height:87.1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VKEwIAAAEEAAAOAAAAZHJzL2Uyb0RvYy54bWysU11v2yAUfZ+0/4B4X/yhxEmtOFXXrtOk&#10;rqvU7QcQjGNU4DIgsbNfvwtO02h7m+YHBL7cc+8597C+HrUiB+G8BNPQYpZTIgyHVppdQ398v/+w&#10;osQHZlqmwIiGHoWn15v379aDrUUJPahWOIIgxteDbWgfgq2zzPNeaOZnYIXBYAdOs4BHt8taxwZE&#10;1yor87zKBnCtdcCF9/j3bgrSTcLvOsHDt67zIhDVUOwtpNWldRvXbLNm9c4x20t+aoP9QxeaSYNF&#10;z1B3LDCyd/IvKC25Aw9dmHHQGXSd5CJxQDZF/geb555ZkbigON6eZfL/D5Y/Hp4ckW1Dy4oSwzTO&#10;6AmUIEG8+ACDIGXUaLC+xqvPFi+H8SOMOOvE19sH4C+eGLjtmdmJG+dg6AVrscciZmYXqROOjyDb&#10;4Su0WIvtAySgsXM6CoiSEETHWR3P8xFjIDyWrKpqtVxQwjFWFHlVLNMEM1a/plvnw2cBmsRNQx0a&#10;IMGzw4MPsR1Wv16J1QzcS6WSCZQhQ0OvFuUiJVxEtAzoUSV1Q1d5/CbXRJafTJuSA5Nq2mMBZU60&#10;I9OJcxi3Y1K5SKJETbbQHlEIB5Mn8Q3hpgf3i5IB/dhQ/3PPnKBEfTEo5lUxn0cDp8N8sSzx4C4j&#10;28sIMxyhGhoomba3IZl+4nyDoncyyfHWyaln9FlS6fQmopEvz+nW28vd/AYAAP//AwBQSwMEFAAG&#10;AAgAAAAhAJW5eALdAAAACAEAAA8AAABkcnMvZG93bnJldi54bWxMj0FPwzAMhe9I/IfIk7ixpGUb&#10;rGs6IRBX0AabxC1rvLaicaomW8u/n3eCk229p+fv5evRteKMfWg8aUimCgRS6W1DlYavz7f7JxAh&#10;GrKm9YQafjHAuri9yU1m/UAbPG9jJTiEQmY01DF2mZShrNGZMPUdEmtH3zsT+ewraXszcLhrZarU&#10;QjrTEH+oTYcvNZY/25PTsHs/fu9n6qN6dfNu8KOS5JZS67vJ+LwCEXGMf2a44jM6FMx08CeyQbQa&#10;0iUbeTwmIFhOF/MZiAMvKnkAWeTyf4HiAgAA//8DAFBLAQItABQABgAIAAAAIQC2gziS/gAAAOEB&#10;AAATAAAAAAAAAAAAAAAAAAAAAABbQ29udGVudF9UeXBlc10ueG1sUEsBAi0AFAAGAAgAAAAhADj9&#10;If/WAAAAlAEAAAsAAAAAAAAAAAAAAAAALwEAAF9yZWxzLy5yZWxzUEsBAi0AFAAGAAgAAAAhAI9d&#10;hUoTAgAAAQQAAA4AAAAAAAAAAAAAAAAALgIAAGRycy9lMm9Eb2MueG1sUEsBAi0AFAAGAAgAAAAh&#10;AJW5eALdAAAACAEAAA8AAAAAAAAAAAAAAAAAbQQAAGRycy9kb3ducmV2LnhtbFBLBQYAAAAABAAE&#10;APMAAAB3BQAAAAA=&#10;" filled="f" stroked="f">
                <v:textbox>
                  <w:txbxContent>
                    <w:p w:rsidR="002463D2" w:rsidRPr="00074DD8" w:rsidRDefault="002463D2" w:rsidP="00EA6C89">
                      <w:pPr>
                        <w:pStyle w:val="tekstzboku"/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 xml:space="preserve">2018 r. roczne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koszty utrzymania zasobów lokalowych wyniosły 34,1 mld PLN i były niższe niż w 2016 r. o 1,9%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77650" w:rsidRPr="00D77650">
        <w:rPr>
          <w:rFonts w:eastAsia="Times New Roman" w:cs="Times New Roman"/>
          <w:b/>
          <w:bCs/>
          <w:color w:val="001D77"/>
          <w:szCs w:val="24"/>
          <w:lang w:eastAsia="pl-PL"/>
        </w:rPr>
        <w:t>Koszty utrzymania zasobów lokalowych</w:t>
      </w:r>
    </w:p>
    <w:p w:rsidR="00241155" w:rsidRPr="00D77650" w:rsidRDefault="00241155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D77650" w:rsidRPr="006D31FD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6D31FD">
        <w:rPr>
          <w:rFonts w:eastAsia="Times New Roman" w:cs="Times New Roman"/>
          <w:bCs/>
          <w:szCs w:val="19"/>
          <w:lang w:eastAsia="pl-PL"/>
        </w:rPr>
        <w:t xml:space="preserve">W 2018 r. badaniem kosztów utrzymania zasobów lokalowych zostało objętych </w:t>
      </w:r>
      <w:r w:rsidR="006D31FD" w:rsidRPr="006D31FD">
        <w:rPr>
          <w:rFonts w:eastAsia="Times New Roman" w:cs="Times New Roman"/>
          <w:bCs/>
          <w:szCs w:val="19"/>
          <w:lang w:eastAsia="pl-PL"/>
        </w:rPr>
        <w:t xml:space="preserve">prawie </w:t>
      </w:r>
      <w:r w:rsidR="00241155" w:rsidRPr="006D31FD">
        <w:rPr>
          <w:rFonts w:eastAsia="Times New Roman" w:cs="Times New Roman"/>
          <w:bCs/>
          <w:szCs w:val="19"/>
          <w:lang w:eastAsia="pl-PL"/>
        </w:rPr>
        <w:t>7</w:t>
      </w:r>
      <w:r w:rsidR="006D31FD" w:rsidRPr="006D31FD">
        <w:rPr>
          <w:rFonts w:eastAsia="Times New Roman" w:cs="Times New Roman"/>
          <w:bCs/>
          <w:szCs w:val="19"/>
          <w:lang w:eastAsia="pl-PL"/>
        </w:rPr>
        <w:t>,3</w:t>
      </w:r>
      <w:r w:rsidRPr="006D31FD">
        <w:rPr>
          <w:rFonts w:eastAsia="Times New Roman" w:cs="Times New Roman"/>
          <w:bCs/>
          <w:szCs w:val="19"/>
          <w:lang w:eastAsia="pl-PL"/>
        </w:rPr>
        <w:t xml:space="preserve"> mln zasobów lokalowych, w tym ponad 7 mln lokali mieszkalnych, które s</w:t>
      </w:r>
      <w:r w:rsidR="00241155" w:rsidRPr="006D31FD">
        <w:rPr>
          <w:rFonts w:eastAsia="Times New Roman" w:cs="Times New Roman"/>
          <w:bCs/>
          <w:szCs w:val="19"/>
          <w:lang w:eastAsia="pl-PL"/>
        </w:rPr>
        <w:t>tanowiły 9</w:t>
      </w:r>
      <w:r w:rsidR="006D31FD" w:rsidRPr="006D31FD">
        <w:rPr>
          <w:rFonts w:eastAsia="Times New Roman" w:cs="Times New Roman"/>
          <w:bCs/>
          <w:szCs w:val="19"/>
          <w:lang w:eastAsia="pl-PL"/>
        </w:rPr>
        <w:t>8,1</w:t>
      </w:r>
      <w:r w:rsidR="00241155" w:rsidRPr="006D31FD">
        <w:rPr>
          <w:rFonts w:eastAsia="Times New Roman" w:cs="Times New Roman"/>
          <w:bCs/>
          <w:szCs w:val="19"/>
          <w:lang w:eastAsia="pl-PL"/>
        </w:rPr>
        <w:t>% badanych zasobów.</w:t>
      </w:r>
    </w:p>
    <w:p w:rsidR="00D77650" w:rsidRPr="006D31FD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6D31FD">
        <w:rPr>
          <w:rFonts w:eastAsia="Times New Roman" w:cs="Times New Roman"/>
          <w:bCs/>
          <w:szCs w:val="19"/>
          <w:lang w:eastAsia="pl-PL"/>
        </w:rPr>
        <w:t xml:space="preserve">Roczne koszty utrzymania zasobów lokalowych badanych jednostek wyniosły 34,1 mld </w:t>
      </w:r>
      <w:r w:rsidR="00561043">
        <w:rPr>
          <w:rFonts w:eastAsia="Times New Roman" w:cs="Times New Roman"/>
          <w:bCs/>
          <w:szCs w:val="19"/>
          <w:lang w:eastAsia="pl-PL"/>
        </w:rPr>
        <w:t>PLN</w:t>
      </w:r>
      <w:r w:rsidRPr="006D31FD">
        <w:rPr>
          <w:rFonts w:eastAsia="Times New Roman" w:cs="Times New Roman"/>
          <w:bCs/>
          <w:szCs w:val="19"/>
          <w:lang w:eastAsia="pl-PL"/>
        </w:rPr>
        <w:t xml:space="preserve"> </w:t>
      </w:r>
    </w:p>
    <w:p w:rsidR="00D77650" w:rsidRDefault="00D77650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6D31FD">
        <w:rPr>
          <w:rFonts w:eastAsia="Times New Roman" w:cs="Times New Roman"/>
          <w:bCs/>
          <w:szCs w:val="19"/>
          <w:lang w:eastAsia="pl-PL"/>
        </w:rPr>
        <w:t>i były wyższe niż w 201</w:t>
      </w:r>
      <w:r w:rsidR="006D31FD" w:rsidRPr="006D31FD">
        <w:rPr>
          <w:rFonts w:eastAsia="Times New Roman" w:cs="Times New Roman"/>
          <w:bCs/>
          <w:szCs w:val="19"/>
          <w:lang w:eastAsia="pl-PL"/>
        </w:rPr>
        <w:t>6</w:t>
      </w:r>
      <w:r w:rsidRPr="006D31FD">
        <w:rPr>
          <w:rFonts w:eastAsia="Times New Roman" w:cs="Times New Roman"/>
          <w:bCs/>
          <w:szCs w:val="19"/>
          <w:lang w:eastAsia="pl-PL"/>
        </w:rPr>
        <w:t xml:space="preserve"> r. o 1,9%. Koszty usług komunalnych świadczonych na rzecz lokali zmniejszyły się o 0,8%.</w:t>
      </w:r>
    </w:p>
    <w:p w:rsidR="00D77650" w:rsidRDefault="00EA6C89" w:rsidP="00E54076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9B3B772" wp14:editId="4E914D2E">
                <wp:simplePos x="0" y="0"/>
                <wp:positionH relativeFrom="rightMargin">
                  <wp:align>left</wp:align>
                </wp:positionH>
                <wp:positionV relativeFrom="paragraph">
                  <wp:posOffset>232751</wp:posOffset>
                </wp:positionV>
                <wp:extent cx="1666875" cy="998855"/>
                <wp:effectExtent l="0" t="0" r="0" b="0"/>
                <wp:wrapTight wrapText="bothSides">
                  <wp:wrapPolygon edited="0">
                    <wp:start x="741" y="0"/>
                    <wp:lineTo x="741" y="21010"/>
                    <wp:lineTo x="20736" y="21010"/>
                    <wp:lineTo x="20736" y="0"/>
                    <wp:lineTo x="741" y="0"/>
                  </wp:wrapPolygon>
                </wp:wrapTight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998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EA6C89">
                            <w:pPr>
                              <w:pStyle w:val="tekstzboku"/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 xml:space="preserve">2018 r.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koszty eksploatacji wyniosły 16,4 mld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B772" id="_x0000_s1038" type="#_x0000_t202" style="position:absolute;margin-left:0;margin-top:18.35pt;width:131.25pt;height:78.65pt;z-index:-25154764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/vEgIAAAAEAAAOAAAAZHJzL2Uyb0RvYy54bWysU1Fv0zAQfkfiP1h+p2mjtmujptPYGEIa&#10;MGnwA66O01izfcZ2m4xfz9npSgVviDxYds733X3ffd5cD0azo/RBoa35bDLlTFqBjbL7mn//dv9u&#10;xVmIYBvQaGXNX2Tg19u3bza9q2SJHepGekYgNlS9q3kXo6uKIohOGggTdNJSsEVvINLR74vGQ0/o&#10;RhfldLosevSN8yhkCPT3bgzybcZvWyni17YNMjJdc+ot5tXndZfWYruBau/BdUqc2oB/6MKAslT0&#10;DHUHEdjBq7+gjBIeA7ZxItAU2LZKyMyB2Mymf7B56sDJzIXECe4sU/h/sOLL8dEz1dS8pElZMDSj&#10;R9SSRfkcIvaSlUmj3oWKrj45uhyH9zjQrDPf4B5QPAdm8bYDu5c33mPfSWiox1nKLC5SR5yQQHb9&#10;Z2yoFhwiZqCh9SYJSJIwQqdZvZznI4fIRCq5XC5XVwvOBMXW69VqscgloHrNdj7EjxINS5uae5p/&#10;RofjQ4ipG6her6RiFu+V1tkD2rKeQBflIidcRIyKZFGtTM1X0/SNpkkkP9gmJ0dQetxTAW1PrBPR&#10;kXIcdkMWeXZWc4fNC+ngcbQkPSHadOh/ctaTHWsefhzAS870J0tarmfzefJvPswXVyUd/GVkdxkB&#10;Kwiq5pGzcXsbs+dHzjekeauyHGk4YyennslmWaXTk0g+vjznW78f7vYXAAAA//8DAFBLAwQUAAYA&#10;CAAAACEANHn24dwAAAAHAQAADwAAAGRycy9kb3ducmV2LnhtbEyPzU7DMBCE70i8g7VI3KhNaAMN&#10;cSoE4gqi/EjctvE2iYjXUew24e1ZTnAczWjmm3Iz+14daYxdYAuXCwOKuA6u48bC2+vjxQ2omJAd&#10;9oHJwjdF2FSnJyUWLkz8QsdtapSUcCzQQpvSUGgd65Y8xkUYiMXbh9FjEjk22o04SbnvdWZMrj12&#10;LAstDnTfUv21PXgL70/7z4+leW4e/GqYwmw0+7W29vxsvrsFlWhOf2H4xRd0qIRpFw7souotyJFk&#10;4Sq/BiVulmcrUDuJrZcGdFXq//zVDwAAAP//AwBQSwECLQAUAAYACAAAACEAtoM4kv4AAADhAQAA&#10;EwAAAAAAAAAAAAAAAAAAAAAAW0NvbnRlbnRfVHlwZXNdLnhtbFBLAQItABQABgAIAAAAIQA4/SH/&#10;1gAAAJQBAAALAAAAAAAAAAAAAAAAAC8BAABfcmVscy8ucmVsc1BLAQItABQABgAIAAAAIQCDLf/v&#10;EgIAAAAEAAAOAAAAAAAAAAAAAAAAAC4CAABkcnMvZTJvRG9jLnhtbFBLAQItABQABgAIAAAAIQA0&#10;efbh3AAAAAcBAAAPAAAAAAAAAAAAAAAAAGwEAABkcnMvZG93bnJldi54bWxQSwUGAAAAAAQABADz&#10;AAAAdQUAAAAA&#10;" filled="f" stroked="f">
                <v:textbox>
                  <w:txbxContent>
                    <w:p w:rsidR="002463D2" w:rsidRPr="00074DD8" w:rsidRDefault="002463D2" w:rsidP="00EA6C89">
                      <w:pPr>
                        <w:pStyle w:val="tekstzboku"/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 xml:space="preserve">2018 r.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koszty eksploatacji wyniosły 16,4 mld PLN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Wśród całkowitych kosztów utrzymania zasobów lokalowych koszty eksploatacji stanowiły 48,0% i roczna ich wartość wyniosła 16,4 mld </w:t>
      </w:r>
      <w:r w:rsidR="00561043">
        <w:rPr>
          <w:rFonts w:eastAsia="Times New Roman" w:cs="Times New Roman"/>
          <w:bCs/>
          <w:szCs w:val="19"/>
          <w:lang w:eastAsia="pl-PL"/>
        </w:rPr>
        <w:t>PLN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>. Wysokość kosztów była znacznie zróżnicowana</w:t>
      </w:r>
      <w:r w:rsidR="007D592E">
        <w:rPr>
          <w:rFonts w:eastAsia="Times New Roman" w:cs="Times New Roman"/>
          <w:bCs/>
          <w:szCs w:val="19"/>
          <w:lang w:eastAsia="pl-PL"/>
        </w:rPr>
        <w:t xml:space="preserve"> 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>ze względu na formę własności zasobów lokalowych. Najniższymi kosztami eksploatacji w</w:t>
      </w:r>
      <w:r w:rsidR="00561043">
        <w:rPr>
          <w:rFonts w:eastAsia="Times New Roman" w:cs="Times New Roman"/>
          <w:bCs/>
          <w:szCs w:val="19"/>
          <w:lang w:eastAsia="pl-PL"/>
        </w:rPr>
        <w:t> 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>przeliczeniu na 1 m</w:t>
      </w:r>
      <w:r w:rsidR="00E54076" w:rsidRPr="0056104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 powierzchni użytkowej obciążone były lokale we wspólnotach mieszkaniowych – 34,2 </w:t>
      </w:r>
      <w:r w:rsidR="00561043">
        <w:rPr>
          <w:rFonts w:eastAsia="Times New Roman" w:cs="Times New Roman"/>
          <w:bCs/>
          <w:szCs w:val="19"/>
          <w:lang w:eastAsia="pl-PL"/>
        </w:rPr>
        <w:t>PLN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 i innych podmiotów – 34,5 </w:t>
      </w:r>
      <w:r w:rsidR="00561043">
        <w:rPr>
          <w:rFonts w:eastAsia="Times New Roman" w:cs="Times New Roman"/>
          <w:bCs/>
          <w:szCs w:val="19"/>
          <w:lang w:eastAsia="pl-PL"/>
        </w:rPr>
        <w:t>PLN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, najwyższymi natomiast lokale znajdujące się w zasobach jednostek komunalnych – 90,5 </w:t>
      </w:r>
      <w:r w:rsidR="00561043">
        <w:rPr>
          <w:rFonts w:eastAsia="Times New Roman" w:cs="Times New Roman"/>
          <w:bCs/>
          <w:szCs w:val="19"/>
          <w:lang w:eastAsia="pl-PL"/>
        </w:rPr>
        <w:t>PLN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, towarzystw budownictwa społecznego – 72,5 </w:t>
      </w:r>
      <w:r w:rsidR="00561043">
        <w:rPr>
          <w:rFonts w:eastAsia="Times New Roman" w:cs="Times New Roman"/>
          <w:bCs/>
          <w:szCs w:val="19"/>
          <w:lang w:eastAsia="pl-PL"/>
        </w:rPr>
        <w:t>PLN,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 Skarbu Państwa – 80,4 </w:t>
      </w:r>
      <w:r w:rsidR="00561043">
        <w:rPr>
          <w:rFonts w:eastAsia="Times New Roman" w:cs="Times New Roman"/>
          <w:bCs/>
          <w:szCs w:val="19"/>
          <w:lang w:eastAsia="pl-PL"/>
        </w:rPr>
        <w:t>PLN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 i zakładów pracy – 55,3 </w:t>
      </w:r>
      <w:r w:rsidR="00561043">
        <w:rPr>
          <w:rFonts w:eastAsia="Times New Roman" w:cs="Times New Roman"/>
          <w:bCs/>
          <w:szCs w:val="19"/>
          <w:lang w:eastAsia="pl-PL"/>
        </w:rPr>
        <w:t>PLN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>.</w:t>
      </w:r>
    </w:p>
    <w:p w:rsidR="00D77650" w:rsidRDefault="00E54076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E54076">
        <w:rPr>
          <w:rFonts w:eastAsia="Times New Roman" w:cs="Times New Roman"/>
          <w:bCs/>
          <w:szCs w:val="19"/>
          <w:lang w:eastAsia="pl-PL"/>
        </w:rPr>
        <w:t xml:space="preserve">Prawie 45% kosztów eksploatacyjnych stanowiły wydatki związane z technicznym utrzymaniem budynków i lokali (konserwacja i remonty), 33,7% </w:t>
      </w:r>
      <w:r w:rsidR="00561043">
        <w:rPr>
          <w:rFonts w:eastAsia="Times New Roman" w:cs="Times New Roman"/>
          <w:bCs/>
          <w:szCs w:val="19"/>
          <w:lang w:eastAsia="pl-PL"/>
        </w:rPr>
        <w:t>–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wydatki związane z funkcjonowaniem administracji, 21,5% </w:t>
      </w:r>
      <w:r w:rsidR="00561043">
        <w:rPr>
          <w:rFonts w:eastAsia="Times New Roman" w:cs="Times New Roman"/>
          <w:bCs/>
          <w:szCs w:val="19"/>
          <w:lang w:eastAsia="pl-PL"/>
        </w:rPr>
        <w:t>–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pozostałe koszty (tj. utrzymania czystości, opłaty za anteny zbiorcze, koszty zawiązane z eksploatacją pomieszczeń wspólnych</w:t>
      </w:r>
      <w:r w:rsidR="00561043">
        <w:rPr>
          <w:rFonts w:eastAsia="Times New Roman" w:cs="Times New Roman"/>
          <w:bCs/>
          <w:szCs w:val="19"/>
          <w:lang w:eastAsia="pl-PL"/>
        </w:rPr>
        <w:t xml:space="preserve"> itd.) oraz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podatki dla gminy i inne opłaty publiczno-prawne.</w:t>
      </w:r>
    </w:p>
    <w:p w:rsidR="00093FCD" w:rsidRDefault="00093FCD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093FCD" w:rsidRDefault="00093FCD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093FCD" w:rsidRDefault="00093FCD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6D31FD" w:rsidRDefault="006D31FD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6D31FD" w:rsidRDefault="006D31FD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6D31FD" w:rsidRDefault="006D31FD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6D31FD" w:rsidRDefault="006D31FD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E54076" w:rsidRPr="003A1BEF" w:rsidRDefault="00E54076" w:rsidP="00E54076">
      <w:pPr>
        <w:pStyle w:val="Legenda"/>
        <w:keepNext/>
        <w:rPr>
          <w:rFonts w:ascii="Fira Sans" w:hAnsi="Fira Sans"/>
          <w:bCs/>
          <w:i w:val="0"/>
          <w:sz w:val="18"/>
          <w:szCs w:val="18"/>
          <w:lang w:val="pl-PL"/>
        </w:rPr>
      </w:pPr>
      <w:bookmarkStart w:id="6" w:name="_Toc496766928"/>
      <w:r w:rsidRPr="003A1BEF">
        <w:rPr>
          <w:rFonts w:ascii="Fira Sans" w:hAnsi="Fira Sans"/>
          <w:bCs/>
          <w:i w:val="0"/>
          <w:sz w:val="18"/>
          <w:szCs w:val="18"/>
          <w:lang w:val="pl-PL"/>
        </w:rPr>
        <w:lastRenderedPageBreak/>
        <w:t>Tabl</w:t>
      </w:r>
      <w:r w:rsidR="00093FCD" w:rsidRPr="003A1BEF">
        <w:rPr>
          <w:rFonts w:ascii="Fira Sans" w:hAnsi="Fira Sans"/>
          <w:bCs/>
          <w:i w:val="0"/>
          <w:sz w:val="18"/>
          <w:szCs w:val="18"/>
          <w:lang w:val="pl-PL"/>
        </w:rPr>
        <w:t>ica 5</w:t>
      </w:r>
      <w:r w:rsidR="003A1BEF" w:rsidRPr="003A1BEF">
        <w:rPr>
          <w:rFonts w:ascii="Fira Sans" w:hAnsi="Fira Sans"/>
          <w:bCs/>
          <w:i w:val="0"/>
          <w:sz w:val="18"/>
          <w:szCs w:val="18"/>
          <w:lang w:val="pl-PL"/>
        </w:rPr>
        <w:t>.</w:t>
      </w:r>
      <w:r w:rsidRPr="003A1BEF">
        <w:rPr>
          <w:rFonts w:ascii="Fira Sans" w:hAnsi="Fira Sans"/>
          <w:bCs/>
          <w:i w:val="0"/>
          <w:sz w:val="18"/>
          <w:szCs w:val="18"/>
          <w:lang w:val="pl-PL"/>
        </w:rPr>
        <w:t xml:space="preserve"> Wysokość kosztów eksploatacji w badanych rodzajach jednostek</w:t>
      </w:r>
      <w:bookmarkEnd w:id="6"/>
    </w:p>
    <w:p w:rsidR="00093FCD" w:rsidRPr="00093FCD" w:rsidRDefault="00093FCD" w:rsidP="00093FCD">
      <w:pPr>
        <w:spacing w:before="0" w:after="0" w:line="240" w:lineRule="auto"/>
        <w:rPr>
          <w:sz w:val="12"/>
          <w:szCs w:val="12"/>
          <w:lang w:eastAsia="pl-PL"/>
        </w:rPr>
      </w:pPr>
    </w:p>
    <w:tbl>
      <w:tblPr>
        <w:tblW w:w="7513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1560"/>
        <w:gridCol w:w="1417"/>
      </w:tblGrid>
      <w:tr w:rsidR="00E54076" w:rsidRPr="00FB432E" w:rsidTr="00093FCD">
        <w:trPr>
          <w:cantSplit/>
          <w:trHeight w:val="113"/>
        </w:trPr>
        <w:tc>
          <w:tcPr>
            <w:tcW w:w="326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54076" w:rsidRPr="00241155" w:rsidRDefault="00E54076" w:rsidP="00241155">
            <w:pPr>
              <w:pStyle w:val="Tekstpodstawowy"/>
              <w:jc w:val="center"/>
              <w:rPr>
                <w:rFonts w:cs="Calibri"/>
                <w:sz w:val="16"/>
                <w:szCs w:val="16"/>
              </w:rPr>
            </w:pPr>
            <w:r w:rsidRPr="00241155">
              <w:rPr>
                <w:rFonts w:cs="Calibri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54076" w:rsidRPr="00241155" w:rsidRDefault="00E54076" w:rsidP="00241155">
            <w:pPr>
              <w:pStyle w:val="Tekstpodstawowy"/>
              <w:jc w:val="center"/>
              <w:rPr>
                <w:rFonts w:cs="Calibri"/>
                <w:sz w:val="16"/>
                <w:szCs w:val="16"/>
              </w:rPr>
            </w:pPr>
            <w:r w:rsidRPr="00241155">
              <w:rPr>
                <w:rFonts w:cs="Calibri"/>
                <w:sz w:val="16"/>
                <w:szCs w:val="16"/>
              </w:rPr>
              <w:t>Razem</w:t>
            </w:r>
          </w:p>
        </w:tc>
        <w:tc>
          <w:tcPr>
            <w:tcW w:w="2977" w:type="dxa"/>
            <w:gridSpan w:val="2"/>
            <w:vAlign w:val="center"/>
          </w:tcPr>
          <w:p w:rsidR="00E54076" w:rsidRPr="00241155" w:rsidRDefault="00EB255B" w:rsidP="00EB255B">
            <w:pPr>
              <w:pStyle w:val="Tekstpodstawowy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</w:t>
            </w:r>
            <w:r w:rsidR="00E54076" w:rsidRPr="00241155">
              <w:rPr>
                <w:rFonts w:cs="Calibri"/>
                <w:sz w:val="16"/>
                <w:szCs w:val="16"/>
              </w:rPr>
              <w:t xml:space="preserve"> tym elementy kosztów eksploatacji</w:t>
            </w:r>
          </w:p>
        </w:tc>
      </w:tr>
      <w:tr w:rsidR="00E54076" w:rsidRPr="00FB432E" w:rsidTr="00093FCD">
        <w:trPr>
          <w:cantSplit/>
          <w:trHeight w:val="707"/>
        </w:trPr>
        <w:tc>
          <w:tcPr>
            <w:tcW w:w="326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E54076" w:rsidRPr="00241155" w:rsidRDefault="00E54076" w:rsidP="00241155">
            <w:pPr>
              <w:pStyle w:val="Tekstpodstawowy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4076" w:rsidRPr="00241155" w:rsidRDefault="00E54076" w:rsidP="00241155">
            <w:pPr>
              <w:pStyle w:val="Tekstpodstawowy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E54076" w:rsidRPr="00241155" w:rsidRDefault="00E54076" w:rsidP="00241155">
            <w:pPr>
              <w:pStyle w:val="Tekstpodstawowy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241155">
              <w:rPr>
                <w:rFonts w:cs="Calibri"/>
                <w:sz w:val="16"/>
                <w:szCs w:val="16"/>
              </w:rPr>
              <w:t xml:space="preserve">zarządu </w:t>
            </w:r>
            <w:r w:rsidR="00570D80">
              <w:rPr>
                <w:rFonts w:cs="Calibri"/>
                <w:sz w:val="16"/>
                <w:szCs w:val="16"/>
              </w:rPr>
              <w:br/>
            </w:r>
            <w:r w:rsidRPr="00241155">
              <w:rPr>
                <w:rFonts w:cs="Calibri"/>
                <w:sz w:val="16"/>
                <w:szCs w:val="16"/>
              </w:rPr>
              <w:t>i administracyjno-</w:t>
            </w:r>
            <w:r w:rsidR="00570D80">
              <w:rPr>
                <w:rFonts w:cs="Calibri"/>
                <w:sz w:val="16"/>
                <w:szCs w:val="16"/>
              </w:rPr>
              <w:br/>
              <w:t>-</w:t>
            </w:r>
            <w:r w:rsidRPr="00241155">
              <w:rPr>
                <w:rFonts w:cs="Calibri"/>
                <w:sz w:val="16"/>
                <w:szCs w:val="16"/>
              </w:rPr>
              <w:t>biurowe</w:t>
            </w:r>
          </w:p>
        </w:tc>
        <w:tc>
          <w:tcPr>
            <w:tcW w:w="1417" w:type="dxa"/>
            <w:vAlign w:val="center"/>
          </w:tcPr>
          <w:p w:rsidR="00E54076" w:rsidRPr="00241155" w:rsidRDefault="00E54076" w:rsidP="00241155">
            <w:pPr>
              <w:pStyle w:val="Tekstpodstawowy"/>
              <w:jc w:val="center"/>
              <w:rPr>
                <w:rFonts w:cs="Calibri"/>
                <w:sz w:val="16"/>
                <w:szCs w:val="16"/>
              </w:rPr>
            </w:pPr>
            <w:r w:rsidRPr="00241155">
              <w:rPr>
                <w:rFonts w:cs="Calibri"/>
                <w:sz w:val="16"/>
                <w:szCs w:val="16"/>
              </w:rPr>
              <w:t>konserwacja</w:t>
            </w:r>
          </w:p>
          <w:p w:rsidR="00E54076" w:rsidRPr="00241155" w:rsidRDefault="00E54076" w:rsidP="00241155">
            <w:pPr>
              <w:pStyle w:val="Tekstpodstawowy"/>
              <w:jc w:val="center"/>
              <w:rPr>
                <w:rFonts w:cs="Calibri"/>
                <w:sz w:val="16"/>
                <w:szCs w:val="16"/>
              </w:rPr>
            </w:pPr>
            <w:r w:rsidRPr="00241155">
              <w:rPr>
                <w:rFonts w:cs="Calibri"/>
                <w:sz w:val="16"/>
                <w:szCs w:val="16"/>
              </w:rPr>
              <w:t>i remonty</w:t>
            </w:r>
          </w:p>
        </w:tc>
      </w:tr>
      <w:tr w:rsidR="00E54076" w:rsidRPr="00FB432E" w:rsidTr="00EB255B">
        <w:trPr>
          <w:cantSplit/>
          <w:trHeight w:val="277"/>
        </w:trPr>
        <w:tc>
          <w:tcPr>
            <w:tcW w:w="326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E54076" w:rsidRPr="00241155" w:rsidRDefault="00E54076" w:rsidP="00241155">
            <w:pPr>
              <w:pStyle w:val="Tekstpodstawowy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E54076" w:rsidRPr="00241155" w:rsidRDefault="00E54076" w:rsidP="00EB255B">
            <w:pPr>
              <w:pStyle w:val="Tekstpodstawowy"/>
              <w:jc w:val="center"/>
              <w:rPr>
                <w:rFonts w:cs="Calibri"/>
                <w:sz w:val="16"/>
                <w:szCs w:val="16"/>
              </w:rPr>
            </w:pPr>
            <w:r w:rsidRPr="00241155">
              <w:rPr>
                <w:rFonts w:cs="Calibri"/>
                <w:sz w:val="16"/>
                <w:szCs w:val="16"/>
              </w:rPr>
              <w:t xml:space="preserve">w mln </w:t>
            </w:r>
            <w:r w:rsidR="00EB255B">
              <w:rPr>
                <w:rFonts w:cs="Calibri"/>
                <w:sz w:val="16"/>
                <w:szCs w:val="16"/>
              </w:rPr>
              <w:t>PLN</w:t>
            </w:r>
          </w:p>
        </w:tc>
      </w:tr>
      <w:tr w:rsidR="00E54076" w:rsidRPr="00FB432E" w:rsidTr="00EB255B">
        <w:trPr>
          <w:cantSplit/>
          <w:trHeight w:val="221"/>
        </w:trPr>
        <w:tc>
          <w:tcPr>
            <w:tcW w:w="3261" w:type="dxa"/>
            <w:tcBorders>
              <w:top w:val="single" w:sz="12" w:space="0" w:color="001D77"/>
              <w:bottom w:val="nil"/>
            </w:tcBorders>
          </w:tcPr>
          <w:p w:rsidR="00E54076" w:rsidRPr="00241155" w:rsidRDefault="00E54076" w:rsidP="00DD16F5">
            <w:pPr>
              <w:pStyle w:val="Tekstpodstawowy"/>
              <w:spacing w:before="80" w:after="80"/>
              <w:ind w:left="0"/>
              <w:rPr>
                <w:rFonts w:cs="Calibri"/>
                <w:b/>
                <w:sz w:val="16"/>
                <w:szCs w:val="16"/>
              </w:rPr>
            </w:pPr>
            <w:r w:rsidRPr="00241155">
              <w:rPr>
                <w:rFonts w:cs="Calibri"/>
                <w:b/>
                <w:sz w:val="16"/>
                <w:szCs w:val="16"/>
              </w:rPr>
              <w:t>RAZEM</w:t>
            </w:r>
          </w:p>
        </w:tc>
        <w:tc>
          <w:tcPr>
            <w:tcW w:w="1275" w:type="dxa"/>
            <w:tcBorders>
              <w:top w:val="single" w:sz="12" w:space="0" w:color="001D77"/>
              <w:bottom w:val="nil"/>
            </w:tcBorders>
            <w:vAlign w:val="bottom"/>
          </w:tcPr>
          <w:p w:rsidR="00E54076" w:rsidRPr="00241155" w:rsidRDefault="00E54076" w:rsidP="002657C6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16 37</w:t>
            </w:r>
            <w:r w:rsidR="002657C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</w:t>
            </w:r>
            <w:r w:rsidRPr="00241155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,2 </w:t>
            </w:r>
          </w:p>
        </w:tc>
        <w:tc>
          <w:tcPr>
            <w:tcW w:w="1560" w:type="dxa"/>
            <w:tcBorders>
              <w:top w:val="single" w:sz="12" w:space="0" w:color="001D77"/>
              <w:bottom w:val="nil"/>
            </w:tcBorders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5 519,6 </w:t>
            </w:r>
          </w:p>
        </w:tc>
        <w:tc>
          <w:tcPr>
            <w:tcW w:w="1417" w:type="dxa"/>
            <w:tcBorders>
              <w:top w:val="single" w:sz="12" w:space="0" w:color="001D77"/>
              <w:bottom w:val="nil"/>
            </w:tcBorders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7 338,1 </w:t>
            </w:r>
          </w:p>
        </w:tc>
      </w:tr>
      <w:tr w:rsidR="00E54076" w:rsidRPr="00FB432E" w:rsidTr="00EB255B">
        <w:trPr>
          <w:cantSplit/>
          <w:trHeight w:val="228"/>
        </w:trPr>
        <w:tc>
          <w:tcPr>
            <w:tcW w:w="3261" w:type="dxa"/>
            <w:tcBorders>
              <w:top w:val="nil"/>
            </w:tcBorders>
          </w:tcPr>
          <w:p w:rsidR="00E54076" w:rsidRPr="00241155" w:rsidRDefault="00E54076" w:rsidP="00DD16F5">
            <w:pPr>
              <w:pStyle w:val="Tekstpodstawowy"/>
              <w:spacing w:before="80" w:after="80"/>
              <w:ind w:left="176"/>
              <w:rPr>
                <w:rFonts w:cs="Calibri"/>
                <w:sz w:val="16"/>
                <w:szCs w:val="16"/>
              </w:rPr>
            </w:pPr>
            <w:r w:rsidRPr="00241155">
              <w:rPr>
                <w:rFonts w:cs="Calibri"/>
                <w:sz w:val="16"/>
                <w:szCs w:val="16"/>
              </w:rPr>
              <w:t>z tego: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54076" w:rsidRPr="00241155" w:rsidRDefault="00E54076" w:rsidP="009329F0">
            <w:pPr>
              <w:pStyle w:val="Tekstpodstawowy"/>
              <w:spacing w:before="80" w:after="80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E54076" w:rsidRPr="00241155" w:rsidRDefault="00E54076" w:rsidP="009329F0">
            <w:pPr>
              <w:pStyle w:val="Tekstpodstawowy"/>
              <w:spacing w:before="80" w:after="80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54076" w:rsidRPr="00241155" w:rsidRDefault="00E54076" w:rsidP="009329F0">
            <w:pPr>
              <w:pStyle w:val="Tekstpodstawowy"/>
              <w:spacing w:before="80" w:after="80"/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E54076" w:rsidRPr="00FB432E" w:rsidTr="00093FCD">
        <w:trPr>
          <w:cantSplit/>
          <w:trHeight w:val="189"/>
        </w:trPr>
        <w:tc>
          <w:tcPr>
            <w:tcW w:w="3261" w:type="dxa"/>
          </w:tcPr>
          <w:p w:rsidR="00E54076" w:rsidRPr="00241155" w:rsidRDefault="00EB255B" w:rsidP="00DD16F5">
            <w:pPr>
              <w:pStyle w:val="Tekstpodstawowy"/>
              <w:spacing w:before="80" w:after="80"/>
              <w:ind w:left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g</w:t>
            </w:r>
            <w:r w:rsidR="00E54076" w:rsidRPr="00241155">
              <w:rPr>
                <w:rFonts w:cs="Calibri"/>
                <w:sz w:val="16"/>
                <w:szCs w:val="16"/>
              </w:rPr>
              <w:t>miny</w:t>
            </w:r>
          </w:p>
        </w:tc>
        <w:tc>
          <w:tcPr>
            <w:tcW w:w="1275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1 653,6 </w:t>
            </w:r>
          </w:p>
        </w:tc>
        <w:tc>
          <w:tcPr>
            <w:tcW w:w="1560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672,1 </w:t>
            </w:r>
          </w:p>
        </w:tc>
        <w:tc>
          <w:tcPr>
            <w:tcW w:w="1417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638,5 </w:t>
            </w:r>
          </w:p>
        </w:tc>
      </w:tr>
      <w:tr w:rsidR="00E54076" w:rsidRPr="00FB432E" w:rsidTr="00093FCD">
        <w:trPr>
          <w:cantSplit/>
          <w:trHeight w:val="194"/>
        </w:trPr>
        <w:tc>
          <w:tcPr>
            <w:tcW w:w="3261" w:type="dxa"/>
          </w:tcPr>
          <w:p w:rsidR="00E54076" w:rsidRPr="00241155" w:rsidRDefault="00EB255B" w:rsidP="00DD16F5">
            <w:pPr>
              <w:pStyle w:val="Tekstpodstawowy"/>
              <w:spacing w:before="80" w:after="80"/>
              <w:ind w:left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</w:t>
            </w:r>
            <w:r w:rsidR="00E54076" w:rsidRPr="00241155">
              <w:rPr>
                <w:rFonts w:cs="Calibri"/>
                <w:sz w:val="16"/>
                <w:szCs w:val="16"/>
              </w:rPr>
              <w:t>półdzielnie mieszkaniowe</w:t>
            </w:r>
          </w:p>
        </w:tc>
        <w:tc>
          <w:tcPr>
            <w:tcW w:w="1275" w:type="dxa"/>
            <w:vAlign w:val="bottom"/>
          </w:tcPr>
          <w:p w:rsidR="00E54076" w:rsidRPr="00241155" w:rsidRDefault="00E54076" w:rsidP="002657C6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>8 63</w:t>
            </w:r>
            <w:r w:rsidR="002657C6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,9 </w:t>
            </w:r>
          </w:p>
        </w:tc>
        <w:tc>
          <w:tcPr>
            <w:tcW w:w="1560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2 606,2 </w:t>
            </w:r>
          </w:p>
        </w:tc>
        <w:tc>
          <w:tcPr>
            <w:tcW w:w="1417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3 786,8 </w:t>
            </w:r>
          </w:p>
        </w:tc>
      </w:tr>
      <w:tr w:rsidR="00E54076" w:rsidRPr="00FB432E" w:rsidTr="00093FCD">
        <w:trPr>
          <w:cantSplit/>
          <w:trHeight w:val="193"/>
        </w:trPr>
        <w:tc>
          <w:tcPr>
            <w:tcW w:w="3261" w:type="dxa"/>
          </w:tcPr>
          <w:p w:rsidR="00E54076" w:rsidRPr="00241155" w:rsidRDefault="00E54076" w:rsidP="00DD16F5">
            <w:pPr>
              <w:pStyle w:val="Tekstpodstawowy"/>
              <w:spacing w:before="80" w:after="80"/>
              <w:ind w:left="0"/>
              <w:rPr>
                <w:rFonts w:cs="Calibri"/>
                <w:sz w:val="16"/>
                <w:szCs w:val="16"/>
              </w:rPr>
            </w:pPr>
            <w:r w:rsidRPr="00241155">
              <w:rPr>
                <w:rFonts w:cs="Calibri"/>
                <w:sz w:val="16"/>
                <w:szCs w:val="16"/>
              </w:rPr>
              <w:t>Skarb Państwa</w:t>
            </w:r>
          </w:p>
        </w:tc>
        <w:tc>
          <w:tcPr>
            <w:tcW w:w="1275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45,1 </w:t>
            </w:r>
          </w:p>
        </w:tc>
        <w:tc>
          <w:tcPr>
            <w:tcW w:w="1560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>30,0</w:t>
            </w:r>
          </w:p>
        </w:tc>
        <w:tc>
          <w:tcPr>
            <w:tcW w:w="1417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8,0 </w:t>
            </w:r>
          </w:p>
        </w:tc>
      </w:tr>
      <w:tr w:rsidR="00E54076" w:rsidRPr="00FB432E" w:rsidTr="00093FCD">
        <w:trPr>
          <w:cantSplit/>
          <w:trHeight w:val="207"/>
        </w:trPr>
        <w:tc>
          <w:tcPr>
            <w:tcW w:w="3261" w:type="dxa"/>
          </w:tcPr>
          <w:p w:rsidR="00E54076" w:rsidRPr="00241155" w:rsidRDefault="00EB255B" w:rsidP="00DD16F5">
            <w:pPr>
              <w:pStyle w:val="Tekstpodstawowy"/>
              <w:spacing w:before="80" w:after="80"/>
              <w:ind w:left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z</w:t>
            </w:r>
            <w:r w:rsidR="00E54076" w:rsidRPr="00241155">
              <w:rPr>
                <w:rFonts w:cs="Calibri"/>
                <w:sz w:val="16"/>
                <w:szCs w:val="16"/>
              </w:rPr>
              <w:t>akłady pracy</w:t>
            </w:r>
          </w:p>
        </w:tc>
        <w:tc>
          <w:tcPr>
            <w:tcW w:w="1275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58,4 </w:t>
            </w:r>
          </w:p>
        </w:tc>
        <w:tc>
          <w:tcPr>
            <w:tcW w:w="1560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25,3 </w:t>
            </w:r>
          </w:p>
        </w:tc>
        <w:tc>
          <w:tcPr>
            <w:tcW w:w="1417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22,7 </w:t>
            </w:r>
          </w:p>
        </w:tc>
      </w:tr>
      <w:tr w:rsidR="00E54076" w:rsidRPr="00FB432E" w:rsidTr="00093FCD">
        <w:trPr>
          <w:cantSplit/>
          <w:trHeight w:val="192"/>
        </w:trPr>
        <w:tc>
          <w:tcPr>
            <w:tcW w:w="3261" w:type="dxa"/>
          </w:tcPr>
          <w:p w:rsidR="00E54076" w:rsidRPr="00241155" w:rsidRDefault="00EB255B" w:rsidP="00DD16F5">
            <w:pPr>
              <w:pStyle w:val="Tekstpodstawowy"/>
              <w:spacing w:before="80" w:after="80"/>
              <w:ind w:left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</w:t>
            </w:r>
            <w:r w:rsidR="00E54076" w:rsidRPr="00241155">
              <w:rPr>
                <w:rFonts w:cs="Calibri"/>
                <w:sz w:val="16"/>
                <w:szCs w:val="16"/>
              </w:rPr>
              <w:t>spólnoty mieszkaniowe</w:t>
            </w:r>
          </w:p>
        </w:tc>
        <w:tc>
          <w:tcPr>
            <w:tcW w:w="1275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5 642,4 </w:t>
            </w:r>
          </w:p>
        </w:tc>
        <w:tc>
          <w:tcPr>
            <w:tcW w:w="1560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="002657C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007,4 </w:t>
            </w:r>
          </w:p>
        </w:tc>
        <w:tc>
          <w:tcPr>
            <w:tcW w:w="1417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="002657C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800,0 </w:t>
            </w:r>
          </w:p>
        </w:tc>
      </w:tr>
      <w:tr w:rsidR="00E54076" w:rsidRPr="00FB432E" w:rsidTr="00093FCD">
        <w:trPr>
          <w:cantSplit/>
          <w:trHeight w:val="225"/>
        </w:trPr>
        <w:tc>
          <w:tcPr>
            <w:tcW w:w="3261" w:type="dxa"/>
          </w:tcPr>
          <w:p w:rsidR="00E54076" w:rsidRPr="00241155" w:rsidRDefault="00EB255B" w:rsidP="00DD16F5">
            <w:pPr>
              <w:pStyle w:val="Tekstpodstawowy"/>
              <w:spacing w:before="80" w:after="80"/>
              <w:ind w:left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</w:t>
            </w:r>
            <w:r w:rsidR="00E54076" w:rsidRPr="00241155">
              <w:rPr>
                <w:rFonts w:cs="Calibri"/>
                <w:sz w:val="16"/>
                <w:szCs w:val="16"/>
              </w:rPr>
              <w:t>owarzystwa budownictwa społecznego</w:t>
            </w:r>
          </w:p>
        </w:tc>
        <w:tc>
          <w:tcPr>
            <w:tcW w:w="1275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333,4 </w:t>
            </w:r>
          </w:p>
        </w:tc>
        <w:tc>
          <w:tcPr>
            <w:tcW w:w="1560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175,8 </w:t>
            </w:r>
          </w:p>
        </w:tc>
        <w:tc>
          <w:tcPr>
            <w:tcW w:w="1417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81,1 </w:t>
            </w:r>
          </w:p>
        </w:tc>
      </w:tr>
      <w:tr w:rsidR="00E54076" w:rsidRPr="00FB432E" w:rsidTr="00093FCD">
        <w:trPr>
          <w:cantSplit/>
          <w:trHeight w:val="217"/>
        </w:trPr>
        <w:tc>
          <w:tcPr>
            <w:tcW w:w="3261" w:type="dxa"/>
          </w:tcPr>
          <w:p w:rsidR="00E54076" w:rsidRPr="00241155" w:rsidRDefault="00EB255B" w:rsidP="00DD16F5">
            <w:pPr>
              <w:pStyle w:val="Tekstpodstawowy"/>
              <w:spacing w:before="80" w:after="80"/>
              <w:ind w:left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</w:t>
            </w:r>
            <w:r w:rsidR="00E54076" w:rsidRPr="00241155">
              <w:rPr>
                <w:rFonts w:cs="Calibri"/>
                <w:sz w:val="16"/>
                <w:szCs w:val="16"/>
              </w:rPr>
              <w:t>nne podmioty</w:t>
            </w:r>
          </w:p>
        </w:tc>
        <w:tc>
          <w:tcPr>
            <w:tcW w:w="1275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4,3 </w:t>
            </w:r>
          </w:p>
        </w:tc>
        <w:tc>
          <w:tcPr>
            <w:tcW w:w="1560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2,8 </w:t>
            </w:r>
          </w:p>
        </w:tc>
        <w:tc>
          <w:tcPr>
            <w:tcW w:w="1417" w:type="dxa"/>
            <w:vAlign w:val="bottom"/>
          </w:tcPr>
          <w:p w:rsidR="00E54076" w:rsidRPr="00241155" w:rsidRDefault="00E54076" w:rsidP="009329F0">
            <w:pPr>
              <w:spacing w:before="60" w:after="60" w:line="220" w:lineRule="exact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1155">
              <w:rPr>
                <w:rFonts w:eastAsia="Times New Roman" w:cs="Calibri"/>
                <w:sz w:val="16"/>
                <w:szCs w:val="16"/>
                <w:lang w:eastAsia="pl-PL"/>
              </w:rPr>
              <w:t xml:space="preserve">1,0 </w:t>
            </w:r>
          </w:p>
        </w:tc>
      </w:tr>
    </w:tbl>
    <w:p w:rsidR="00E54076" w:rsidRDefault="00EA6C89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2C44E75D" wp14:editId="6A6CB30C">
                <wp:simplePos x="0" y="0"/>
                <wp:positionH relativeFrom="rightMargin">
                  <wp:align>left</wp:align>
                </wp:positionH>
                <wp:positionV relativeFrom="paragraph">
                  <wp:posOffset>3511</wp:posOffset>
                </wp:positionV>
                <wp:extent cx="1666875" cy="998855"/>
                <wp:effectExtent l="0" t="0" r="0" b="0"/>
                <wp:wrapTight wrapText="bothSides">
                  <wp:wrapPolygon edited="0">
                    <wp:start x="741" y="0"/>
                    <wp:lineTo x="741" y="21010"/>
                    <wp:lineTo x="20736" y="21010"/>
                    <wp:lineTo x="20736" y="0"/>
                    <wp:lineTo x="741" y="0"/>
                  </wp:wrapPolygon>
                </wp:wrapTight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998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EA6C89">
                            <w:pPr>
                              <w:pStyle w:val="tekstzboku"/>
                            </w:pPr>
                            <w:r w:rsidRPr="000D6DD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2018</w:t>
                            </w:r>
                            <w:r w:rsidRPr="005160F9"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r. koszty usług komunalnych wyniosły 17,8 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4E75D" id="_x0000_s1039" type="#_x0000_t202" style="position:absolute;margin-left:0;margin-top:.3pt;width:131.25pt;height:78.65pt;z-index:-25154969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VPEwIAAAAEAAAOAAAAZHJzL2Uyb0RvYy54bWysU9uO0zAQfUfiHyy/0zSh16jpatllEdIC&#10;Ky18gOs4jbW2x9huk/L1O3baEsEbIg+WnfGcmXPmeHPTa0WOwnkJpqL5ZEqJMBxqafYV/fH94d2K&#10;Eh+YqZkCIyp6Ep7ebN++2XS2FAW0oGrhCIIYX3a2om0Itswyz1uhmZ+AFQaDDTjNAh7dPqsd6xBd&#10;q6yYThdZB662DrjwHv/eD0G6TfhNI3j41jReBKIqir2FtLq07uKabTes3DtmW8nPbbB/6EIzabDo&#10;FeqeBUYOTv4FpSV34KEJEw46g6aRXCQOyCaf/sHmuWVWJC4ojrdXmfz/g+Vfj0+OyLqixZISwzTO&#10;6AmUIEG8+ACdIEXUqLO+xKvPFi+H/gP0OOvE19tH4C+eGLhrmdmLW+egawWrscc8Zmaj1AHHR5Bd&#10;9wVqrMUOARJQ3zgdBURJCKLjrE7X+Yg+EB5LLhaL1XJOCcfYer1aF7NUgpWXbOt8+CRAk7ipqMP5&#10;J3R2fPQhdsPKy5VYzMCDVCp5QBnSIei8mKeEUUTLgBZVUld0NY3fYJpI8qOpU3JgUg17LKDMmXUk&#10;OlAO/a5PIufvL2ruoD6hDg4GS+ITwk0L7hclHdqxov7ngTlBifpsUMt1PptF/6bDbL4s8ODGkd04&#10;wgxHqIoGSobtXUieHzjfouaNTHLE4QydnHtGmyWVzk8i+nh8Trd+P9ztKwAAAP//AwBQSwMEFAAG&#10;AAgAAAAhAGtgDcjaAAAABQEAAA8AAABkcnMvZG93bnJldi54bWxMj81OwzAQhO9IvIO1SNyoTUQC&#10;DXEqBOIKovxI3LbxNomI11HsNuHtWU5wHM1o5ptqs/hBHWmKfWALlysDirgJrufWwtvr48UNqJiQ&#10;HQ6BycI3RdjUpycVli7M/ELHbWqVlHAs0UKX0lhqHZuOPMZVGInF24fJYxI5tdpNOEu5H3RmTKE9&#10;9iwLHY5031HztT14C+9P+8+PK/PcPvh8nMNiNPu1tvb8bLm7BZVoSX9h+MUXdKiFaRcO7KIaLMiR&#10;ZKEAJV5WZDmonYTy6zXoutL/6esfAAAA//8DAFBLAQItABQABgAIAAAAIQC2gziS/gAAAOEBAAAT&#10;AAAAAAAAAAAAAAAAAAAAAABbQ29udGVudF9UeXBlc10ueG1sUEsBAi0AFAAGAAgAAAAhADj9If/W&#10;AAAAlAEAAAsAAAAAAAAAAAAAAAAALwEAAF9yZWxzLy5yZWxzUEsBAi0AFAAGAAgAAAAhAFqJhU8T&#10;AgAAAAQAAA4AAAAAAAAAAAAAAAAALgIAAGRycy9lMm9Eb2MueG1sUEsBAi0AFAAGAAgAAAAhAGtg&#10;DcjaAAAABQEAAA8AAAAAAAAAAAAAAAAAbQQAAGRycy9kb3ducmV2LnhtbFBLBQYAAAAABAAEAPMA&#10;AAB0BQAAAAA=&#10;" filled="f" stroked="f">
                <v:textbox>
                  <w:txbxContent>
                    <w:p w:rsidR="002463D2" w:rsidRPr="00074DD8" w:rsidRDefault="002463D2" w:rsidP="00EA6C89">
                      <w:pPr>
                        <w:pStyle w:val="tekstzboku"/>
                      </w:pPr>
                      <w:r w:rsidRPr="000D6DD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2018</w:t>
                      </w:r>
                      <w:r w:rsidRPr="005160F9"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r. koszty usług komunalnych wyniosły 17,8 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E54076" w:rsidRPr="00E54076" w:rsidRDefault="00EB255B" w:rsidP="00E54076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>
        <w:rPr>
          <w:rFonts w:eastAsia="Times New Roman" w:cs="Times New Roman"/>
          <w:bCs/>
          <w:szCs w:val="19"/>
          <w:lang w:eastAsia="pl-PL"/>
        </w:rPr>
        <w:t>W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201</w:t>
      </w:r>
      <w:r>
        <w:rPr>
          <w:rFonts w:eastAsia="Times New Roman" w:cs="Times New Roman"/>
          <w:bCs/>
          <w:szCs w:val="19"/>
          <w:lang w:eastAsia="pl-PL"/>
        </w:rPr>
        <w:t>8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r. </w:t>
      </w:r>
      <w:r>
        <w:rPr>
          <w:rFonts w:eastAsia="Times New Roman" w:cs="Times New Roman"/>
          <w:bCs/>
          <w:szCs w:val="19"/>
          <w:lang w:eastAsia="pl-PL"/>
        </w:rPr>
        <w:t>k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>oszty świadczonych usług komunalnych wyniosły 17,</w:t>
      </w:r>
      <w:r w:rsidR="006D31FD">
        <w:rPr>
          <w:rFonts w:eastAsia="Times New Roman" w:cs="Times New Roman"/>
          <w:bCs/>
          <w:szCs w:val="19"/>
          <w:lang w:eastAsia="pl-PL"/>
        </w:rPr>
        <w:t>8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 mld </w:t>
      </w:r>
      <w:r>
        <w:rPr>
          <w:rFonts w:eastAsia="Times New Roman" w:cs="Times New Roman"/>
          <w:bCs/>
          <w:szCs w:val="19"/>
          <w:lang w:eastAsia="pl-PL"/>
        </w:rPr>
        <w:t>PLN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>. Biorąc pod uwagę formę własności lokali, w skali roku w przeliczeniu na m</w:t>
      </w:r>
      <w:r w:rsidR="00E54076" w:rsidRPr="00C748E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 powierzchni użytkowej 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najmniej 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zapłacono za świadczone usługi komunalne w przypadku lokali należących do innych podmiotów – 30,3 </w:t>
      </w:r>
      <w:r>
        <w:rPr>
          <w:rFonts w:eastAsia="Times New Roman" w:cs="Times New Roman"/>
          <w:bCs/>
          <w:szCs w:val="19"/>
          <w:lang w:eastAsia="pl-PL"/>
        </w:rPr>
        <w:t>PLN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, najwięcej </w:t>
      </w:r>
      <w:r>
        <w:rPr>
          <w:rFonts w:eastAsia="Times New Roman" w:cs="Times New Roman"/>
          <w:bCs/>
          <w:szCs w:val="19"/>
          <w:lang w:eastAsia="pl-PL"/>
        </w:rPr>
        <w:t xml:space="preserve">zaś 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w przypadku lokali znajdujących się w zasobach Skarbu Państwa – 58,6 </w:t>
      </w:r>
      <w:r>
        <w:rPr>
          <w:rFonts w:eastAsia="Times New Roman" w:cs="Times New Roman"/>
          <w:bCs/>
          <w:szCs w:val="19"/>
          <w:lang w:eastAsia="pl-PL"/>
        </w:rPr>
        <w:t>PLN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>.</w:t>
      </w:r>
    </w:p>
    <w:p w:rsidR="00E54076" w:rsidRPr="00E54076" w:rsidRDefault="00E54076" w:rsidP="00E54076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E54076">
        <w:rPr>
          <w:rFonts w:eastAsia="Times New Roman" w:cs="Times New Roman"/>
          <w:bCs/>
          <w:szCs w:val="19"/>
          <w:lang w:eastAsia="pl-PL"/>
        </w:rPr>
        <w:t xml:space="preserve">W całkowitych kosztach świadczonych usług komunalnych 58,9% stanowiły opłaty za centralne ogrzewanie i ciepłą wodę. Pozostałe elementy </w:t>
      </w:r>
      <w:r w:rsidR="00726FEB">
        <w:rPr>
          <w:rFonts w:eastAsia="Times New Roman" w:cs="Times New Roman"/>
          <w:bCs/>
          <w:szCs w:val="19"/>
          <w:lang w:eastAsia="pl-PL"/>
        </w:rPr>
        <w:t xml:space="preserve">struktury </w:t>
      </w:r>
      <w:r w:rsidRPr="00E54076">
        <w:rPr>
          <w:rFonts w:eastAsia="Times New Roman" w:cs="Times New Roman"/>
          <w:bCs/>
          <w:szCs w:val="19"/>
          <w:lang w:eastAsia="pl-PL"/>
        </w:rPr>
        <w:t>kosztów świadczonych usług kształtowały się następująco:</w:t>
      </w:r>
    </w:p>
    <w:p w:rsidR="00E54076" w:rsidRPr="00EB255B" w:rsidRDefault="00E54076" w:rsidP="00EB255B">
      <w:pPr>
        <w:pStyle w:val="Akapitzlist"/>
        <w:numPr>
          <w:ilvl w:val="0"/>
          <w:numId w:val="8"/>
        </w:numPr>
        <w:spacing w:before="0" w:after="0"/>
        <w:ind w:left="142" w:hanging="142"/>
        <w:rPr>
          <w:rFonts w:eastAsia="Times New Roman" w:cs="Times New Roman"/>
          <w:bCs/>
          <w:szCs w:val="19"/>
          <w:lang w:eastAsia="pl-PL"/>
        </w:rPr>
      </w:pPr>
      <w:r w:rsidRPr="00EB255B">
        <w:rPr>
          <w:rFonts w:eastAsia="Times New Roman" w:cs="Times New Roman"/>
          <w:bCs/>
          <w:szCs w:val="19"/>
          <w:lang w:eastAsia="pl-PL"/>
        </w:rPr>
        <w:t>koszty związane z poborem zimnej wody, odprowadzeniem ścieków lub odbiorem nieczystości ciekłych – 29,4%,</w:t>
      </w:r>
    </w:p>
    <w:p w:rsidR="00E54076" w:rsidRPr="00EB255B" w:rsidRDefault="00E54076" w:rsidP="00EB255B">
      <w:pPr>
        <w:pStyle w:val="Akapitzlist"/>
        <w:numPr>
          <w:ilvl w:val="0"/>
          <w:numId w:val="8"/>
        </w:numPr>
        <w:spacing w:before="0" w:after="0"/>
        <w:ind w:left="142" w:hanging="142"/>
        <w:rPr>
          <w:rFonts w:eastAsia="Times New Roman" w:cs="Times New Roman"/>
          <w:bCs/>
          <w:szCs w:val="19"/>
          <w:lang w:eastAsia="pl-PL"/>
        </w:rPr>
      </w:pPr>
      <w:r w:rsidRPr="00EB255B">
        <w:rPr>
          <w:rFonts w:eastAsia="Times New Roman" w:cs="Times New Roman"/>
          <w:bCs/>
          <w:szCs w:val="19"/>
          <w:lang w:eastAsia="pl-PL"/>
        </w:rPr>
        <w:t>koszty związane z odbiorem odpadów komunalnych – 10,7%,</w:t>
      </w:r>
    </w:p>
    <w:p w:rsidR="00E54076" w:rsidRPr="00EB255B" w:rsidRDefault="00E54076" w:rsidP="00EB255B">
      <w:pPr>
        <w:pStyle w:val="Akapitzlist"/>
        <w:numPr>
          <w:ilvl w:val="0"/>
          <w:numId w:val="8"/>
        </w:numPr>
        <w:spacing w:before="0" w:after="0"/>
        <w:ind w:left="142" w:hanging="142"/>
        <w:rPr>
          <w:rFonts w:eastAsia="Times New Roman" w:cs="Times New Roman"/>
          <w:bCs/>
          <w:szCs w:val="19"/>
          <w:lang w:eastAsia="pl-PL"/>
        </w:rPr>
      </w:pPr>
      <w:r w:rsidRPr="00EB255B">
        <w:rPr>
          <w:rFonts w:eastAsia="Times New Roman" w:cs="Times New Roman"/>
          <w:bCs/>
          <w:szCs w:val="19"/>
          <w:lang w:eastAsia="pl-PL"/>
        </w:rPr>
        <w:t>koszty utrzymania wind – ok. 1% (w niektórych jednostkach</w:t>
      </w:r>
      <w:r w:rsidR="00373A8A">
        <w:rPr>
          <w:rFonts w:eastAsia="Times New Roman" w:cs="Times New Roman"/>
          <w:bCs/>
          <w:szCs w:val="19"/>
          <w:lang w:eastAsia="pl-PL"/>
        </w:rPr>
        <w:t xml:space="preserve">, </w:t>
      </w:r>
      <w:r w:rsidR="00373A8A" w:rsidRPr="00EB255B">
        <w:rPr>
          <w:rFonts w:eastAsia="Times New Roman" w:cs="Times New Roman"/>
          <w:bCs/>
          <w:szCs w:val="19"/>
          <w:lang w:eastAsia="pl-PL"/>
        </w:rPr>
        <w:t xml:space="preserve">np. </w:t>
      </w:r>
      <w:r w:rsidR="00373A8A">
        <w:rPr>
          <w:rFonts w:eastAsia="Times New Roman" w:cs="Times New Roman"/>
          <w:bCs/>
          <w:szCs w:val="19"/>
          <w:lang w:eastAsia="pl-PL"/>
        </w:rPr>
        <w:t>we</w:t>
      </w:r>
      <w:r w:rsidR="00373A8A" w:rsidRPr="00EB255B">
        <w:rPr>
          <w:rFonts w:eastAsia="Times New Roman" w:cs="Times New Roman"/>
          <w:bCs/>
          <w:szCs w:val="19"/>
          <w:lang w:eastAsia="pl-PL"/>
        </w:rPr>
        <w:t xml:space="preserve"> wspólnot</w:t>
      </w:r>
      <w:r w:rsidR="00373A8A">
        <w:rPr>
          <w:rFonts w:eastAsia="Times New Roman" w:cs="Times New Roman"/>
          <w:bCs/>
          <w:szCs w:val="19"/>
          <w:lang w:eastAsia="pl-PL"/>
        </w:rPr>
        <w:t>ach</w:t>
      </w:r>
      <w:r w:rsidR="00373A8A" w:rsidRPr="00EB255B">
        <w:rPr>
          <w:rFonts w:eastAsia="Times New Roman" w:cs="Times New Roman"/>
          <w:bCs/>
          <w:szCs w:val="19"/>
          <w:lang w:eastAsia="pl-PL"/>
        </w:rPr>
        <w:t xml:space="preserve"> mieszkaniowych </w:t>
      </w:r>
      <w:r w:rsidRPr="00EB255B">
        <w:rPr>
          <w:rFonts w:eastAsia="Times New Roman" w:cs="Times New Roman"/>
          <w:bCs/>
          <w:szCs w:val="19"/>
          <w:lang w:eastAsia="pl-PL"/>
        </w:rPr>
        <w:t>pozycja ta jest częścią składową kosztów związanych z konserwacją i</w:t>
      </w:r>
      <w:r w:rsidR="00373A8A">
        <w:rPr>
          <w:rFonts w:eastAsia="Times New Roman" w:cs="Times New Roman"/>
          <w:bCs/>
          <w:szCs w:val="19"/>
          <w:lang w:eastAsia="pl-PL"/>
        </w:rPr>
        <w:t> </w:t>
      </w:r>
      <w:r w:rsidRPr="00EB255B">
        <w:rPr>
          <w:rFonts w:eastAsia="Times New Roman" w:cs="Times New Roman"/>
          <w:bCs/>
          <w:szCs w:val="19"/>
          <w:lang w:eastAsia="pl-PL"/>
        </w:rPr>
        <w:t>remontami).</w:t>
      </w:r>
    </w:p>
    <w:p w:rsidR="006B7D12" w:rsidRDefault="006B7D12" w:rsidP="00EB255B">
      <w:pPr>
        <w:spacing w:before="0" w:after="0"/>
        <w:ind w:left="142" w:hanging="142"/>
        <w:rPr>
          <w:rFonts w:eastAsia="Times New Roman" w:cs="Times New Roman"/>
          <w:bCs/>
          <w:szCs w:val="19"/>
          <w:lang w:eastAsia="pl-PL"/>
        </w:rPr>
      </w:pPr>
    </w:p>
    <w:p w:rsidR="00E54076" w:rsidRPr="00093FCD" w:rsidRDefault="00093FCD" w:rsidP="006B7D12">
      <w:pPr>
        <w:spacing w:before="0" w:after="0"/>
        <w:rPr>
          <w:b/>
          <w:spacing w:val="-2"/>
          <w:sz w:val="18"/>
        </w:rPr>
      </w:pPr>
      <w:bookmarkStart w:id="7" w:name="_Toc496766929"/>
      <w:r w:rsidRPr="00093FCD">
        <w:rPr>
          <w:b/>
          <w:spacing w:val="-2"/>
          <w:sz w:val="18"/>
        </w:rPr>
        <w:t>Tablica 6</w:t>
      </w:r>
      <w:r w:rsidR="003A1BEF">
        <w:rPr>
          <w:b/>
          <w:spacing w:val="-2"/>
          <w:sz w:val="18"/>
        </w:rPr>
        <w:t>.</w:t>
      </w:r>
      <w:r w:rsidR="00E54076" w:rsidRPr="00093FCD">
        <w:rPr>
          <w:b/>
          <w:spacing w:val="-2"/>
          <w:sz w:val="18"/>
        </w:rPr>
        <w:t xml:space="preserve"> Wysokość kosztów świadczonych usług w badanych rodzajach jednostek:</w:t>
      </w:r>
      <w:bookmarkEnd w:id="7"/>
    </w:p>
    <w:p w:rsidR="00093FCD" w:rsidRPr="005160F9" w:rsidRDefault="00093FCD" w:rsidP="00093FCD">
      <w:pPr>
        <w:spacing w:before="0" w:after="0" w:line="240" w:lineRule="auto"/>
        <w:rPr>
          <w:rFonts w:eastAsia="Times New Roman" w:cs="Times New Roman"/>
          <w:bCs/>
          <w:szCs w:val="19"/>
          <w:lang w:eastAsia="pl-PL"/>
        </w:rPr>
      </w:pPr>
    </w:p>
    <w:tbl>
      <w:tblPr>
        <w:tblW w:w="8075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1139"/>
        <w:gridCol w:w="1076"/>
        <w:gridCol w:w="1190"/>
        <w:gridCol w:w="1133"/>
        <w:gridCol w:w="907"/>
        <w:gridCol w:w="84"/>
      </w:tblGrid>
      <w:tr w:rsidR="00E54076" w:rsidRPr="00E54076" w:rsidTr="00A10F8C">
        <w:trPr>
          <w:cantSplit/>
          <w:trHeight w:val="283"/>
        </w:trPr>
        <w:tc>
          <w:tcPr>
            <w:tcW w:w="2546" w:type="dxa"/>
            <w:vMerge w:val="restart"/>
            <w:vAlign w:val="center"/>
          </w:tcPr>
          <w:p w:rsidR="00E54076" w:rsidRPr="00A10F8C" w:rsidRDefault="00E54076" w:rsidP="00A10F8C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9" w:type="dxa"/>
            <w:vMerge w:val="restart"/>
            <w:vAlign w:val="center"/>
          </w:tcPr>
          <w:p w:rsidR="00E54076" w:rsidRPr="00A10F8C" w:rsidRDefault="00E54076" w:rsidP="00A10F8C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4390" w:type="dxa"/>
            <w:gridSpan w:val="5"/>
            <w:vAlign w:val="center"/>
          </w:tcPr>
          <w:p w:rsidR="00E54076" w:rsidRPr="00A10F8C" w:rsidRDefault="00E54076" w:rsidP="00A10F8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Elementy kosztów świadczonych usług</w:t>
            </w:r>
          </w:p>
        </w:tc>
      </w:tr>
      <w:tr w:rsidR="006B7D12" w:rsidRPr="00E54076" w:rsidTr="00A10F8C">
        <w:trPr>
          <w:gridAfter w:val="1"/>
          <w:wAfter w:w="84" w:type="dxa"/>
          <w:cantSplit/>
          <w:trHeight w:val="1345"/>
        </w:trPr>
        <w:tc>
          <w:tcPr>
            <w:tcW w:w="2546" w:type="dxa"/>
            <w:vMerge/>
            <w:vAlign w:val="center"/>
          </w:tcPr>
          <w:p w:rsidR="00E54076" w:rsidRPr="00A10F8C" w:rsidRDefault="00E54076" w:rsidP="00A10F8C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vAlign w:val="center"/>
          </w:tcPr>
          <w:p w:rsidR="00E54076" w:rsidRPr="00A10F8C" w:rsidRDefault="00E54076" w:rsidP="00A10F8C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vAlign w:val="center"/>
          </w:tcPr>
          <w:p w:rsidR="00E54076" w:rsidRPr="00A10F8C" w:rsidRDefault="00E54076" w:rsidP="00373A8A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centralne ogrzewanie i</w:t>
            </w:r>
            <w:r w:rsidR="00373A8A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ciepła woda</w:t>
            </w:r>
          </w:p>
        </w:tc>
        <w:tc>
          <w:tcPr>
            <w:tcW w:w="1190" w:type="dxa"/>
            <w:vAlign w:val="center"/>
          </w:tcPr>
          <w:p w:rsidR="00E54076" w:rsidRPr="00A10F8C" w:rsidRDefault="00E54076" w:rsidP="00A10F8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zimna woda i</w:t>
            </w:r>
            <w:r w:rsidR="00A10F8C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odprowa</w:t>
            </w:r>
            <w:r w:rsidR="00A10F8C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dzanie ścieków lub odbiór nieczystości ciekłych</w:t>
            </w:r>
          </w:p>
        </w:tc>
        <w:tc>
          <w:tcPr>
            <w:tcW w:w="1133" w:type="dxa"/>
            <w:vAlign w:val="center"/>
          </w:tcPr>
          <w:p w:rsidR="00E54076" w:rsidRPr="00A10F8C" w:rsidRDefault="00E54076" w:rsidP="00A10F8C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odbieranie odpadów komunalnych</w:t>
            </w:r>
          </w:p>
        </w:tc>
        <w:tc>
          <w:tcPr>
            <w:tcW w:w="907" w:type="dxa"/>
            <w:vAlign w:val="center"/>
          </w:tcPr>
          <w:p w:rsidR="00E54076" w:rsidRPr="00A10F8C" w:rsidRDefault="00E54076" w:rsidP="00A10F8C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utrzymanie wind</w:t>
            </w:r>
          </w:p>
        </w:tc>
      </w:tr>
      <w:tr w:rsidR="00E54076" w:rsidRPr="00E54076" w:rsidTr="004C6810">
        <w:trPr>
          <w:cantSplit/>
          <w:trHeight w:val="115"/>
        </w:trPr>
        <w:tc>
          <w:tcPr>
            <w:tcW w:w="2546" w:type="dxa"/>
            <w:vMerge/>
            <w:vAlign w:val="center"/>
          </w:tcPr>
          <w:p w:rsidR="00E54076" w:rsidRPr="00A10F8C" w:rsidRDefault="00E54076" w:rsidP="00A10F8C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E54076" w:rsidRPr="00A10F8C" w:rsidRDefault="00E54076" w:rsidP="00373A8A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 xml:space="preserve">w mln </w:t>
            </w:r>
            <w:r w:rsidR="00373A8A">
              <w:rPr>
                <w:rFonts w:eastAsia="Times New Roman" w:cs="Calibri"/>
                <w:sz w:val="16"/>
                <w:szCs w:val="16"/>
                <w:lang w:eastAsia="pl-PL"/>
              </w:rPr>
              <w:t>PLN</w:t>
            </w:r>
          </w:p>
        </w:tc>
      </w:tr>
      <w:tr w:rsidR="006B7D12" w:rsidRPr="00967E95" w:rsidTr="00373A8A">
        <w:trPr>
          <w:gridAfter w:val="1"/>
          <w:wAfter w:w="84" w:type="dxa"/>
          <w:cantSplit/>
          <w:trHeight w:val="387"/>
        </w:trPr>
        <w:tc>
          <w:tcPr>
            <w:tcW w:w="2546" w:type="dxa"/>
            <w:tcBorders>
              <w:top w:val="single" w:sz="12" w:space="0" w:color="001D77"/>
              <w:bottom w:val="nil"/>
            </w:tcBorders>
            <w:vAlign w:val="bottom"/>
          </w:tcPr>
          <w:p w:rsidR="00E54076" w:rsidRPr="00A10F8C" w:rsidRDefault="00E54076" w:rsidP="00373A8A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9" w:type="dxa"/>
            <w:tcBorders>
              <w:top w:val="single" w:sz="12" w:space="0" w:color="001D77"/>
              <w:bottom w:val="nil"/>
            </w:tcBorders>
            <w:vAlign w:val="bottom"/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17 758,8</w:t>
            </w:r>
          </w:p>
        </w:tc>
        <w:tc>
          <w:tcPr>
            <w:tcW w:w="1076" w:type="dxa"/>
            <w:tcBorders>
              <w:top w:val="single" w:sz="12" w:space="0" w:color="001D77"/>
              <w:bottom w:val="nil"/>
            </w:tcBorders>
            <w:vAlign w:val="bottom"/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10 466,</w:t>
            </w:r>
            <w:r w:rsidR="006D31F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0" w:type="dxa"/>
            <w:tcBorders>
              <w:top w:val="single" w:sz="12" w:space="0" w:color="001D77"/>
              <w:bottom w:val="nil"/>
            </w:tcBorders>
            <w:vAlign w:val="bottom"/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5 227,7</w:t>
            </w:r>
          </w:p>
        </w:tc>
        <w:tc>
          <w:tcPr>
            <w:tcW w:w="1133" w:type="dxa"/>
            <w:tcBorders>
              <w:top w:val="single" w:sz="12" w:space="0" w:color="001D77"/>
              <w:bottom w:val="nil"/>
            </w:tcBorders>
            <w:vAlign w:val="bottom"/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1 895,8</w:t>
            </w:r>
          </w:p>
        </w:tc>
        <w:tc>
          <w:tcPr>
            <w:tcW w:w="907" w:type="dxa"/>
            <w:tcBorders>
              <w:top w:val="single" w:sz="12" w:space="0" w:color="001D77"/>
              <w:bottom w:val="nil"/>
            </w:tcBorders>
            <w:vAlign w:val="bottom"/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168,8</w:t>
            </w:r>
            <w:r w:rsidR="00373A8A">
              <w:rPr>
                <w:rFonts w:eastAsia="Times New Roman" w:cs="Calibri"/>
                <w:b/>
                <w:sz w:val="16"/>
                <w:szCs w:val="16"/>
                <w:lang w:eastAsia="pl-PL"/>
              </w:rPr>
              <w:t>0</w:t>
            </w:r>
          </w:p>
        </w:tc>
      </w:tr>
      <w:tr w:rsidR="006B7D12" w:rsidRPr="00E54076" w:rsidTr="00373A8A">
        <w:trPr>
          <w:gridAfter w:val="1"/>
          <w:wAfter w:w="84" w:type="dxa"/>
          <w:cantSplit/>
          <w:trHeight w:val="227"/>
        </w:trPr>
        <w:tc>
          <w:tcPr>
            <w:tcW w:w="2546" w:type="dxa"/>
            <w:tcBorders>
              <w:top w:val="nil"/>
            </w:tcBorders>
            <w:vAlign w:val="bottom"/>
          </w:tcPr>
          <w:p w:rsidR="00E54076" w:rsidRPr="00A10F8C" w:rsidRDefault="00E54076" w:rsidP="00373A8A">
            <w:pPr>
              <w:spacing w:before="80" w:after="80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z tego:</w:t>
            </w:r>
          </w:p>
        </w:tc>
        <w:tc>
          <w:tcPr>
            <w:tcW w:w="1139" w:type="dxa"/>
            <w:tcBorders>
              <w:top w:val="nil"/>
            </w:tcBorders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6B7D12" w:rsidRPr="00E54076" w:rsidTr="00373A8A">
        <w:trPr>
          <w:gridAfter w:val="1"/>
          <w:wAfter w:w="84" w:type="dxa"/>
          <w:cantSplit/>
          <w:trHeight w:val="328"/>
        </w:trPr>
        <w:tc>
          <w:tcPr>
            <w:tcW w:w="2546" w:type="dxa"/>
            <w:vAlign w:val="bottom"/>
          </w:tcPr>
          <w:p w:rsidR="00E54076" w:rsidRPr="00A10F8C" w:rsidRDefault="00570D80" w:rsidP="00373A8A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gminy</w:t>
            </w:r>
          </w:p>
        </w:tc>
        <w:tc>
          <w:tcPr>
            <w:tcW w:w="1139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675,6</w:t>
            </w:r>
          </w:p>
        </w:tc>
        <w:tc>
          <w:tcPr>
            <w:tcW w:w="1076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265,3</w:t>
            </w:r>
          </w:p>
        </w:tc>
        <w:tc>
          <w:tcPr>
            <w:tcW w:w="1190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283,5</w:t>
            </w:r>
          </w:p>
        </w:tc>
        <w:tc>
          <w:tcPr>
            <w:tcW w:w="1133" w:type="dxa"/>
            <w:vAlign w:val="bottom"/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123</w:t>
            </w:r>
            <w:r w:rsidR="00A10F8C" w:rsidRPr="00A10F8C">
              <w:rPr>
                <w:rFonts w:eastAsia="Times New Roman" w:cs="Calibri"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907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3,1</w:t>
            </w:r>
            <w:r w:rsidR="00373A8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="006B7D12" w:rsidRPr="00E54076" w:rsidTr="00373A8A">
        <w:trPr>
          <w:gridAfter w:val="1"/>
          <w:wAfter w:w="84" w:type="dxa"/>
          <w:cantSplit/>
          <w:trHeight w:val="280"/>
        </w:trPr>
        <w:tc>
          <w:tcPr>
            <w:tcW w:w="2546" w:type="dxa"/>
            <w:vAlign w:val="bottom"/>
          </w:tcPr>
          <w:p w:rsidR="00E54076" w:rsidRPr="00A10F8C" w:rsidRDefault="00885136" w:rsidP="00373A8A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r w:rsidR="00E54076" w:rsidRPr="00A10F8C">
              <w:rPr>
                <w:rFonts w:eastAsia="Times New Roman" w:cs="Calibri"/>
                <w:sz w:val="16"/>
                <w:szCs w:val="16"/>
                <w:lang w:eastAsia="pl-PL"/>
              </w:rPr>
              <w:t>półdzielnie mieszkaniowe</w:t>
            </w:r>
          </w:p>
        </w:tc>
        <w:tc>
          <w:tcPr>
            <w:tcW w:w="1139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9 413,3</w:t>
            </w:r>
          </w:p>
        </w:tc>
        <w:tc>
          <w:tcPr>
            <w:tcW w:w="1076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5 799,5</w:t>
            </w:r>
          </w:p>
        </w:tc>
        <w:tc>
          <w:tcPr>
            <w:tcW w:w="1190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2 541,3</w:t>
            </w:r>
          </w:p>
        </w:tc>
        <w:tc>
          <w:tcPr>
            <w:tcW w:w="1133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908,6</w:t>
            </w:r>
          </w:p>
        </w:tc>
        <w:tc>
          <w:tcPr>
            <w:tcW w:w="907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164,0</w:t>
            </w:r>
            <w:r w:rsidR="00373A8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="006B7D12" w:rsidRPr="00E54076" w:rsidTr="00373A8A">
        <w:trPr>
          <w:gridAfter w:val="1"/>
          <w:wAfter w:w="84" w:type="dxa"/>
          <w:cantSplit/>
          <w:trHeight w:val="257"/>
        </w:trPr>
        <w:tc>
          <w:tcPr>
            <w:tcW w:w="2546" w:type="dxa"/>
            <w:vAlign w:val="bottom"/>
          </w:tcPr>
          <w:p w:rsidR="00E54076" w:rsidRPr="00A10F8C" w:rsidRDefault="00E54076" w:rsidP="00373A8A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Skarb Państwa</w:t>
            </w:r>
          </w:p>
        </w:tc>
        <w:tc>
          <w:tcPr>
            <w:tcW w:w="1139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="006D31FD">
              <w:rPr>
                <w:rFonts w:eastAsia="Times New Roman" w:cs="Calibri"/>
                <w:sz w:val="16"/>
                <w:szCs w:val="16"/>
                <w:lang w:eastAsia="pl-PL"/>
              </w:rPr>
              <w:t>2,9</w:t>
            </w:r>
          </w:p>
        </w:tc>
        <w:tc>
          <w:tcPr>
            <w:tcW w:w="1076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20,5</w:t>
            </w:r>
          </w:p>
        </w:tc>
        <w:tc>
          <w:tcPr>
            <w:tcW w:w="1190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1133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907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0,06</w:t>
            </w:r>
          </w:p>
        </w:tc>
      </w:tr>
      <w:tr w:rsidR="006B7D12" w:rsidRPr="00E54076" w:rsidTr="00373A8A">
        <w:trPr>
          <w:gridAfter w:val="1"/>
          <w:wAfter w:w="84" w:type="dxa"/>
          <w:cantSplit/>
          <w:trHeight w:val="274"/>
        </w:trPr>
        <w:tc>
          <w:tcPr>
            <w:tcW w:w="2546" w:type="dxa"/>
            <w:vAlign w:val="bottom"/>
          </w:tcPr>
          <w:p w:rsidR="00E54076" w:rsidRPr="00A10F8C" w:rsidRDefault="00885136" w:rsidP="00373A8A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z</w:t>
            </w:r>
            <w:r w:rsidR="00E54076" w:rsidRPr="00A10F8C">
              <w:rPr>
                <w:rFonts w:eastAsia="Times New Roman" w:cs="Calibri"/>
                <w:sz w:val="16"/>
                <w:szCs w:val="16"/>
                <w:lang w:eastAsia="pl-PL"/>
              </w:rPr>
              <w:t>akłady pracy</w:t>
            </w:r>
          </w:p>
        </w:tc>
        <w:tc>
          <w:tcPr>
            <w:tcW w:w="1139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43,0</w:t>
            </w:r>
          </w:p>
        </w:tc>
        <w:tc>
          <w:tcPr>
            <w:tcW w:w="1076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21,4</w:t>
            </w:r>
          </w:p>
        </w:tc>
        <w:tc>
          <w:tcPr>
            <w:tcW w:w="1190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13,1</w:t>
            </w:r>
          </w:p>
        </w:tc>
        <w:tc>
          <w:tcPr>
            <w:tcW w:w="1133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8,2</w:t>
            </w:r>
          </w:p>
        </w:tc>
        <w:tc>
          <w:tcPr>
            <w:tcW w:w="907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0,2</w:t>
            </w:r>
            <w:r w:rsidR="00373A8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="006B7D12" w:rsidRPr="00E54076" w:rsidTr="00373A8A">
        <w:trPr>
          <w:gridAfter w:val="1"/>
          <w:wAfter w:w="84" w:type="dxa"/>
          <w:cantSplit/>
          <w:trHeight w:val="334"/>
        </w:trPr>
        <w:tc>
          <w:tcPr>
            <w:tcW w:w="2546" w:type="dxa"/>
            <w:vAlign w:val="bottom"/>
          </w:tcPr>
          <w:p w:rsidR="00E54076" w:rsidRPr="00A10F8C" w:rsidRDefault="00885136" w:rsidP="00373A8A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E54076" w:rsidRPr="00A10F8C">
              <w:rPr>
                <w:rFonts w:eastAsia="Times New Roman" w:cs="Calibri"/>
                <w:sz w:val="16"/>
                <w:szCs w:val="16"/>
                <w:lang w:eastAsia="pl-PL"/>
              </w:rPr>
              <w:t>spólnoty mieszkaniowe</w:t>
            </w:r>
          </w:p>
        </w:tc>
        <w:tc>
          <w:tcPr>
            <w:tcW w:w="1139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7 387,</w:t>
            </w:r>
            <w:r w:rsidR="006D31FD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76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4 253,8</w:t>
            </w:r>
          </w:p>
        </w:tc>
        <w:tc>
          <w:tcPr>
            <w:tcW w:w="1190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2 311,8</w:t>
            </w:r>
          </w:p>
        </w:tc>
        <w:tc>
          <w:tcPr>
            <w:tcW w:w="1133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821,8</w:t>
            </w:r>
          </w:p>
        </w:tc>
        <w:tc>
          <w:tcPr>
            <w:tcW w:w="907" w:type="dxa"/>
            <w:vAlign w:val="bottom"/>
          </w:tcPr>
          <w:p w:rsidR="00E54076" w:rsidRPr="00A10F8C" w:rsidRDefault="00E54076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 xml:space="preserve">- </w:t>
            </w:r>
          </w:p>
        </w:tc>
      </w:tr>
      <w:tr w:rsidR="006B7D12" w:rsidRPr="00E54076" w:rsidTr="00373A8A">
        <w:trPr>
          <w:gridAfter w:val="1"/>
          <w:wAfter w:w="84" w:type="dxa"/>
          <w:cantSplit/>
          <w:trHeight w:val="368"/>
        </w:trPr>
        <w:tc>
          <w:tcPr>
            <w:tcW w:w="2546" w:type="dxa"/>
            <w:vAlign w:val="bottom"/>
          </w:tcPr>
          <w:p w:rsidR="00E54076" w:rsidRPr="00A10F8C" w:rsidRDefault="00885136" w:rsidP="00885136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</w:t>
            </w:r>
            <w:r w:rsidR="00E54076" w:rsidRPr="00A10F8C">
              <w:rPr>
                <w:rFonts w:eastAsia="Times New Roman" w:cs="Calibri"/>
                <w:sz w:val="16"/>
                <w:szCs w:val="16"/>
                <w:lang w:eastAsia="pl-PL"/>
              </w:rPr>
              <w:t xml:space="preserve">owarzystwa budownictwa społecznego </w:t>
            </w:r>
          </w:p>
        </w:tc>
        <w:tc>
          <w:tcPr>
            <w:tcW w:w="1139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202,7</w:t>
            </w:r>
          </w:p>
        </w:tc>
        <w:tc>
          <w:tcPr>
            <w:tcW w:w="1076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190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68,8</w:t>
            </w:r>
          </w:p>
        </w:tc>
        <w:tc>
          <w:tcPr>
            <w:tcW w:w="1133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28,6</w:t>
            </w:r>
          </w:p>
        </w:tc>
        <w:tc>
          <w:tcPr>
            <w:tcW w:w="907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1,4</w:t>
            </w:r>
            <w:r w:rsidR="00373A8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="006B7D12" w:rsidRPr="00E54076" w:rsidTr="00373A8A">
        <w:trPr>
          <w:gridAfter w:val="1"/>
          <w:wAfter w:w="84" w:type="dxa"/>
          <w:cantSplit/>
          <w:trHeight w:val="261"/>
        </w:trPr>
        <w:tc>
          <w:tcPr>
            <w:tcW w:w="2546" w:type="dxa"/>
            <w:vAlign w:val="bottom"/>
          </w:tcPr>
          <w:p w:rsidR="00E54076" w:rsidRPr="00A10F8C" w:rsidRDefault="00885136" w:rsidP="00373A8A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E54076" w:rsidRPr="00A10F8C">
              <w:rPr>
                <w:rFonts w:eastAsia="Times New Roman" w:cs="Calibri"/>
                <w:sz w:val="16"/>
                <w:szCs w:val="16"/>
                <w:lang w:eastAsia="pl-PL"/>
              </w:rPr>
              <w:t>nne podmioty</w:t>
            </w:r>
          </w:p>
        </w:tc>
        <w:tc>
          <w:tcPr>
            <w:tcW w:w="1139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3,8</w:t>
            </w:r>
          </w:p>
        </w:tc>
        <w:tc>
          <w:tcPr>
            <w:tcW w:w="1076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1190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1133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907" w:type="dxa"/>
            <w:vAlign w:val="bottom"/>
          </w:tcPr>
          <w:p w:rsidR="00E54076" w:rsidRPr="00A10F8C" w:rsidRDefault="00A10F8C" w:rsidP="00DD16F5">
            <w:pPr>
              <w:spacing w:before="0" w:after="0"/>
              <w:ind w:right="113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F8C">
              <w:rPr>
                <w:rFonts w:eastAsia="Times New Roman" w:cs="Calibri"/>
                <w:sz w:val="16"/>
                <w:szCs w:val="16"/>
                <w:lang w:eastAsia="pl-PL"/>
              </w:rPr>
              <w:t>0,03</w:t>
            </w:r>
          </w:p>
        </w:tc>
      </w:tr>
    </w:tbl>
    <w:p w:rsidR="00E54076" w:rsidRDefault="00E54076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093FCD" w:rsidRDefault="00093FCD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E54076" w:rsidRPr="00E54076" w:rsidRDefault="00EA6C89" w:rsidP="00E54076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 w:val="32"/>
          <w:szCs w:val="3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09B3B772" wp14:editId="4E914D2E">
                <wp:simplePos x="0" y="0"/>
                <wp:positionH relativeFrom="rightMargin">
                  <wp:posOffset>9779</wp:posOffset>
                </wp:positionH>
                <wp:positionV relativeFrom="paragraph">
                  <wp:posOffset>-139319</wp:posOffset>
                </wp:positionV>
                <wp:extent cx="1666875" cy="998855"/>
                <wp:effectExtent l="0" t="0" r="0" b="0"/>
                <wp:wrapTight wrapText="bothSides">
                  <wp:wrapPolygon edited="0">
                    <wp:start x="741" y="0"/>
                    <wp:lineTo x="741" y="21010"/>
                    <wp:lineTo x="20736" y="21010"/>
                    <wp:lineTo x="20736" y="0"/>
                    <wp:lineTo x="741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998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074DD8" w:rsidRDefault="002463D2" w:rsidP="00EA6C89">
                            <w:pPr>
                              <w:pStyle w:val="tekstzboku"/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grudniu </w:t>
                            </w:r>
                            <w:r w:rsidRPr="003B70F7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2018 r.</w:t>
                            </w:r>
                            <w:r w:rsidRPr="005160F9"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odnotowano wzrost średniej stawki opłaty eksploatacyjnej za mieszkanie o 5,4%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B772" id="_x0000_s1040" type="#_x0000_t202" style="position:absolute;margin-left:.75pt;margin-top:-10.95pt;width:131.25pt;height:78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QVEwIAAAAEAAAOAAAAZHJzL2Uyb0RvYy54bWysU8GO2yAQvVfqPyDujR0rziZWnNV2t1tV&#10;2rYrbfsBGOMYLTAUSOz06zvgJI3aW1UfEHiYN/PePDa3o1bkIJyXYGo6n+WUCMOhlWZX0+/fHt+t&#10;KPGBmZYpMKKmR+Hp7fbtm81gK1FAD6oVjiCI8dVga9qHYKss87wXmvkZWGEw2IHTLODR7bLWsQHR&#10;tcqKPF9mA7jWOuDCe/z7MAXpNuF3neDha9d5EYiqKfYW0urS2sQ1225YtXPM9pKf2mD/0IVm0mDR&#10;C9QDC4zsnfwLSkvuwEMXZhx0Bl0nuUgckM08/4PNS8+sSFxQHG8vMvn/B8u/HJ4dkW1NizUlhmmc&#10;0TMoQYJ49QEGQYqo0WB9hVdfLF4O43sYcdaJr7dPwF89MXDfM7MTd87B0AvWYo/zmJldpU44PoI0&#10;w2dosRbbB0hAY+d0FBAlIYiOszpe5iPGQHgsuVwuVzclJRxj6/VqVZapBKvO2db58FGAJnFTU4fz&#10;T+js8ORD7IZV5yuxmIFHqVTygDJkQNCyKFPCVUTLgBZVUtd0lcdvMk0k+cG0KTkwqaY9FlDmxDoS&#10;nSiHsRmTyPPFWc0G2iPq4GCyJD4h3PTgflIyoB1r6n/smROUqE8GtVzPF4vo33RYlDcFHtx1pLmO&#10;MMMRqqaBkml7H5LnJ853qHknkxxxOFMnp57RZkml05OIPr4+p1u/H+72FwAAAP//AwBQSwMEFAAG&#10;AAgAAAAhAAsirbncAAAACQEAAA8AAABkcnMvZG93bnJldi54bWxMj81OwzAQhO9IvIO1SNxauyGp&#10;aIhTVUVcQbQFiZsbb5OIeB3FbhPenuVEj6NvND/FenKduOAQWk8aFnMFAqnytqVaw2H/MnsEEaIh&#10;azpPqOEHA6zL25vC5NaP9I6XXawFh1DIjYYmxj6XMlQNOhPmvkdidvKDM5HlUEs7mJHDXScTpZbS&#10;mZa4oTE9bhusvndnp+Hj9fT1maq3+tll/egnJcmtpNb3d9PmCUTEKf6b4W8+T4eSNx39mWwQHeuM&#10;jRpmyWIFgnmyTPnbkcFDloIsC3n9oPwFAAD//wMAUEsBAi0AFAAGAAgAAAAhALaDOJL+AAAA4QEA&#10;ABMAAAAAAAAAAAAAAAAAAAAAAFtDb250ZW50X1R5cGVzXS54bWxQSwECLQAUAAYACAAAACEAOP0h&#10;/9YAAACUAQAACwAAAAAAAAAAAAAAAAAvAQAAX3JlbHMvLnJlbHNQSwECLQAUAAYACAAAACEAx6rk&#10;FRMCAAAABAAADgAAAAAAAAAAAAAAAAAuAgAAZHJzL2Uyb0RvYy54bWxQSwECLQAUAAYACAAAACEA&#10;CyKtudwAAAAJAQAADwAAAAAAAAAAAAAAAABtBAAAZHJzL2Rvd25yZXYueG1sUEsFBgAAAAAEAAQA&#10;8wAAAHYFAAAAAA==&#10;" filled="f" stroked="f">
                <v:textbox>
                  <w:txbxContent>
                    <w:p w:rsidR="002463D2" w:rsidRPr="00074DD8" w:rsidRDefault="002463D2" w:rsidP="00EA6C89">
                      <w:pPr>
                        <w:pStyle w:val="tekstzboku"/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grudniu </w:t>
                      </w:r>
                      <w:r w:rsidRPr="003B70F7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2018 r.</w:t>
                      </w:r>
                      <w:r w:rsidRPr="005160F9"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odnotowano wzrost średniej stawki opłaty eksploatacyjnej za mieszkanie o 5,4%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W grudniu 2018 r. odnotowano wzrost średniej stawki </w:t>
      </w:r>
      <w:r w:rsidR="006D31FD">
        <w:rPr>
          <w:rFonts w:eastAsia="Times New Roman" w:cs="Times New Roman"/>
          <w:bCs/>
          <w:szCs w:val="19"/>
          <w:lang w:eastAsia="pl-PL"/>
        </w:rPr>
        <w:t>opłaty eksploatacyjnej za mieszkanie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 (o</w:t>
      </w:r>
      <w:r w:rsidR="006D31FD">
        <w:rPr>
          <w:rFonts w:eastAsia="Times New Roman" w:cs="Times New Roman"/>
          <w:bCs/>
          <w:szCs w:val="19"/>
          <w:lang w:eastAsia="pl-PL"/>
        </w:rPr>
        <w:t> </w:t>
      </w:r>
      <w:r w:rsidR="005160F9">
        <w:rPr>
          <w:rFonts w:eastAsia="Times New Roman" w:cs="Times New Roman"/>
          <w:bCs/>
          <w:szCs w:val="19"/>
          <w:lang w:eastAsia="pl-PL"/>
        </w:rPr>
        <w:t>5,4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>%) w przeliczeniu na 1 m</w:t>
      </w:r>
      <w:r w:rsidR="00E54076" w:rsidRPr="00C51540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E54076" w:rsidRPr="00E54076">
        <w:rPr>
          <w:rFonts w:eastAsia="Times New Roman" w:cs="Times New Roman"/>
          <w:bCs/>
          <w:szCs w:val="19"/>
          <w:lang w:eastAsia="pl-PL"/>
        </w:rPr>
        <w:t xml:space="preserve"> powierzchni użytkowej w stosunku do grudnia 2016 r. </w:t>
      </w:r>
    </w:p>
    <w:p w:rsidR="00E54076" w:rsidRPr="00E54076" w:rsidRDefault="00E54076" w:rsidP="00E54076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E54076">
        <w:rPr>
          <w:rFonts w:eastAsia="Times New Roman" w:cs="Times New Roman"/>
          <w:bCs/>
          <w:szCs w:val="19"/>
          <w:lang w:eastAsia="pl-PL"/>
        </w:rPr>
        <w:t>Stawka ta wzrosła w budynkach z lokalami mieszkalnymi stanowiącymi własność:</w:t>
      </w:r>
    </w:p>
    <w:p w:rsidR="00E54076" w:rsidRPr="00373A8A" w:rsidRDefault="00373A8A" w:rsidP="00373A8A">
      <w:pPr>
        <w:pStyle w:val="Akapitzlist"/>
        <w:numPr>
          <w:ilvl w:val="0"/>
          <w:numId w:val="9"/>
        </w:numPr>
        <w:spacing w:before="0" w:after="0"/>
        <w:ind w:left="142" w:hanging="153"/>
        <w:rPr>
          <w:rFonts w:eastAsia="Times New Roman" w:cs="Times New Roman"/>
          <w:bCs/>
          <w:szCs w:val="19"/>
          <w:lang w:eastAsia="pl-PL"/>
        </w:rPr>
      </w:pPr>
      <w:r w:rsidRPr="00373A8A">
        <w:rPr>
          <w:rFonts w:eastAsia="Times New Roman" w:cs="Times New Roman"/>
          <w:bCs/>
          <w:szCs w:val="19"/>
          <w:lang w:eastAsia="pl-PL"/>
        </w:rPr>
        <w:t>i</w:t>
      </w:r>
      <w:r w:rsidR="00E54076" w:rsidRPr="00373A8A">
        <w:rPr>
          <w:rFonts w:eastAsia="Times New Roman" w:cs="Times New Roman"/>
          <w:bCs/>
          <w:szCs w:val="19"/>
          <w:lang w:eastAsia="pl-PL"/>
        </w:rPr>
        <w:t xml:space="preserve">nnych podmiotów </w:t>
      </w:r>
      <w:r>
        <w:rPr>
          <w:rFonts w:eastAsia="Times New Roman" w:cs="Times New Roman"/>
          <w:bCs/>
          <w:szCs w:val="19"/>
          <w:lang w:eastAsia="pl-PL"/>
        </w:rPr>
        <w:t>–</w:t>
      </w:r>
      <w:r w:rsidR="00E54076" w:rsidRPr="00373A8A">
        <w:rPr>
          <w:rFonts w:eastAsia="Times New Roman" w:cs="Times New Roman"/>
          <w:bCs/>
          <w:szCs w:val="19"/>
          <w:lang w:eastAsia="pl-PL"/>
        </w:rPr>
        <w:t xml:space="preserve"> o 3,44 </w:t>
      </w:r>
      <w:r>
        <w:rPr>
          <w:rFonts w:eastAsia="Times New Roman" w:cs="Times New Roman"/>
          <w:bCs/>
          <w:szCs w:val="19"/>
          <w:lang w:eastAsia="pl-PL"/>
        </w:rPr>
        <w:t>PLN</w:t>
      </w:r>
      <w:r w:rsidR="00E54076" w:rsidRPr="00373A8A">
        <w:rPr>
          <w:rFonts w:eastAsia="Times New Roman" w:cs="Times New Roman"/>
          <w:bCs/>
          <w:szCs w:val="19"/>
          <w:lang w:eastAsia="pl-PL"/>
        </w:rPr>
        <w:t xml:space="preserve"> (o 72,3%),</w:t>
      </w:r>
    </w:p>
    <w:p w:rsidR="00E54076" w:rsidRPr="00373A8A" w:rsidRDefault="00E54076" w:rsidP="00373A8A">
      <w:pPr>
        <w:pStyle w:val="Akapitzlist"/>
        <w:numPr>
          <w:ilvl w:val="0"/>
          <w:numId w:val="9"/>
        </w:numPr>
        <w:spacing w:before="0" w:after="0"/>
        <w:ind w:left="142" w:hanging="153"/>
        <w:rPr>
          <w:rFonts w:eastAsia="Times New Roman" w:cs="Times New Roman"/>
          <w:bCs/>
          <w:szCs w:val="19"/>
          <w:lang w:eastAsia="pl-PL"/>
        </w:rPr>
      </w:pPr>
      <w:r w:rsidRPr="00373A8A">
        <w:rPr>
          <w:rFonts w:eastAsia="Times New Roman" w:cs="Times New Roman"/>
          <w:bCs/>
          <w:szCs w:val="19"/>
          <w:lang w:eastAsia="pl-PL"/>
        </w:rPr>
        <w:t xml:space="preserve">Skarbu Państwa </w:t>
      </w:r>
      <w:r w:rsidR="00373A8A">
        <w:rPr>
          <w:rFonts w:eastAsia="Times New Roman" w:cs="Times New Roman"/>
          <w:bCs/>
          <w:szCs w:val="19"/>
          <w:lang w:eastAsia="pl-PL"/>
        </w:rPr>
        <w:t>–</w:t>
      </w:r>
      <w:r w:rsidRPr="00373A8A">
        <w:rPr>
          <w:rFonts w:eastAsia="Times New Roman" w:cs="Times New Roman"/>
          <w:bCs/>
          <w:szCs w:val="19"/>
          <w:lang w:eastAsia="pl-PL"/>
        </w:rPr>
        <w:t xml:space="preserve"> o 2,77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373A8A">
        <w:rPr>
          <w:rFonts w:eastAsia="Times New Roman" w:cs="Times New Roman"/>
          <w:bCs/>
          <w:szCs w:val="19"/>
          <w:lang w:eastAsia="pl-PL"/>
        </w:rPr>
        <w:t xml:space="preserve"> (o 59,8%),</w:t>
      </w:r>
    </w:p>
    <w:p w:rsidR="00E54076" w:rsidRPr="00373A8A" w:rsidRDefault="00E54076" w:rsidP="00373A8A">
      <w:pPr>
        <w:pStyle w:val="Akapitzlist"/>
        <w:numPr>
          <w:ilvl w:val="0"/>
          <w:numId w:val="9"/>
        </w:numPr>
        <w:spacing w:before="0" w:after="0"/>
        <w:ind w:left="142" w:hanging="153"/>
        <w:rPr>
          <w:rFonts w:eastAsia="Times New Roman" w:cs="Times New Roman"/>
          <w:bCs/>
          <w:szCs w:val="19"/>
          <w:lang w:eastAsia="pl-PL"/>
        </w:rPr>
      </w:pPr>
      <w:r w:rsidRPr="00373A8A">
        <w:rPr>
          <w:rFonts w:eastAsia="Times New Roman" w:cs="Times New Roman"/>
          <w:bCs/>
          <w:szCs w:val="19"/>
          <w:lang w:eastAsia="pl-PL"/>
        </w:rPr>
        <w:t xml:space="preserve">wspólnot mieszkaniowych – o 0,52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373A8A">
        <w:rPr>
          <w:rFonts w:eastAsia="Times New Roman" w:cs="Times New Roman"/>
          <w:bCs/>
          <w:szCs w:val="19"/>
          <w:lang w:eastAsia="pl-PL"/>
        </w:rPr>
        <w:t xml:space="preserve"> (o 21,8</w:t>
      </w:r>
      <w:r w:rsidR="00373A8A">
        <w:rPr>
          <w:rFonts w:eastAsia="Times New Roman" w:cs="Times New Roman"/>
          <w:bCs/>
          <w:szCs w:val="19"/>
          <w:lang w:eastAsia="pl-PL"/>
        </w:rPr>
        <w:t>%</w:t>
      </w:r>
      <w:r w:rsidRPr="00373A8A">
        <w:rPr>
          <w:rFonts w:eastAsia="Times New Roman" w:cs="Times New Roman"/>
          <w:bCs/>
          <w:szCs w:val="19"/>
          <w:lang w:eastAsia="pl-PL"/>
        </w:rPr>
        <w:t>),</w:t>
      </w:r>
    </w:p>
    <w:p w:rsidR="00E54076" w:rsidRPr="00373A8A" w:rsidRDefault="00E54076" w:rsidP="00373A8A">
      <w:pPr>
        <w:pStyle w:val="Akapitzlist"/>
        <w:numPr>
          <w:ilvl w:val="0"/>
          <w:numId w:val="9"/>
        </w:numPr>
        <w:spacing w:before="0" w:after="0"/>
        <w:ind w:left="142" w:hanging="153"/>
        <w:rPr>
          <w:rFonts w:eastAsia="Times New Roman" w:cs="Times New Roman"/>
          <w:bCs/>
          <w:szCs w:val="19"/>
          <w:lang w:eastAsia="pl-PL"/>
        </w:rPr>
      </w:pPr>
      <w:r w:rsidRPr="00373A8A">
        <w:rPr>
          <w:rFonts w:eastAsia="Times New Roman" w:cs="Times New Roman"/>
          <w:bCs/>
          <w:szCs w:val="19"/>
          <w:lang w:eastAsia="pl-PL"/>
        </w:rPr>
        <w:t xml:space="preserve">zakładów pracy – o 1,04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373A8A">
        <w:rPr>
          <w:rFonts w:eastAsia="Times New Roman" w:cs="Times New Roman"/>
          <w:bCs/>
          <w:szCs w:val="19"/>
          <w:lang w:eastAsia="pl-PL"/>
        </w:rPr>
        <w:t xml:space="preserve"> (o 21,4%),</w:t>
      </w:r>
    </w:p>
    <w:p w:rsidR="00E54076" w:rsidRPr="00373A8A" w:rsidRDefault="00E54076" w:rsidP="00373A8A">
      <w:pPr>
        <w:pStyle w:val="Akapitzlist"/>
        <w:numPr>
          <w:ilvl w:val="0"/>
          <w:numId w:val="9"/>
        </w:numPr>
        <w:spacing w:before="0" w:after="0"/>
        <w:ind w:left="142" w:hanging="153"/>
        <w:rPr>
          <w:rFonts w:eastAsia="Times New Roman" w:cs="Times New Roman"/>
          <w:bCs/>
          <w:szCs w:val="19"/>
          <w:lang w:eastAsia="pl-PL"/>
        </w:rPr>
      </w:pPr>
      <w:r w:rsidRPr="00373A8A">
        <w:rPr>
          <w:rFonts w:eastAsia="Times New Roman" w:cs="Times New Roman"/>
          <w:bCs/>
          <w:szCs w:val="19"/>
          <w:lang w:eastAsia="pl-PL"/>
        </w:rPr>
        <w:t xml:space="preserve">spółdzielni mieszkaniowych – o 0,45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373A8A">
        <w:rPr>
          <w:rFonts w:eastAsia="Times New Roman" w:cs="Times New Roman"/>
          <w:bCs/>
          <w:szCs w:val="19"/>
          <w:lang w:eastAsia="pl-PL"/>
        </w:rPr>
        <w:t xml:space="preserve"> (o 15,3%)</w:t>
      </w:r>
      <w:r w:rsidR="00373A8A">
        <w:rPr>
          <w:rFonts w:eastAsia="Times New Roman" w:cs="Times New Roman"/>
          <w:bCs/>
          <w:szCs w:val="19"/>
          <w:lang w:eastAsia="pl-PL"/>
        </w:rPr>
        <w:t>,</w:t>
      </w:r>
    </w:p>
    <w:p w:rsidR="00E54076" w:rsidRPr="00373A8A" w:rsidRDefault="00E54076" w:rsidP="00373A8A">
      <w:pPr>
        <w:pStyle w:val="Akapitzlist"/>
        <w:numPr>
          <w:ilvl w:val="0"/>
          <w:numId w:val="9"/>
        </w:numPr>
        <w:spacing w:before="0" w:after="0"/>
        <w:ind w:left="142" w:hanging="153"/>
        <w:rPr>
          <w:rFonts w:eastAsia="Times New Roman" w:cs="Times New Roman"/>
          <w:bCs/>
          <w:szCs w:val="19"/>
          <w:lang w:eastAsia="pl-PL"/>
        </w:rPr>
      </w:pPr>
      <w:r w:rsidRPr="00373A8A">
        <w:rPr>
          <w:rFonts w:eastAsia="Times New Roman" w:cs="Times New Roman"/>
          <w:bCs/>
          <w:szCs w:val="19"/>
          <w:lang w:eastAsia="pl-PL"/>
        </w:rPr>
        <w:t xml:space="preserve">towarzystw budownictwa społecznego – o 0,38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373A8A">
        <w:rPr>
          <w:rFonts w:eastAsia="Times New Roman" w:cs="Times New Roman"/>
          <w:bCs/>
          <w:szCs w:val="19"/>
          <w:lang w:eastAsia="pl-PL"/>
        </w:rPr>
        <w:t xml:space="preserve"> (o 3,8%)</w:t>
      </w:r>
      <w:r w:rsidR="00373A8A">
        <w:rPr>
          <w:rFonts w:eastAsia="Times New Roman" w:cs="Times New Roman"/>
          <w:bCs/>
          <w:szCs w:val="19"/>
          <w:lang w:eastAsia="pl-PL"/>
        </w:rPr>
        <w:t>,</w:t>
      </w:r>
    </w:p>
    <w:p w:rsidR="00E54076" w:rsidRDefault="00E54076" w:rsidP="00E54076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E54076">
        <w:rPr>
          <w:rFonts w:eastAsia="Times New Roman" w:cs="Times New Roman"/>
          <w:bCs/>
          <w:szCs w:val="19"/>
          <w:lang w:eastAsia="pl-PL"/>
        </w:rPr>
        <w:t>a zmalała w budynkach z lokalami mieszkalnymi stanowiącymi własność</w:t>
      </w:r>
      <w:r w:rsidR="00154F47">
        <w:rPr>
          <w:rFonts w:eastAsia="Times New Roman" w:cs="Times New Roman"/>
          <w:bCs/>
          <w:szCs w:val="19"/>
          <w:lang w:eastAsia="pl-PL"/>
        </w:rPr>
        <w:t xml:space="preserve"> 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gmin </w:t>
      </w:r>
      <w:r w:rsidR="00373A8A">
        <w:rPr>
          <w:rFonts w:eastAsia="Times New Roman" w:cs="Times New Roman"/>
          <w:bCs/>
          <w:szCs w:val="19"/>
          <w:lang w:eastAsia="pl-PL"/>
        </w:rPr>
        <w:t>–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o 0,01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(o</w:t>
      </w:r>
      <w:r w:rsidR="00C748E3">
        <w:rPr>
          <w:rFonts w:eastAsia="Times New Roman" w:cs="Times New Roman"/>
          <w:bCs/>
          <w:szCs w:val="19"/>
          <w:lang w:eastAsia="pl-PL"/>
        </w:rPr>
        <w:t> </w:t>
      </w:r>
      <w:r w:rsidR="00373A8A">
        <w:rPr>
          <w:rFonts w:eastAsia="Times New Roman" w:cs="Times New Roman"/>
          <w:bCs/>
          <w:szCs w:val="19"/>
          <w:lang w:eastAsia="pl-PL"/>
        </w:rPr>
        <w:t>0,2%).</w:t>
      </w:r>
    </w:p>
    <w:p w:rsidR="00E54076" w:rsidRDefault="00E54076" w:rsidP="00E54076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E54076">
        <w:rPr>
          <w:rFonts w:eastAsia="Times New Roman" w:cs="Times New Roman"/>
          <w:bCs/>
          <w:szCs w:val="19"/>
          <w:lang w:eastAsia="pl-PL"/>
        </w:rPr>
        <w:t xml:space="preserve">Średnie stawki </w:t>
      </w:r>
      <w:r w:rsidR="000420B1">
        <w:rPr>
          <w:rFonts w:eastAsia="Times New Roman" w:cs="Times New Roman"/>
          <w:bCs/>
          <w:szCs w:val="19"/>
          <w:lang w:eastAsia="pl-PL"/>
        </w:rPr>
        <w:t>opłaty eksploatacyjnej</w:t>
      </w:r>
      <w:r w:rsidR="000420B1" w:rsidRPr="00E54076">
        <w:rPr>
          <w:rFonts w:eastAsia="Times New Roman" w:cs="Times New Roman"/>
          <w:bCs/>
          <w:szCs w:val="19"/>
          <w:lang w:eastAsia="pl-PL"/>
        </w:rPr>
        <w:t xml:space="preserve"> 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obowiązujące w grudniu 2018 r. wynosiły od 2,90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za 1</w:t>
      </w:r>
      <w:r w:rsidR="00C748E3">
        <w:rPr>
          <w:rFonts w:eastAsia="Times New Roman" w:cs="Times New Roman"/>
          <w:bCs/>
          <w:szCs w:val="19"/>
          <w:lang w:eastAsia="pl-PL"/>
        </w:rPr>
        <w:t> </w:t>
      </w:r>
      <w:r w:rsidRPr="00E54076">
        <w:rPr>
          <w:rFonts w:eastAsia="Times New Roman" w:cs="Times New Roman"/>
          <w:bCs/>
          <w:szCs w:val="19"/>
          <w:lang w:eastAsia="pl-PL"/>
        </w:rPr>
        <w:t>m</w:t>
      </w:r>
      <w:r w:rsidRPr="00C748E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powierzchni użytkowej mieszkania (we wspólnotach mieszkaniowych) do 10,50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(w</w:t>
      </w:r>
      <w:r w:rsidR="00373A8A">
        <w:rPr>
          <w:rFonts w:eastAsia="Times New Roman" w:cs="Times New Roman"/>
          <w:bCs/>
          <w:szCs w:val="19"/>
          <w:lang w:eastAsia="pl-PL"/>
        </w:rPr>
        <w:t> TBS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). Oznacza to, że </w:t>
      </w:r>
      <w:r w:rsidR="00281EB7">
        <w:rPr>
          <w:rFonts w:eastAsia="Times New Roman" w:cs="Times New Roman"/>
          <w:bCs/>
          <w:szCs w:val="19"/>
          <w:lang w:eastAsia="pl-PL"/>
        </w:rPr>
        <w:t>opłata eksploatacyjna</w:t>
      </w:r>
      <w:r w:rsidR="00281EB7" w:rsidRPr="00E54076">
        <w:rPr>
          <w:rFonts w:eastAsia="Times New Roman" w:cs="Times New Roman"/>
          <w:bCs/>
          <w:szCs w:val="19"/>
          <w:lang w:eastAsia="pl-PL"/>
        </w:rPr>
        <w:t xml:space="preserve"> </w:t>
      </w:r>
      <w:r w:rsidRPr="00E54076">
        <w:rPr>
          <w:rFonts w:eastAsia="Times New Roman" w:cs="Times New Roman"/>
          <w:bCs/>
          <w:szCs w:val="19"/>
          <w:lang w:eastAsia="pl-PL"/>
        </w:rPr>
        <w:t>za mieszkanie o powierzchni użytkowej 53 m</w:t>
      </w:r>
      <w:r w:rsidRPr="00C748E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kształtował</w:t>
      </w:r>
      <w:r w:rsidR="00281EB7">
        <w:rPr>
          <w:rFonts w:eastAsia="Times New Roman" w:cs="Times New Roman"/>
          <w:bCs/>
          <w:szCs w:val="19"/>
          <w:lang w:eastAsia="pl-PL"/>
        </w:rPr>
        <w:t>a</w:t>
      </w:r>
      <w:r w:rsidR="00154F47">
        <w:rPr>
          <w:rFonts w:eastAsia="Times New Roman" w:cs="Times New Roman"/>
          <w:bCs/>
          <w:szCs w:val="19"/>
          <w:lang w:eastAsia="pl-PL"/>
        </w:rPr>
        <w:t xml:space="preserve"> 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się na poziomie 153,7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E54076">
        <w:rPr>
          <w:rFonts w:eastAsia="Times New Roman" w:cs="Times New Roman"/>
          <w:bCs/>
          <w:szCs w:val="19"/>
          <w:lang w:eastAsia="pl-PL"/>
        </w:rPr>
        <w:t xml:space="preserve"> (w budynkach objętych wspólnotami mieszkaniowymi), zaś w budynkach towarzystw budownictwa społecznego – ponad 556,5 </w:t>
      </w:r>
      <w:r w:rsidR="00373A8A">
        <w:rPr>
          <w:rFonts w:eastAsia="Times New Roman" w:cs="Times New Roman"/>
          <w:bCs/>
          <w:szCs w:val="19"/>
          <w:lang w:eastAsia="pl-PL"/>
        </w:rPr>
        <w:t>PLN</w:t>
      </w:r>
      <w:r w:rsidRPr="00E54076">
        <w:rPr>
          <w:rFonts w:eastAsia="Times New Roman" w:cs="Times New Roman"/>
          <w:bCs/>
          <w:szCs w:val="19"/>
          <w:lang w:eastAsia="pl-PL"/>
        </w:rPr>
        <w:t>.</w:t>
      </w:r>
    </w:p>
    <w:p w:rsidR="00E54076" w:rsidRDefault="00E54076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930BB2" w:rsidRDefault="00930BB2" w:rsidP="00930BB2">
      <w:pPr>
        <w:pStyle w:val="Nagwek1"/>
        <w:spacing w:before="0" w:after="0"/>
        <w:rPr>
          <w:rFonts w:ascii="Fira Sans" w:hAnsi="Fira Sans"/>
          <w:b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57C2151" wp14:editId="4616FEC3">
                <wp:simplePos x="0" y="0"/>
                <wp:positionH relativeFrom="rightMargin">
                  <wp:align>left</wp:align>
                </wp:positionH>
                <wp:positionV relativeFrom="paragraph">
                  <wp:posOffset>100245</wp:posOffset>
                </wp:positionV>
                <wp:extent cx="1667510" cy="1016635"/>
                <wp:effectExtent l="0" t="0" r="0" b="0"/>
                <wp:wrapTight wrapText="bothSides">
                  <wp:wrapPolygon edited="0">
                    <wp:start x="740" y="0"/>
                    <wp:lineTo x="740" y="21047"/>
                    <wp:lineTo x="20728" y="21047"/>
                    <wp:lineTo x="20728" y="0"/>
                    <wp:lineTo x="74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350CCF" w:rsidRDefault="002463D2" w:rsidP="00ED47D9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porównaniu z rokiem poprzednim liczba lokali socjalnych wzrosła o </w:t>
                            </w:r>
                            <w:r w:rsidRPr="003B70F7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2,6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%. Ich przeciętna powierzchnia użytkowa wynosiła </w:t>
                            </w:r>
                            <w:r w:rsidRPr="003B70F7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33,2</w:t>
                            </w:r>
                            <w:r w:rsidRPr="00C748E3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m</w:t>
                            </w:r>
                            <w:r w:rsidRPr="00C748E3">
                              <w:rPr>
                                <w:vertAlign w:val="superscript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  <w:p w:rsidR="002463D2" w:rsidRPr="00350CCF" w:rsidRDefault="002463D2" w:rsidP="00930BB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2151" id="Pole tekstowe 19" o:spid="_x0000_s1041" type="#_x0000_t202" style="position:absolute;margin-left:0;margin-top:7.9pt;width:131.3pt;height:80.05pt;z-index:-2515783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/7EQIAAAIEAAAOAAAAZHJzL2Uyb0RvYy54bWysU1Fv0zAQfkfiP1h+p0lL261R02lsDCEN&#10;mDT4AVfHaazZPmO7Tcav5+x0XQVviDxYvpzvu/s+f15fDUazg/RBoa35dFJyJq3ARtldzX98v3t3&#10;yVmIYBvQaGXNn2XgV5u3b9a9q+QMO9SN9IxAbKh6V/MuRlcVRRCdNBAm6KSlZIveQKTQ74rGQ0/o&#10;RhezslwWPfrGeRQyBPp7Oyb5JuO3rRTxW9sGGZmuOc0W8+rzuk1rsVlDtfPgOiWOY8A/TGFAWWp6&#10;grqFCGzv1V9QRgmPAds4EWgKbFslZOZAbKblH2weO3AycyFxgjvJFP4frPh6ePBMNXR3K84sGLqj&#10;B9SSRfkUIvaS0X8SqXehorOPjk7H4QMOVJAJB3eP4ikwizcd2J289h77TkJDQ05TZXFWOuKEBLLt&#10;v2BDzWAfMQMNrTdJQdKEETpd1vPpguQQmUgtl8uLxZRSgnLTksL3i9wDqpdy50P8JNGwtKm5Jwdk&#10;eDjch5jGgerlSOpm8U5pnV2gLetrvlrMFrngLGNUJJNqZWp+WaZvtE1i+dE2uTiC0uOeGmh7pJ2Y&#10;jpzjsB1GmfPASZMtNs8khMfRlPSIaNOh/8VZT4asefi5By85058tibmazufJwTmYLy5mFPjzzPY8&#10;A1YQVM0jZ+P2JmbXj5yvSfRWZTleJznOTEbLKh0fRXLyeZxPvT7dzW8AAAD//wMAUEsDBBQABgAI&#10;AAAAIQCsB62z2gAAAAcBAAAPAAAAZHJzL2Rvd25yZXYueG1sTI/NTsMwEITvSLyDtUjc6JqIBBri&#10;VAjEFUT5kbi58TaJiNdR7Dbh7VlOcJyZ1cy31WbxgzrSFPvABi5XGhRxE1zPrYG318eLG1AxWXZ2&#10;CEwGvinCpj49qWzpwswvdNymVkkJx9Ia6FIaS8TYdORtXIWRWLJ9mLxNIqcW3WRnKfcDZloX6G3P&#10;stDZke47ar62B2/g/Wn/+XGln9sHn49zWDSyX6Mx52fL3S2oREv6O4ZffEGHWph24cAuqsGAPJLE&#10;zYVf0qzIClA7Ma7zNWBd4X/++gcAAP//AwBQSwECLQAUAAYACAAAACEAtoM4kv4AAADhAQAAEwAA&#10;AAAAAAAAAAAAAAAAAAAAW0NvbnRlbnRfVHlwZXNdLnhtbFBLAQItABQABgAIAAAAIQA4/SH/1gAA&#10;AJQBAAALAAAAAAAAAAAAAAAAAC8BAABfcmVscy8ucmVsc1BLAQItABQABgAIAAAAIQCR0M/7EQIA&#10;AAIEAAAOAAAAAAAAAAAAAAAAAC4CAABkcnMvZTJvRG9jLnhtbFBLAQItABQABgAIAAAAIQCsB62z&#10;2gAAAAcBAAAPAAAAAAAAAAAAAAAAAGsEAABkcnMvZG93bnJldi54bWxQSwUGAAAAAAQABADzAAAA&#10;cgUAAAAA&#10;" filled="f" stroked="f">
                <v:textbox>
                  <w:txbxContent>
                    <w:p w:rsidR="002463D2" w:rsidRPr="00350CCF" w:rsidRDefault="002463D2" w:rsidP="00ED47D9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porównaniu z rokiem poprzednim liczba lokali socjalnych wzrosła o </w:t>
                      </w:r>
                      <w:r w:rsidRPr="003B70F7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2,6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%. Ich przeciętna powierzchnia użytkowa wynosiła </w:t>
                      </w:r>
                      <w:r w:rsidRPr="003B70F7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33,2</w:t>
                      </w:r>
                      <w:r w:rsidRPr="00C748E3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m</w:t>
                      </w:r>
                      <w:r w:rsidRPr="00C748E3">
                        <w:rPr>
                          <w:vertAlign w:val="superscript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</w:t>
                      </w:r>
                    </w:p>
                    <w:p w:rsidR="002463D2" w:rsidRPr="00350CCF" w:rsidRDefault="002463D2" w:rsidP="00930BB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Fira Sans" w:hAnsi="Fira Sans"/>
          <w:b/>
        </w:rPr>
        <w:t>Lokale socjalne</w:t>
      </w:r>
    </w:p>
    <w:p w:rsidR="00930BB2" w:rsidRPr="005160F9" w:rsidRDefault="00930BB2" w:rsidP="00930BB2">
      <w:pPr>
        <w:spacing w:before="0" w:after="0" w:line="240" w:lineRule="auto"/>
        <w:rPr>
          <w:szCs w:val="19"/>
          <w:lang w:eastAsia="pl-PL"/>
        </w:rPr>
      </w:pPr>
    </w:p>
    <w:p w:rsidR="00930BB2" w:rsidRPr="00154F47" w:rsidRDefault="00ED47D9" w:rsidP="00930BB2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Lokale socjalne są f</w:t>
      </w:r>
      <w:r w:rsidRPr="00FC248A">
        <w:rPr>
          <w:shd w:val="clear" w:color="auto" w:fill="FFFFFF"/>
        </w:rPr>
        <w:t xml:space="preserve">ormą pomocy Państwa dla osób niemogących samodzielnie utrzymać mieszkania z </w:t>
      </w:r>
      <w:r w:rsidRPr="00154F47">
        <w:rPr>
          <w:shd w:val="clear" w:color="auto" w:fill="FFFFFF"/>
        </w:rPr>
        <w:t>powodu ubóstwa lub dla osób bezdomnych. Obowiązek ich zapewnienia (najmu) spoczywa na gminie. W 2018 r. w zasobach gminnych było 101,2 tys. lokali socjalnych o łącznej powierzchni 3 355,9 tys. m</w:t>
      </w:r>
      <w:r w:rsidRPr="00154F47">
        <w:rPr>
          <w:shd w:val="clear" w:color="auto" w:fill="FFFFFF"/>
          <w:vertAlign w:val="superscript"/>
        </w:rPr>
        <w:t>2</w:t>
      </w:r>
      <w:r w:rsidR="00596BDB" w:rsidRPr="00154F47">
        <w:rPr>
          <w:shd w:val="clear" w:color="auto" w:fill="FFFFFF"/>
        </w:rPr>
        <w:t>.</w:t>
      </w:r>
    </w:p>
    <w:p w:rsidR="00930BB2" w:rsidRPr="005160F9" w:rsidRDefault="00930BB2" w:rsidP="00930BB2">
      <w:pPr>
        <w:spacing w:before="0" w:after="0" w:line="240" w:lineRule="auto"/>
        <w:rPr>
          <w:szCs w:val="19"/>
          <w:lang w:eastAsia="pl-PL"/>
        </w:rPr>
      </w:pPr>
    </w:p>
    <w:p w:rsidR="00930BB2" w:rsidRDefault="00930BB2" w:rsidP="00930BB2">
      <w:pPr>
        <w:spacing w:before="0" w:after="0"/>
        <w:rPr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 w:rsidR="00093FCD">
        <w:rPr>
          <w:b/>
          <w:spacing w:val="-2"/>
          <w:sz w:val="18"/>
        </w:rPr>
        <w:t>7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>Lokale socjalne</w:t>
      </w:r>
    </w:p>
    <w:p w:rsidR="00930BB2" w:rsidRPr="005160F9" w:rsidRDefault="00930BB2" w:rsidP="00930BB2">
      <w:pPr>
        <w:spacing w:before="0" w:after="0" w:line="240" w:lineRule="auto"/>
        <w:rPr>
          <w:szCs w:val="19"/>
          <w:lang w:eastAsia="pl-PL"/>
        </w:rPr>
      </w:pPr>
    </w:p>
    <w:tbl>
      <w:tblPr>
        <w:tblW w:w="787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850"/>
        <w:gridCol w:w="989"/>
        <w:gridCol w:w="854"/>
        <w:gridCol w:w="932"/>
      </w:tblGrid>
      <w:tr w:rsidR="00EB0396" w:rsidRPr="00FC248A" w:rsidTr="0011639F">
        <w:trPr>
          <w:trHeight w:val="315"/>
        </w:trPr>
        <w:tc>
          <w:tcPr>
            <w:tcW w:w="4253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850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2015</w:t>
            </w:r>
          </w:p>
        </w:tc>
        <w:tc>
          <w:tcPr>
            <w:tcW w:w="989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854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32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</w:tr>
      <w:tr w:rsidR="00EB0396" w:rsidRPr="00FC248A" w:rsidTr="0011639F">
        <w:trPr>
          <w:trHeight w:val="330"/>
        </w:trPr>
        <w:tc>
          <w:tcPr>
            <w:tcW w:w="4253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Liczba lokali socjalnych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91 706</w:t>
            </w:r>
          </w:p>
        </w:tc>
        <w:tc>
          <w:tcPr>
            <w:tcW w:w="989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94 651</w:t>
            </w:r>
          </w:p>
        </w:tc>
        <w:tc>
          <w:tcPr>
            <w:tcW w:w="854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98 631</w:t>
            </w:r>
          </w:p>
        </w:tc>
        <w:tc>
          <w:tcPr>
            <w:tcW w:w="932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154F47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101 201</w:t>
            </w:r>
          </w:p>
        </w:tc>
      </w:tr>
      <w:tr w:rsidR="00EB0396" w:rsidRPr="00FC248A" w:rsidTr="0011639F">
        <w:trPr>
          <w:trHeight w:val="315"/>
        </w:trPr>
        <w:tc>
          <w:tcPr>
            <w:tcW w:w="425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FC248A" w:rsidRDefault="00570D80" w:rsidP="00EB0396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Rok poprzedni</w:t>
            </w:r>
            <w:r w:rsidR="00EB0396" w:rsidRPr="00FC248A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  <w:tc>
          <w:tcPr>
            <w:tcW w:w="850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6,2</w:t>
            </w:r>
          </w:p>
        </w:tc>
        <w:tc>
          <w:tcPr>
            <w:tcW w:w="989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3,2</w:t>
            </w:r>
          </w:p>
        </w:tc>
        <w:tc>
          <w:tcPr>
            <w:tcW w:w="854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FC248A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93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EB0396" w:rsidRPr="00154F47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102,6</w:t>
            </w:r>
          </w:p>
        </w:tc>
      </w:tr>
      <w:tr w:rsidR="00EB0396" w:rsidRPr="00FC248A" w:rsidTr="0011639F">
        <w:trPr>
          <w:trHeight w:val="315"/>
        </w:trPr>
        <w:tc>
          <w:tcPr>
            <w:tcW w:w="4253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EB0396" w:rsidRPr="00FC248A" w:rsidRDefault="00EB0396" w:rsidP="00EB0396">
            <w:pPr>
              <w:spacing w:before="0" w:after="0"/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 xml:space="preserve">Przeciętna powierzchnia użytkowa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lokali </w:t>
            </w: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 m</w:t>
            </w:r>
            <w:r w:rsidRPr="00FC248A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EB0396" w:rsidRPr="00FC248A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32,6</w:t>
            </w:r>
          </w:p>
        </w:tc>
        <w:tc>
          <w:tcPr>
            <w:tcW w:w="989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EB0396" w:rsidRPr="00FC248A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32,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4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EB0396" w:rsidRPr="00FC248A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33,0</w:t>
            </w:r>
          </w:p>
        </w:tc>
        <w:tc>
          <w:tcPr>
            <w:tcW w:w="932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EB0396" w:rsidRPr="00154F47" w:rsidRDefault="00EB0396" w:rsidP="00EB0396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33,2</w:t>
            </w:r>
          </w:p>
        </w:tc>
      </w:tr>
    </w:tbl>
    <w:p w:rsidR="00093FCD" w:rsidRPr="005160F9" w:rsidRDefault="00093FCD" w:rsidP="00930BB2">
      <w:pPr>
        <w:pStyle w:val="Nagwek1"/>
        <w:spacing w:before="0" w:after="0"/>
        <w:rPr>
          <w:rFonts w:ascii="Fira Sans" w:hAnsi="Fira Sans"/>
          <w:noProof/>
          <w:spacing w:val="-2"/>
          <w:szCs w:val="19"/>
        </w:rPr>
      </w:pPr>
    </w:p>
    <w:p w:rsidR="00930BB2" w:rsidRDefault="00930BB2" w:rsidP="00930BB2">
      <w:pPr>
        <w:pStyle w:val="Nagwek1"/>
        <w:spacing w:before="0" w:after="0"/>
        <w:rPr>
          <w:rFonts w:ascii="Fira Sans" w:hAnsi="Fira Sans"/>
          <w:b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64140B2B" wp14:editId="6FFD5639">
                <wp:simplePos x="0" y="0"/>
                <wp:positionH relativeFrom="rightMargin">
                  <wp:align>left</wp:align>
                </wp:positionH>
                <wp:positionV relativeFrom="paragraph">
                  <wp:posOffset>92178</wp:posOffset>
                </wp:positionV>
                <wp:extent cx="1667510" cy="1133475"/>
                <wp:effectExtent l="0" t="0" r="0" b="0"/>
                <wp:wrapTight wrapText="bothSides">
                  <wp:wrapPolygon edited="0">
                    <wp:start x="740" y="0"/>
                    <wp:lineTo x="740" y="21055"/>
                    <wp:lineTo x="20728" y="21055"/>
                    <wp:lineTo x="20728" y="0"/>
                    <wp:lineTo x="740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350CCF" w:rsidRDefault="002463D2" w:rsidP="00C23C96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porównaniu z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2017 r.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liczba gospodarstw domowych oczekujących na najem lokali mieszkalnych od gminy zmalała o </w:t>
                            </w:r>
                            <w:r w:rsidRPr="00C748E3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3,1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  <w:p w:rsidR="002463D2" w:rsidRPr="00350CCF" w:rsidRDefault="002463D2" w:rsidP="00930BB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0B2B" id="Pole tekstowe 20" o:spid="_x0000_s1042" type="#_x0000_t202" style="position:absolute;margin-left:0;margin-top:7.25pt;width:131.3pt;height:89.25pt;z-index:-25157734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d/FAIAAAIEAAAOAAAAZHJzL2Uyb0RvYy54bWysU11v2yAUfZ+0/4B4X2yn+WitkKpr12lS&#10;t1Xq9gMIxjEqcBmQ2Nmv3wUnWbS9TfMDAl/uufece1jdDkaTvfRBgWW0mpSUSCugUXbL6Pdvj++u&#10;KQmR24ZrsJLRgwz0dv32zap3tZxCB7qRniCIDXXvGO1idHVRBNFJw8MEnLQYbMEbHvHot0XjeY/o&#10;RhfTslwUPfjGeRAyBPz7MAbpOuO3rRTxa9sGGYlmFHuLefV53aS1WK94vfXcdUoc2+D/0IXhymLR&#10;M9QDj5zsvPoLyijhIUAbJwJMAW2rhMwckE1V/sHmpeNOZi4oTnBnmcL/gxVf9s+eqIbRKcpjucEZ&#10;PYOWJMrXEKGXBP+jSL0LNd59cXg7Du9hwGFnwsE9gXgNxMJ9x+1W3nkPfSd5g01WKbO4SB1xQgLZ&#10;9J+hwWJ8FyEDDa03SUHUhCA6dnM4D0gOkYhUcrFYzisMCYxV1dXVbDnPNXh9Snc+xI8SDEkbRj06&#10;IMPz/VOIqR1en66kahYeldbZBdqSntGb+XSeEy4iRkU0qVaG0esyfaNtEssPtsnJkSs97rGAtkfa&#10;ienIOQ6bIctcLU5ybqA5oBAeRlPiI8JNB/4nJT0aktHwY8e9pER/sijmTTWbJQfnw2y+TPPyl5HN&#10;ZYRbgVCMRkrG7X3Mrh8536HorcpypOmMnRx7RqNllY6PIjn58pxv/X66618AAAD//wMAUEsDBBQA&#10;BgAIAAAAIQAoGo+F2wAAAAcBAAAPAAAAZHJzL2Rvd25yZXYueG1sTI/NTsMwEITvSLyDtUjc6JrQ&#10;RjTEqRCIK4jyI3Fz420SEa+j2G3C27Oc6HFmVjPflpvZ9+pIY+wCG7heaFDEdXAdNwbe356ubkHF&#10;ZNnZPjAZ+KEIm+r8rLSFCxO/0nGbGiUlHAtroE1pKBBj3ZK3cREGYsn2YfQ2iRwbdKOdpNz3mGmd&#10;o7cdy0JrB3poqf7eHryBj+f91+dSvzSPfjVMYdbIfo3GXF7M93egEs3p/xj+8AUdKmHahQO7qHoD&#10;8kgSd7kCJWmWZzmonRjrGw1YlXjKX/0CAAD//wMAUEsBAi0AFAAGAAgAAAAhALaDOJL+AAAA4QEA&#10;ABMAAAAAAAAAAAAAAAAAAAAAAFtDb250ZW50X1R5cGVzXS54bWxQSwECLQAUAAYACAAAACEAOP0h&#10;/9YAAACUAQAACwAAAAAAAAAAAAAAAAAvAQAAX3JlbHMvLnJlbHNQSwECLQAUAAYACAAAACEA8cqX&#10;fxQCAAACBAAADgAAAAAAAAAAAAAAAAAuAgAAZHJzL2Uyb0RvYy54bWxQSwECLQAUAAYACAAAACEA&#10;KBqPhdsAAAAHAQAADwAAAAAAAAAAAAAAAABuBAAAZHJzL2Rvd25yZXYueG1sUEsFBgAAAAAEAAQA&#10;8wAAAHYFAAAAAA==&#10;" filled="f" stroked="f">
                <v:textbox>
                  <w:txbxContent>
                    <w:p w:rsidR="002463D2" w:rsidRPr="00350CCF" w:rsidRDefault="002463D2" w:rsidP="00C23C96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porównaniu z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2017 r.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liczba gospodarstw domowych oczekujących na najem lokali mieszkalnych od gminy zmalała o </w:t>
                      </w:r>
                      <w:r w:rsidRPr="00C748E3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3,1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</w:t>
                      </w:r>
                    </w:p>
                    <w:p w:rsidR="002463D2" w:rsidRPr="00350CCF" w:rsidRDefault="002463D2" w:rsidP="00930BB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Fira Sans" w:hAnsi="Fira Sans"/>
          <w:b/>
          <w:noProof/>
          <w:spacing w:val="-2"/>
          <w:szCs w:val="19"/>
        </w:rPr>
        <w:t>Zapotrzebowanie</w:t>
      </w:r>
      <w:r w:rsidRPr="00874E4B">
        <w:rPr>
          <w:rFonts w:ascii="Fira Sans" w:hAnsi="Fira Sans"/>
          <w:b/>
          <w:noProof/>
          <w:spacing w:val="-2"/>
          <w:szCs w:val="19"/>
        </w:rPr>
        <w:t xml:space="preserve"> na najem </w:t>
      </w:r>
      <w:r>
        <w:rPr>
          <w:rFonts w:ascii="Fira Sans" w:hAnsi="Fira Sans"/>
          <w:b/>
          <w:noProof/>
          <w:spacing w:val="-2"/>
          <w:szCs w:val="19"/>
        </w:rPr>
        <w:t xml:space="preserve">lokali </w:t>
      </w:r>
      <w:r w:rsidRPr="00874E4B">
        <w:rPr>
          <w:rFonts w:ascii="Fira Sans" w:hAnsi="Fira Sans"/>
          <w:b/>
          <w:noProof/>
          <w:spacing w:val="-2"/>
          <w:szCs w:val="19"/>
        </w:rPr>
        <w:t>od gminy</w:t>
      </w:r>
    </w:p>
    <w:p w:rsidR="00930BB2" w:rsidRPr="005160F9" w:rsidRDefault="00930BB2" w:rsidP="00930BB2">
      <w:pPr>
        <w:spacing w:before="0" w:after="0" w:line="240" w:lineRule="auto"/>
        <w:rPr>
          <w:szCs w:val="19"/>
          <w:lang w:eastAsia="pl-PL"/>
        </w:rPr>
      </w:pPr>
    </w:p>
    <w:p w:rsidR="00C23C96" w:rsidRPr="00154F47" w:rsidRDefault="00C23C96" w:rsidP="00C23C96">
      <w:pPr>
        <w:spacing w:before="0" w:after="0"/>
        <w:rPr>
          <w:shd w:val="clear" w:color="auto" w:fill="FFFFFF"/>
        </w:rPr>
      </w:pPr>
      <w:r w:rsidRPr="00154F47">
        <w:rPr>
          <w:shd w:val="clear" w:color="auto" w:fill="FFFFFF"/>
        </w:rPr>
        <w:t>W 2018 r. na najem zasobów gminnych (z wyłączeniem lokali zamiennych i pomieszczeń tymczasowych) oczekiwało 149 329 gospodarstw domowych. Nadal maleje zapotrzebowanie na najem lokali wchodzących w skład mieszkaniowego zasobu gminy i w porównaniu do 2</w:t>
      </w:r>
      <w:r w:rsidR="00281EB7" w:rsidRPr="00154F47">
        <w:rPr>
          <w:shd w:val="clear" w:color="auto" w:fill="FFFFFF"/>
        </w:rPr>
        <w:t>0</w:t>
      </w:r>
      <w:r w:rsidRPr="00154F47">
        <w:rPr>
          <w:shd w:val="clear" w:color="auto" w:fill="FFFFFF"/>
        </w:rPr>
        <w:t>17 r. wynosiło 96,9%.</w:t>
      </w:r>
    </w:p>
    <w:p w:rsidR="004B1366" w:rsidRDefault="00C23C96" w:rsidP="00C23C96">
      <w:pPr>
        <w:spacing w:before="0" w:after="0"/>
        <w:rPr>
          <w:shd w:val="clear" w:color="auto" w:fill="FFFFFF"/>
        </w:rPr>
      </w:pPr>
      <w:r w:rsidRPr="00154F47">
        <w:rPr>
          <w:shd w:val="clear" w:color="auto" w:fill="FFFFFF"/>
        </w:rPr>
        <w:t xml:space="preserve">Z ogólnej liczby oczekujących na najem zasobów gminnych na mieszkania komunalne oczekiwało 63 424 gospodarstw domowych (co stanowi 42,5% ogółu gospodarstw oczekujących na najem lokali), a na lokale socjalne – 85 905, w tym 52 589 gospodarstw w ramach </w:t>
      </w:r>
      <w:r w:rsidRPr="00FC248A">
        <w:rPr>
          <w:shd w:val="clear" w:color="auto" w:fill="FFFFFF"/>
        </w:rPr>
        <w:t>realizacji wyroków eksmisyjnych</w:t>
      </w:r>
      <w:r w:rsidR="00930BB2" w:rsidRPr="00FC248A">
        <w:rPr>
          <w:shd w:val="clear" w:color="auto" w:fill="FFFFFF"/>
        </w:rPr>
        <w:t>.</w:t>
      </w:r>
    </w:p>
    <w:p w:rsidR="00AC3C97" w:rsidRDefault="00AC3C97" w:rsidP="0042030D">
      <w:pPr>
        <w:spacing w:before="0" w:after="0"/>
        <w:rPr>
          <w:shd w:val="clear" w:color="auto" w:fill="FFFFFF"/>
        </w:rPr>
      </w:pPr>
    </w:p>
    <w:p w:rsidR="00350CCF" w:rsidRDefault="00930BB2" w:rsidP="00350CCF">
      <w:pPr>
        <w:tabs>
          <w:tab w:val="left" w:pos="851"/>
        </w:tabs>
        <w:spacing w:before="0" w:after="0"/>
        <w:rPr>
          <w:b/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 w:rsidR="00093FCD">
        <w:rPr>
          <w:b/>
          <w:spacing w:val="-2"/>
          <w:sz w:val="18"/>
        </w:rPr>
        <w:t>8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 xml:space="preserve">Gospodarstwa domowe oczekujące na najem lokali mieszkalnych od gminy </w:t>
      </w:r>
    </w:p>
    <w:p w:rsidR="00930BB2" w:rsidRDefault="00350CCF" w:rsidP="00350CCF">
      <w:pPr>
        <w:tabs>
          <w:tab w:val="left" w:pos="851"/>
        </w:tabs>
        <w:spacing w:before="0" w:after="0"/>
        <w:rPr>
          <w:spacing w:val="-2"/>
          <w:sz w:val="18"/>
        </w:rPr>
      </w:pPr>
      <w:r>
        <w:rPr>
          <w:b/>
          <w:spacing w:val="-2"/>
          <w:sz w:val="18"/>
        </w:rPr>
        <w:tab/>
      </w:r>
      <w:r w:rsidR="00AC3C97">
        <w:rPr>
          <w:b/>
          <w:spacing w:val="-2"/>
          <w:sz w:val="18"/>
        </w:rPr>
        <w:t xml:space="preserve">– stan </w:t>
      </w:r>
      <w:r w:rsidR="00C748E3">
        <w:rPr>
          <w:b/>
          <w:spacing w:val="-2"/>
          <w:sz w:val="18"/>
        </w:rPr>
        <w:t>na</w:t>
      </w:r>
      <w:r w:rsidR="00AC3C97">
        <w:rPr>
          <w:b/>
          <w:spacing w:val="-2"/>
          <w:sz w:val="18"/>
        </w:rPr>
        <w:t xml:space="preserve"> 31</w:t>
      </w:r>
      <w:r w:rsidR="00373A8A">
        <w:rPr>
          <w:b/>
          <w:spacing w:val="-2"/>
          <w:sz w:val="18"/>
        </w:rPr>
        <w:t>.12.2018 r.</w:t>
      </w:r>
    </w:p>
    <w:p w:rsidR="00930BB2" w:rsidRPr="005160F9" w:rsidRDefault="00930BB2" w:rsidP="00930BB2">
      <w:pPr>
        <w:spacing w:before="0" w:after="0"/>
        <w:rPr>
          <w:rFonts w:eastAsia="Times New Roman" w:cs="Times New Roman"/>
          <w:bCs/>
          <w:color w:val="001D77"/>
          <w:szCs w:val="19"/>
          <w:lang w:eastAsia="pl-PL"/>
        </w:rPr>
      </w:pPr>
    </w:p>
    <w:tbl>
      <w:tblPr>
        <w:tblW w:w="787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499"/>
      </w:tblGrid>
      <w:tr w:rsidR="007B7F3C" w:rsidRPr="00FC248A" w:rsidTr="008C40CB">
        <w:trPr>
          <w:trHeight w:val="315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7B7F3C" w:rsidRPr="00FC248A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7B7F3C" w:rsidRPr="00FC248A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7B7F3C" w:rsidRPr="00FC248A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Na mieszkania komunalne</w:t>
            </w:r>
          </w:p>
        </w:tc>
        <w:tc>
          <w:tcPr>
            <w:tcW w:w="2916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7B7F3C" w:rsidRPr="00FC248A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Na lokale socjalne</w:t>
            </w:r>
          </w:p>
        </w:tc>
      </w:tr>
      <w:tr w:rsidR="007B7F3C" w:rsidRPr="00FC248A" w:rsidTr="008C40CB">
        <w:trPr>
          <w:trHeight w:val="315"/>
        </w:trPr>
        <w:tc>
          <w:tcPr>
            <w:tcW w:w="212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:rsidR="007B7F3C" w:rsidRPr="00FC248A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:rsidR="007B7F3C" w:rsidRPr="00FC248A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:rsidR="007B7F3C" w:rsidRPr="00FC248A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7B7F3C" w:rsidRPr="00FC248A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99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7B7F3C" w:rsidRPr="00FC248A" w:rsidRDefault="004C6810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 tym w ramach realizacji wyroków eksmisyjnych</w:t>
            </w:r>
          </w:p>
        </w:tc>
      </w:tr>
      <w:tr w:rsidR="007B7F3C" w:rsidRPr="00FC248A" w:rsidTr="0011639F">
        <w:trPr>
          <w:trHeight w:val="330"/>
        </w:trPr>
        <w:tc>
          <w:tcPr>
            <w:tcW w:w="7878" w:type="dxa"/>
            <w:gridSpan w:val="5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7B7F3C" w:rsidRPr="00FC248A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 liczbach bezwzględnych</w:t>
            </w:r>
          </w:p>
        </w:tc>
      </w:tr>
      <w:tr w:rsidR="004C6810" w:rsidRPr="00FC248A" w:rsidTr="007D592E">
        <w:trPr>
          <w:trHeight w:val="330"/>
        </w:trPr>
        <w:tc>
          <w:tcPr>
            <w:tcW w:w="212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4C6810" w:rsidRPr="00FC248A" w:rsidRDefault="004C6810" w:rsidP="004C681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149 329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63 424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85 905</w:t>
            </w:r>
          </w:p>
        </w:tc>
        <w:tc>
          <w:tcPr>
            <w:tcW w:w="1499" w:type="dxa"/>
            <w:tcBorders>
              <w:top w:val="single" w:sz="4" w:space="0" w:color="001D77"/>
              <w:bottom w:val="single" w:sz="4" w:space="0" w:color="2F5496" w:themeColor="accent5" w:themeShade="BF"/>
            </w:tcBorders>
            <w:shd w:val="clear" w:color="auto" w:fill="auto"/>
          </w:tcPr>
          <w:p w:rsidR="004C6810" w:rsidRPr="004C6810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10">
              <w:rPr>
                <w:rFonts w:eastAsia="Times New Roman" w:cs="Calibri"/>
                <w:sz w:val="16"/>
                <w:szCs w:val="16"/>
                <w:lang w:eastAsia="pl-PL"/>
              </w:rPr>
              <w:t>52 589</w:t>
            </w:r>
          </w:p>
        </w:tc>
      </w:tr>
      <w:tr w:rsidR="004C6810" w:rsidRPr="00FC248A" w:rsidTr="007D592E">
        <w:trPr>
          <w:trHeight w:val="315"/>
        </w:trPr>
        <w:tc>
          <w:tcPr>
            <w:tcW w:w="212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4C6810" w:rsidRPr="00FC248A" w:rsidRDefault="004C6810" w:rsidP="004C681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128 414</w:t>
            </w:r>
          </w:p>
        </w:tc>
        <w:tc>
          <w:tcPr>
            <w:tcW w:w="1418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50 236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78 178</w:t>
            </w:r>
          </w:p>
        </w:tc>
        <w:tc>
          <w:tcPr>
            <w:tcW w:w="1499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</w:tcPr>
          <w:p w:rsidR="004C6810" w:rsidRPr="004C6810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10">
              <w:rPr>
                <w:rFonts w:eastAsia="Times New Roman" w:cs="Calibri"/>
                <w:sz w:val="16"/>
                <w:szCs w:val="16"/>
                <w:lang w:eastAsia="pl-PL"/>
              </w:rPr>
              <w:t>51 449</w:t>
            </w:r>
          </w:p>
        </w:tc>
      </w:tr>
      <w:tr w:rsidR="004C6810" w:rsidRPr="00FC248A" w:rsidTr="007D592E">
        <w:trPr>
          <w:trHeight w:val="315"/>
        </w:trPr>
        <w:tc>
          <w:tcPr>
            <w:tcW w:w="2127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4C6810" w:rsidRPr="00FC248A" w:rsidRDefault="00EC4A57" w:rsidP="004C681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20 915</w:t>
            </w:r>
          </w:p>
        </w:tc>
        <w:tc>
          <w:tcPr>
            <w:tcW w:w="1418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13 188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7 727</w:t>
            </w:r>
          </w:p>
        </w:tc>
        <w:tc>
          <w:tcPr>
            <w:tcW w:w="1499" w:type="dxa"/>
            <w:tcBorders>
              <w:top w:val="single" w:sz="4" w:space="0" w:color="2F5496" w:themeColor="accent5" w:themeShade="BF"/>
            </w:tcBorders>
            <w:shd w:val="clear" w:color="auto" w:fill="auto"/>
          </w:tcPr>
          <w:p w:rsidR="004C6810" w:rsidRPr="004C6810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10">
              <w:rPr>
                <w:rFonts w:eastAsia="Times New Roman" w:cs="Calibri"/>
                <w:sz w:val="16"/>
                <w:szCs w:val="16"/>
                <w:lang w:eastAsia="pl-PL"/>
              </w:rPr>
              <w:t>1 140</w:t>
            </w:r>
          </w:p>
        </w:tc>
      </w:tr>
      <w:tr w:rsidR="007B7F3C" w:rsidRPr="00FC248A" w:rsidTr="0011639F">
        <w:trPr>
          <w:trHeight w:val="315"/>
        </w:trPr>
        <w:tc>
          <w:tcPr>
            <w:tcW w:w="7878" w:type="dxa"/>
            <w:gridSpan w:val="5"/>
            <w:tcBorders>
              <w:top w:val="single" w:sz="4" w:space="0" w:color="2F5496" w:themeColor="accent5" w:themeShade="BF"/>
              <w:bottom w:val="single" w:sz="4" w:space="0" w:color="001D77"/>
            </w:tcBorders>
            <w:shd w:val="clear" w:color="auto" w:fill="auto"/>
            <w:vAlign w:val="center"/>
          </w:tcPr>
          <w:p w:rsidR="007B7F3C" w:rsidRPr="00154F47" w:rsidRDefault="007B7F3C" w:rsidP="007B7F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Polska = 100%</w:t>
            </w:r>
          </w:p>
        </w:tc>
      </w:tr>
      <w:tr w:rsidR="004C6810" w:rsidRPr="00FC248A" w:rsidTr="007D592E">
        <w:trPr>
          <w:trHeight w:val="315"/>
        </w:trPr>
        <w:tc>
          <w:tcPr>
            <w:tcW w:w="212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4C6810" w:rsidRPr="00FC248A" w:rsidRDefault="004C6810" w:rsidP="004C681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001D77"/>
              <w:bottom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86,0</w:t>
            </w:r>
          </w:p>
        </w:tc>
        <w:tc>
          <w:tcPr>
            <w:tcW w:w="1418" w:type="dxa"/>
            <w:tcBorders>
              <w:top w:val="single" w:sz="4" w:space="0" w:color="2F5496" w:themeColor="accent5" w:themeShade="BF"/>
              <w:left w:val="single" w:sz="4" w:space="0" w:color="001D77"/>
              <w:bottom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79,2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001D77"/>
              <w:bottom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91,0</w:t>
            </w:r>
          </w:p>
        </w:tc>
        <w:tc>
          <w:tcPr>
            <w:tcW w:w="1499" w:type="dxa"/>
            <w:tcBorders>
              <w:top w:val="single" w:sz="4" w:space="0" w:color="2F5496" w:themeColor="accent5" w:themeShade="BF"/>
              <w:left w:val="single" w:sz="4" w:space="0" w:color="001D77"/>
              <w:bottom w:val="single" w:sz="4" w:space="0" w:color="2F5496" w:themeColor="accent5" w:themeShade="BF"/>
            </w:tcBorders>
            <w:shd w:val="clear" w:color="auto" w:fill="auto"/>
          </w:tcPr>
          <w:p w:rsidR="004C6810" w:rsidRPr="004C6810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10">
              <w:rPr>
                <w:rFonts w:eastAsia="Times New Roman" w:cs="Calibri"/>
                <w:sz w:val="16"/>
                <w:szCs w:val="16"/>
                <w:lang w:eastAsia="pl-PL"/>
              </w:rPr>
              <w:t>97,8</w:t>
            </w:r>
          </w:p>
        </w:tc>
      </w:tr>
      <w:tr w:rsidR="004C6810" w:rsidRPr="00FC248A" w:rsidTr="007D592E">
        <w:trPr>
          <w:trHeight w:val="315"/>
        </w:trPr>
        <w:tc>
          <w:tcPr>
            <w:tcW w:w="2127" w:type="dxa"/>
            <w:tcBorders>
              <w:top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4C6810" w:rsidRPr="00FC248A" w:rsidRDefault="00EC4A57" w:rsidP="004C6810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2F5496" w:themeColor="accent5" w:themeShade="BF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C6810" w:rsidRPr="00154F47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9,0</w:t>
            </w:r>
          </w:p>
        </w:tc>
        <w:tc>
          <w:tcPr>
            <w:tcW w:w="1499" w:type="dxa"/>
            <w:tcBorders>
              <w:top w:val="single" w:sz="4" w:space="0" w:color="2F5496" w:themeColor="accent5" w:themeShade="BF"/>
              <w:left w:val="single" w:sz="4" w:space="0" w:color="001D77"/>
            </w:tcBorders>
            <w:shd w:val="clear" w:color="auto" w:fill="auto"/>
          </w:tcPr>
          <w:p w:rsidR="004C6810" w:rsidRPr="004C6810" w:rsidRDefault="004C6810" w:rsidP="004C681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10">
              <w:rPr>
                <w:rFonts w:eastAsia="Times New Roman" w:cs="Calibri"/>
                <w:sz w:val="16"/>
                <w:szCs w:val="16"/>
                <w:lang w:eastAsia="pl-PL"/>
              </w:rPr>
              <w:t>2,2</w:t>
            </w:r>
          </w:p>
        </w:tc>
      </w:tr>
    </w:tbl>
    <w:p w:rsidR="00930BB2" w:rsidRPr="005160F9" w:rsidRDefault="00930BB2" w:rsidP="00930BB2">
      <w:pPr>
        <w:spacing w:before="0" w:after="0"/>
        <w:rPr>
          <w:rFonts w:eastAsia="Times New Roman" w:cs="Times New Roman"/>
          <w:bCs/>
          <w:color w:val="001D77"/>
          <w:szCs w:val="19"/>
          <w:lang w:eastAsia="pl-PL"/>
        </w:rPr>
      </w:pPr>
    </w:p>
    <w:p w:rsidR="00AD1169" w:rsidRDefault="00C748E3" w:rsidP="00C748E3">
      <w:pPr>
        <w:spacing w:before="0" w:after="160" w:line="259" w:lineRule="auto"/>
        <w:rPr>
          <w:b/>
        </w:rPr>
      </w:pPr>
      <w:r>
        <w:rPr>
          <w:b/>
        </w:rPr>
        <w:br w:type="page"/>
      </w:r>
    </w:p>
    <w:p w:rsidR="00930BB2" w:rsidRPr="00C36A86" w:rsidRDefault="00930BB2" w:rsidP="00930BB2">
      <w:pPr>
        <w:pStyle w:val="Nagwek1"/>
        <w:spacing w:before="0" w:after="0"/>
        <w:rPr>
          <w:rFonts w:ascii="Fira Sans" w:hAnsi="Fira Sans"/>
          <w:b/>
        </w:rPr>
      </w:pPr>
      <w:r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4E1AE3C" wp14:editId="40E6126E">
                <wp:simplePos x="0" y="0"/>
                <wp:positionH relativeFrom="rightMargin">
                  <wp:align>left</wp:align>
                </wp:positionH>
                <wp:positionV relativeFrom="paragraph">
                  <wp:posOffset>83940</wp:posOffset>
                </wp:positionV>
                <wp:extent cx="1667510" cy="852170"/>
                <wp:effectExtent l="0" t="0" r="0" b="5080"/>
                <wp:wrapTight wrapText="bothSides">
                  <wp:wrapPolygon edited="0">
                    <wp:start x="740" y="0"/>
                    <wp:lineTo x="740" y="21246"/>
                    <wp:lineTo x="20728" y="21246"/>
                    <wp:lineTo x="20728" y="0"/>
                    <wp:lineTo x="740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852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350CCF" w:rsidRDefault="002463D2" w:rsidP="00930BB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Liczba wypłaconych dodatków mieszkaniowych zmniejszyła się o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10,8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%, a</w:t>
                            </w:r>
                            <w:r w:rsidR="00570D80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ich kwota o </w:t>
                            </w:r>
                            <w:r w:rsidRPr="003B70F7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11,0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1AE3C" id="Pole tekstowe 16" o:spid="_x0000_s1043" type="#_x0000_t202" style="position:absolute;margin-left:0;margin-top:6.6pt;width:131.3pt;height:67.1pt;z-index:-2515793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DnEQIAAAEEAAAOAAAAZHJzL2Uyb0RvYy54bWysU9uO0zAQfUfiHyy/07RVL9uo6WrZZRHS&#10;AistfMDUcRprbY+x3Sbl6xk7bangDZEHy854zsw5c7y+7Y1mB+mDQlvxyWjMmbQCa2V3Ff/+7fHd&#10;DWchgq1Bo5UVP8rAbzdv36w7V8optqhr6RmB2FB2ruJtjK4siiBaaSCM0ElLwQa9gUhHvytqDx2h&#10;G11Mx+NF0aGvnUchQ6C/D0OQbzJ+00gRvzZNkJHpilNvMa8+r9u0Fps1lDsPrlXi1Ab8QxcGlKWi&#10;F6gHiMD2Xv0FZZTwGLCJI4GmwKZRQmYOxGYy/oPNSwtOZi4kTnAXmcL/gxVfDs+eqZpmt+DMgqEZ&#10;PaOWLMrXELGTjP6TSJ0LJd19cXQ79u+xp4RMOLgnFK+BWbxvwe7knffYtRJqanKSMour1AEnJJBt&#10;9xlrKgb7iBmob7xJCpImjNBpWMfLgGQfmUglF4vlfEIhQbGb+XSxmuYSUJ6znQ/xo0TD0qbingyQ&#10;0eHwFGLqBsrzlVTM4qPSOptAW9ZVfDWfznPCVcSoSB7VylDNcfoG1ySSH2ydkyMoPeypgLYn1ono&#10;QDn2235QeXlWc4v1kXTwOHiS3hBtWvQ/OevIjxUPP/bgJWf6kyUtV5PZLBk4H2bz5ZQO/jqyvY6A&#10;FQRV8cjZsL2P2fQD5zvSvFFZjjScoZNTz+SzrNLpTSQjX5/zrd8vd/MLAAD//wMAUEsDBBQABgAI&#10;AAAAIQAz5rGo2wAAAAcBAAAPAAAAZHJzL2Rvd25yZXYueG1sTI/NTsQwDITvSLxDZCRubEIpBUrT&#10;FQJxBbH8SNy8jbetaJyqyW7L22NOcJwZa+ZztV78oA40xT6whfOVAUXcBNdza+Ht9fHsGlRMyA6H&#10;wGThmyKs6+OjCksXZn6hwya1Sko4lmihS2kstY5NRx7jKozEku3C5DGJnFrtJpyl3A86M6bQHnuW&#10;hQ5Huu+o+drsvYX3p93nR26e2wd/Oc5hMZr9jbb29GS5uwWVaEl/x/CLL+hQC9M27NlFNViQR5K4&#10;FxkoSbMiK0BtxcivctB1pf/z1z8AAAD//wMAUEsBAi0AFAAGAAgAAAAhALaDOJL+AAAA4QEAABMA&#10;AAAAAAAAAAAAAAAAAAAAAFtDb250ZW50X1R5cGVzXS54bWxQSwECLQAUAAYACAAAACEAOP0h/9YA&#10;AACUAQAACwAAAAAAAAAAAAAAAAAvAQAAX3JlbHMvLnJlbHNQSwECLQAUAAYACAAAACEArvIA5xEC&#10;AAABBAAADgAAAAAAAAAAAAAAAAAuAgAAZHJzL2Uyb0RvYy54bWxQSwECLQAUAAYACAAAACEAM+ax&#10;qNsAAAAHAQAADwAAAAAAAAAAAAAAAABrBAAAZHJzL2Rvd25yZXYueG1sUEsFBgAAAAAEAAQA8wAA&#10;AHMFAAAAAA==&#10;" filled="f" stroked="f">
                <v:textbox>
                  <w:txbxContent>
                    <w:p w:rsidR="002463D2" w:rsidRPr="00350CCF" w:rsidRDefault="002463D2" w:rsidP="00930BB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Liczba wypłaconych dodatków mieszkaniowych zmniejszyła się o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10,8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%, a</w:t>
                      </w:r>
                      <w:r w:rsidR="00570D80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ich kwota o </w:t>
                      </w:r>
                      <w:r w:rsidRPr="003B70F7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11,0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Fira Sans" w:hAnsi="Fira Sans"/>
          <w:b/>
        </w:rPr>
        <w:t>Dodatki mieszkaniowe</w:t>
      </w:r>
    </w:p>
    <w:p w:rsidR="00930BB2" w:rsidRPr="00DD16F5" w:rsidRDefault="00930BB2" w:rsidP="00930BB2">
      <w:pPr>
        <w:spacing w:before="0" w:after="0" w:line="240" w:lineRule="auto"/>
        <w:rPr>
          <w:szCs w:val="19"/>
          <w:lang w:eastAsia="pl-PL"/>
        </w:rPr>
      </w:pPr>
    </w:p>
    <w:p w:rsidR="007B7F3C" w:rsidRPr="00154F47" w:rsidRDefault="00AD1169" w:rsidP="007B7F3C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 2018 r. wypłacono ok. 3,2</w:t>
      </w:r>
      <w:r w:rsidR="007B7F3C" w:rsidRPr="00154F47">
        <w:rPr>
          <w:shd w:val="clear" w:color="auto" w:fill="FFFFFF"/>
        </w:rPr>
        <w:t xml:space="preserve"> mln dodatków mies</w:t>
      </w:r>
      <w:r>
        <w:rPr>
          <w:shd w:val="clear" w:color="auto" w:fill="FFFFFF"/>
        </w:rPr>
        <w:t>zkaniowych na łączną kwotę 664,8</w:t>
      </w:r>
      <w:r w:rsidR="007B7F3C" w:rsidRPr="00154F47">
        <w:rPr>
          <w:shd w:val="clear" w:color="auto" w:fill="FFFFFF"/>
        </w:rPr>
        <w:t xml:space="preserve"> mln </w:t>
      </w:r>
      <w:r w:rsidR="00373A8A">
        <w:rPr>
          <w:shd w:val="clear" w:color="auto" w:fill="FFFFFF"/>
        </w:rPr>
        <w:t>PLN</w:t>
      </w:r>
      <w:r w:rsidR="007B7F3C" w:rsidRPr="00154F47">
        <w:rPr>
          <w:shd w:val="clear" w:color="auto" w:fill="FFFFFF"/>
        </w:rPr>
        <w:t>. Analogicznie do roku poprzedniego, najwięcej dodatków mieszkaniowych wypłacono użytkownikom lokali gminnych, tj. 40,</w:t>
      </w:r>
      <w:r>
        <w:rPr>
          <w:shd w:val="clear" w:color="auto" w:fill="FFFFFF"/>
        </w:rPr>
        <w:t>8</w:t>
      </w:r>
      <w:r w:rsidR="007B7F3C" w:rsidRPr="00154F47">
        <w:rPr>
          <w:shd w:val="clear" w:color="auto" w:fill="FFFFFF"/>
        </w:rPr>
        <w:t>% oraz lokali spółdzielczych – 26</w:t>
      </w:r>
      <w:r>
        <w:rPr>
          <w:shd w:val="clear" w:color="auto" w:fill="FFFFFF"/>
        </w:rPr>
        <w:t>,2</w:t>
      </w:r>
      <w:r w:rsidR="007B7F3C" w:rsidRPr="00154F47">
        <w:rPr>
          <w:shd w:val="clear" w:color="auto" w:fill="FFFFFF"/>
        </w:rPr>
        <w:t>%, najmniej zaś uzyskali użytkownicy mieszkań towarzystw budownictwa społecznego – 2,0% oraz innych podmiotów – 5,</w:t>
      </w:r>
      <w:r>
        <w:rPr>
          <w:shd w:val="clear" w:color="auto" w:fill="FFFFFF"/>
        </w:rPr>
        <w:t>9</w:t>
      </w:r>
      <w:r w:rsidR="007B7F3C" w:rsidRPr="00154F47">
        <w:rPr>
          <w:shd w:val="clear" w:color="auto" w:fill="FFFFFF"/>
        </w:rPr>
        <w:t>%.</w:t>
      </w:r>
    </w:p>
    <w:p w:rsidR="00930BB2" w:rsidRPr="00F0243D" w:rsidRDefault="007B7F3C" w:rsidP="007B7F3C">
      <w:pPr>
        <w:spacing w:before="0" w:after="0"/>
        <w:rPr>
          <w:spacing w:val="-2"/>
          <w:szCs w:val="19"/>
        </w:rPr>
      </w:pPr>
      <w:r w:rsidRPr="00154F47">
        <w:rPr>
          <w:spacing w:val="-2"/>
          <w:szCs w:val="19"/>
        </w:rPr>
        <w:t>Przeciętna wysokość dodatków mieszkaniowych wyniosła 20</w:t>
      </w:r>
      <w:r w:rsidR="00AD1169">
        <w:rPr>
          <w:spacing w:val="-2"/>
          <w:szCs w:val="19"/>
        </w:rPr>
        <w:t>5,4</w:t>
      </w:r>
      <w:r w:rsidRPr="00154F47">
        <w:rPr>
          <w:spacing w:val="-2"/>
          <w:szCs w:val="19"/>
        </w:rPr>
        <w:t xml:space="preserve"> </w:t>
      </w:r>
      <w:r w:rsidR="00373A8A">
        <w:rPr>
          <w:spacing w:val="-2"/>
          <w:szCs w:val="19"/>
        </w:rPr>
        <w:t>PLN</w:t>
      </w:r>
      <w:r w:rsidRPr="00154F47">
        <w:rPr>
          <w:spacing w:val="-2"/>
          <w:szCs w:val="19"/>
        </w:rPr>
        <w:t xml:space="preserve">. Najwyższa przeciętna kwota dodatku została wypłacona użytkownikom lokali pozostających w zasobie </w:t>
      </w:r>
      <w:r w:rsidR="00AD1169">
        <w:rPr>
          <w:spacing w:val="-2"/>
          <w:szCs w:val="19"/>
        </w:rPr>
        <w:t>prywatnym</w:t>
      </w:r>
      <w:r w:rsidRPr="00154F47">
        <w:rPr>
          <w:spacing w:val="-2"/>
          <w:szCs w:val="19"/>
        </w:rPr>
        <w:t xml:space="preserve"> – 250,</w:t>
      </w:r>
      <w:r w:rsidR="00AD1169">
        <w:rPr>
          <w:spacing w:val="-2"/>
          <w:szCs w:val="19"/>
        </w:rPr>
        <w:t>9</w:t>
      </w:r>
      <w:r w:rsidRPr="00154F47">
        <w:rPr>
          <w:spacing w:val="-2"/>
          <w:szCs w:val="19"/>
        </w:rPr>
        <w:t xml:space="preserve"> </w:t>
      </w:r>
      <w:r w:rsidR="00373A8A">
        <w:rPr>
          <w:spacing w:val="-2"/>
          <w:szCs w:val="19"/>
        </w:rPr>
        <w:t>PLN</w:t>
      </w:r>
      <w:r w:rsidRPr="00154F47">
        <w:rPr>
          <w:spacing w:val="-2"/>
          <w:szCs w:val="19"/>
        </w:rPr>
        <w:t>, a</w:t>
      </w:r>
      <w:r w:rsidR="00C748E3">
        <w:rPr>
          <w:spacing w:val="-2"/>
          <w:szCs w:val="19"/>
        </w:rPr>
        <w:t> </w:t>
      </w:r>
      <w:r w:rsidRPr="00154F47">
        <w:rPr>
          <w:spacing w:val="-2"/>
          <w:szCs w:val="19"/>
        </w:rPr>
        <w:t xml:space="preserve">najniższa – użytkownikom lokali pozostających w zasobie wspólnot mieszkaniowych – </w:t>
      </w:r>
      <w:r w:rsidR="004514A2" w:rsidRPr="00154F47">
        <w:rPr>
          <w:spacing w:val="-2"/>
          <w:szCs w:val="19"/>
        </w:rPr>
        <w:t>182,1</w:t>
      </w:r>
      <w:r w:rsidRPr="00154F47">
        <w:rPr>
          <w:spacing w:val="-2"/>
          <w:szCs w:val="19"/>
        </w:rPr>
        <w:t xml:space="preserve"> </w:t>
      </w:r>
      <w:r w:rsidR="00373A8A">
        <w:rPr>
          <w:spacing w:val="-2"/>
          <w:szCs w:val="19"/>
        </w:rPr>
        <w:t>PLN</w:t>
      </w:r>
      <w:r w:rsidR="00930BB2" w:rsidRPr="00F0243D">
        <w:rPr>
          <w:spacing w:val="-2"/>
          <w:szCs w:val="19"/>
        </w:rPr>
        <w:t>.</w:t>
      </w:r>
    </w:p>
    <w:p w:rsidR="00930BB2" w:rsidRPr="00F0243D" w:rsidRDefault="00930BB2" w:rsidP="00930BB2">
      <w:pPr>
        <w:spacing w:before="0" w:after="0"/>
        <w:rPr>
          <w:spacing w:val="-2"/>
          <w:szCs w:val="19"/>
        </w:rPr>
      </w:pPr>
    </w:p>
    <w:p w:rsidR="00930BB2" w:rsidRPr="00F0243D" w:rsidRDefault="00930BB2" w:rsidP="00930BB2">
      <w:pPr>
        <w:spacing w:before="0" w:after="0"/>
        <w:rPr>
          <w:b/>
          <w:spacing w:val="-2"/>
          <w:sz w:val="18"/>
        </w:rPr>
      </w:pPr>
      <w:r w:rsidRPr="00F0243D">
        <w:rPr>
          <w:b/>
          <w:spacing w:val="-2"/>
          <w:sz w:val="18"/>
        </w:rPr>
        <w:t xml:space="preserve">Tablica </w:t>
      </w:r>
      <w:r w:rsidR="00093FCD">
        <w:rPr>
          <w:b/>
          <w:spacing w:val="-2"/>
          <w:sz w:val="18"/>
        </w:rPr>
        <w:t>9</w:t>
      </w:r>
      <w:r w:rsidRPr="00F0243D">
        <w:rPr>
          <w:b/>
          <w:spacing w:val="-2"/>
          <w:sz w:val="18"/>
        </w:rPr>
        <w:t>. Dodatki mieszkaniowe</w:t>
      </w:r>
    </w:p>
    <w:p w:rsidR="00930BB2" w:rsidRPr="005160F9" w:rsidRDefault="00930BB2" w:rsidP="00930BB2">
      <w:pPr>
        <w:spacing w:before="0" w:after="0"/>
        <w:rPr>
          <w:szCs w:val="19"/>
          <w:shd w:val="clear" w:color="auto" w:fill="FFFFFF"/>
        </w:rPr>
      </w:pPr>
    </w:p>
    <w:tbl>
      <w:tblPr>
        <w:tblW w:w="787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850"/>
        <w:gridCol w:w="987"/>
        <w:gridCol w:w="872"/>
        <w:gridCol w:w="930"/>
      </w:tblGrid>
      <w:tr w:rsidR="008975D3" w:rsidRPr="00F0243D" w:rsidTr="008975D3">
        <w:trPr>
          <w:trHeight w:val="315"/>
        </w:trPr>
        <w:tc>
          <w:tcPr>
            <w:tcW w:w="4239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F0243D" w:rsidRDefault="008975D3" w:rsidP="008975D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850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154F47" w:rsidRDefault="008975D3" w:rsidP="008975D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87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154F47" w:rsidRDefault="008975D3" w:rsidP="008975D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2016 = 100</w:t>
            </w:r>
          </w:p>
        </w:tc>
        <w:tc>
          <w:tcPr>
            <w:tcW w:w="872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154F47" w:rsidRDefault="008975D3" w:rsidP="008975D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30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154F47" w:rsidRDefault="008975D3" w:rsidP="008975D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2017 = 100</w:t>
            </w:r>
          </w:p>
        </w:tc>
      </w:tr>
      <w:tr w:rsidR="008975D3" w:rsidRPr="00F0243D" w:rsidTr="008975D3">
        <w:trPr>
          <w:trHeight w:val="330"/>
        </w:trPr>
        <w:tc>
          <w:tcPr>
            <w:tcW w:w="4239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F0243D" w:rsidRDefault="008975D3" w:rsidP="008975D3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Liczba wypłaconych dodatków mieszkaniowych w tys.</w:t>
            </w:r>
          </w:p>
        </w:tc>
        <w:tc>
          <w:tcPr>
            <w:tcW w:w="850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154F47" w:rsidRDefault="008975D3" w:rsidP="008975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3 627,7</w:t>
            </w:r>
          </w:p>
        </w:tc>
        <w:tc>
          <w:tcPr>
            <w:tcW w:w="987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154F47" w:rsidRDefault="008975D3" w:rsidP="008975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90,8 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154F47" w:rsidRDefault="00AD1169" w:rsidP="00570D8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3 235,9</w:t>
            </w:r>
          </w:p>
        </w:tc>
        <w:tc>
          <w:tcPr>
            <w:tcW w:w="930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975D3" w:rsidRPr="00154F47" w:rsidRDefault="00AD1169" w:rsidP="008975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89,2</w:t>
            </w:r>
          </w:p>
        </w:tc>
      </w:tr>
      <w:tr w:rsidR="008975D3" w:rsidRPr="00F0243D" w:rsidTr="008975D3">
        <w:trPr>
          <w:trHeight w:val="315"/>
        </w:trPr>
        <w:tc>
          <w:tcPr>
            <w:tcW w:w="4239" w:type="dxa"/>
            <w:shd w:val="clear" w:color="auto" w:fill="auto"/>
            <w:vAlign w:val="center"/>
            <w:hideMark/>
          </w:tcPr>
          <w:p w:rsidR="008975D3" w:rsidRPr="00F0243D" w:rsidRDefault="008975D3" w:rsidP="00373A8A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 xml:space="preserve">Kwota dodatków mieszkaniowych w tys. </w:t>
            </w:r>
            <w:r w:rsidR="00373A8A">
              <w:rPr>
                <w:rFonts w:eastAsia="Times New Roman" w:cs="Calibr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975D3" w:rsidRPr="00154F47" w:rsidRDefault="008975D3" w:rsidP="008975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 746 760,2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8975D3" w:rsidRPr="00154F47" w:rsidRDefault="008975D3" w:rsidP="008975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91,4 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8975D3" w:rsidRPr="00154F47" w:rsidRDefault="004514A2" w:rsidP="00AD116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664</w:t>
            </w:r>
            <w:r w:rsidR="00AD1169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="00AD1169">
              <w:rPr>
                <w:rFonts w:eastAsia="Times New Roman" w:cs="Calibri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8975D3" w:rsidRPr="00154F47" w:rsidRDefault="008975D3" w:rsidP="008975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89,0</w:t>
            </w:r>
          </w:p>
        </w:tc>
      </w:tr>
      <w:tr w:rsidR="008975D3" w:rsidRPr="00F0243D" w:rsidTr="008975D3">
        <w:trPr>
          <w:trHeight w:val="315"/>
        </w:trPr>
        <w:tc>
          <w:tcPr>
            <w:tcW w:w="4239" w:type="dxa"/>
            <w:shd w:val="clear" w:color="auto" w:fill="auto"/>
            <w:vAlign w:val="center"/>
          </w:tcPr>
          <w:p w:rsidR="008975D3" w:rsidRPr="00F0243D" w:rsidRDefault="008975D3" w:rsidP="00373A8A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 xml:space="preserve">Przeciętna wysokość dodatku w </w:t>
            </w:r>
            <w:r w:rsidR="00373A8A">
              <w:rPr>
                <w:rFonts w:eastAsia="Times New Roman" w:cs="Calibr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75D3" w:rsidRPr="00154F47" w:rsidRDefault="008975D3" w:rsidP="008975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205,9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8975D3" w:rsidRPr="00154F47" w:rsidRDefault="008975D3" w:rsidP="008975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54F47">
              <w:rPr>
                <w:rFonts w:eastAsia="Times New Roman" w:cs="Calibri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975D3" w:rsidRPr="00154F47" w:rsidRDefault="00AD1169" w:rsidP="004514A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205,4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8975D3" w:rsidRPr="00154F47" w:rsidRDefault="00AD1169" w:rsidP="008975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99,8</w:t>
            </w:r>
          </w:p>
        </w:tc>
      </w:tr>
    </w:tbl>
    <w:p w:rsidR="00930BB2" w:rsidRPr="00347A69" w:rsidRDefault="00930BB2" w:rsidP="00930BB2">
      <w:pPr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930BB2" w:rsidRPr="00347A69" w:rsidRDefault="00930BB2" w:rsidP="00930BB2">
      <w:pPr>
        <w:pStyle w:val="Nagwek1"/>
        <w:spacing w:before="0" w:after="0"/>
        <w:rPr>
          <w:rFonts w:ascii="Fira Sans" w:hAnsi="Fira Sans"/>
          <w:b/>
          <w:szCs w:val="19"/>
        </w:rPr>
      </w:pPr>
      <w:r w:rsidRPr="00347A69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09BFE4C4" wp14:editId="21B7DD64">
                <wp:simplePos x="0" y="0"/>
                <wp:positionH relativeFrom="rightMargin">
                  <wp:align>left</wp:align>
                </wp:positionH>
                <wp:positionV relativeFrom="paragraph">
                  <wp:posOffset>75703</wp:posOffset>
                </wp:positionV>
                <wp:extent cx="1743710" cy="1447800"/>
                <wp:effectExtent l="0" t="0" r="0" b="0"/>
                <wp:wrapTight wrapText="bothSides">
                  <wp:wrapPolygon edited="0">
                    <wp:start x="708" y="0"/>
                    <wp:lineTo x="708" y="21316"/>
                    <wp:lineTo x="20766" y="21316"/>
                    <wp:lineTo x="20766" y="0"/>
                    <wp:lineTo x="708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Pr="00E33B28" w:rsidRDefault="002463D2" w:rsidP="008D3DDD">
                            <w:pPr>
                              <w:pStyle w:val="tekstzboku"/>
                            </w:pPr>
                            <w:r w:rsidRPr="00E33B28">
                              <w:t xml:space="preserve">Gminy posiadały </w:t>
                            </w:r>
                            <w:r w:rsidRPr="00C748E3">
                              <w:t xml:space="preserve">28 308,6 </w:t>
                            </w:r>
                            <w:r w:rsidRPr="00E33B28">
                              <w:t xml:space="preserve">ha gruntów niezabudowanych przeznaczonych pod budownictwo mieszkaniowe, z czego pod budownictwo jednorodzinne </w:t>
                            </w:r>
                            <w:r w:rsidRPr="00C748E3">
                              <w:t>78,7</w:t>
                            </w:r>
                            <w:r w:rsidRPr="00E33B28">
                              <w:t>% ogólnej ich powierzchni</w:t>
                            </w:r>
                          </w:p>
                          <w:p w:rsidR="002463D2" w:rsidRPr="00E33B28" w:rsidRDefault="002463D2" w:rsidP="00930BB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FE4C4" id="Pole tekstowe 25" o:spid="_x0000_s1044" type="#_x0000_t202" style="position:absolute;margin-left:0;margin-top:5.95pt;width:137.3pt;height:114pt;z-index:-25157529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E55EgIAAAIEAAAOAAAAZHJzL2Uyb0RvYy54bWysU9Fu2yAUfZ+0f0C8L7azZEmtkKpr12lS&#10;t1Xq9gEE4xgVuAxI7Ozre8FJFnVv0/yAuL5w7j3nHlbXg9FkL31QYBmtJiUl0gpolN0y+vPH/bsl&#10;JSFy23ANVjJ6kIFer9++WfWullPoQDfSEwSxoe4do12Mri6KIDppeJiAkxaTLXjDI4Z+WzSe94hu&#10;dDEtyw9FD75xHoQMAf/ejUm6zvhtK0X83rZBRqIZxd5iXn1eN2kt1itebz13nRLHNvg/dGG4slj0&#10;DHXHIyc7r/6CMkp4CNDGiQBTQNsqITMHZFOVr9g8ddzJzAXFCe4sU/h/sOLb/tET1TA6nVNiucEZ&#10;PYKWJMrnEKGXBP+jSL0LNZ59cng6Dh9hwGFnwsE9gHgOxMJtx+1W3ngPfSd5g01W6WZxcXXECQlk&#10;03+FBovxXYQMNLTeJAVRE4LoOKzDeUByiESkkovZ+0WFKYG5ajZbLMs8woLXp+vOh/hZgiFpw6hH&#10;B2R4vn8IMbXD69ORVM3CvdI6u0Bb0jN6NUfCrzJGRTSpVoZRLIjfaJvE8pNt8uXIlR73WEDbI+3E&#10;dOQch82QZa6WJzk30BxQCA+jKfER4aYD/5uSHg3JaPi1415Sor9YFPMK+SYH52A2X0wx8JeZzWWG&#10;W4FQjEZKxu1tzK4fmd2g6K3KcqTpjJ0ce0ajZZWOjyI5+TLOp/483fULAAAA//8DAFBLAwQUAAYA&#10;CAAAACEAeUpbPdwAAAAHAQAADwAAAGRycy9kb3ducmV2LnhtbEyPQU/DMAyF70j8h8hI3FiyMTZa&#10;mk4IxBXEYEjcvMZrKxqnarK1/HvMCW5+ftZ7n4vN5Dt1oiG2gS3MZwYUcRVcy7WF97enq1tQMSE7&#10;7AKThW+KsCnPzwrMXRj5lU7bVCsJ4ZijhSalPtc6Vg15jLPQE4t3CIPHJHKotRtwlHDf6YUxK+2x&#10;ZWlosKeHhqqv7dFb2D0fPj+W5qV+9Df9GCaj2Wfa2suL6f4OVKIp/R3DL76gQylM+3BkF1VnQR5J&#10;sp1noMRdrJcrUHsZrrMMdFno//zlDwAAAP//AwBQSwECLQAUAAYACAAAACEAtoM4kv4AAADhAQAA&#10;EwAAAAAAAAAAAAAAAAAAAAAAW0NvbnRlbnRfVHlwZXNdLnhtbFBLAQItABQABgAIAAAAIQA4/SH/&#10;1gAAAJQBAAALAAAAAAAAAAAAAAAAAC8BAABfcmVscy8ucmVsc1BLAQItABQABgAIAAAAIQCp/E55&#10;EgIAAAIEAAAOAAAAAAAAAAAAAAAAAC4CAABkcnMvZTJvRG9jLnhtbFBLAQItABQABgAIAAAAIQB5&#10;Sls93AAAAAcBAAAPAAAAAAAAAAAAAAAAAGwEAABkcnMvZG93bnJldi54bWxQSwUGAAAAAAQABADz&#10;AAAAdQUAAAAA&#10;" filled="f" stroked="f">
                <v:textbox>
                  <w:txbxContent>
                    <w:p w:rsidR="002463D2" w:rsidRPr="00E33B28" w:rsidRDefault="002463D2" w:rsidP="008D3DDD">
                      <w:pPr>
                        <w:pStyle w:val="tekstzboku"/>
                      </w:pPr>
                      <w:r w:rsidRPr="00E33B28">
                        <w:t xml:space="preserve">Gminy posiadały </w:t>
                      </w:r>
                      <w:r w:rsidRPr="00C748E3">
                        <w:t xml:space="preserve">28 308,6 </w:t>
                      </w:r>
                      <w:r w:rsidRPr="00E33B28">
                        <w:t xml:space="preserve">ha gruntów niezabudowanych przeznaczonych pod budownictwo mieszkaniowe, z czego pod budownictwo jednorodzinne </w:t>
                      </w:r>
                      <w:r w:rsidRPr="00C748E3">
                        <w:t>78,7</w:t>
                      </w:r>
                      <w:r w:rsidRPr="00E33B28">
                        <w:t>% ogólnej ich powierzchni</w:t>
                      </w:r>
                    </w:p>
                    <w:p w:rsidR="002463D2" w:rsidRPr="00E33B28" w:rsidRDefault="002463D2" w:rsidP="00930BB2">
                      <w:pPr>
                        <w:pStyle w:val="tekstzboku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47A69">
        <w:rPr>
          <w:rFonts w:ascii="Fira Sans" w:hAnsi="Fira Sans"/>
          <w:b/>
          <w:szCs w:val="19"/>
        </w:rPr>
        <w:t>Gospodarka gruntami pod budownictwo mieszkaniowe</w:t>
      </w:r>
    </w:p>
    <w:p w:rsidR="00930BB2" w:rsidRPr="00DD16F5" w:rsidRDefault="00930BB2" w:rsidP="00930BB2">
      <w:pPr>
        <w:spacing w:before="0" w:after="0" w:line="240" w:lineRule="auto"/>
        <w:rPr>
          <w:szCs w:val="19"/>
          <w:lang w:eastAsia="pl-PL"/>
        </w:rPr>
      </w:pPr>
    </w:p>
    <w:p w:rsidR="008D3DDD" w:rsidRPr="00154F47" w:rsidRDefault="008D3DDD" w:rsidP="008D3DDD">
      <w:pPr>
        <w:spacing w:before="0" w:after="0"/>
        <w:rPr>
          <w:shd w:val="clear" w:color="auto" w:fill="FFFFFF"/>
        </w:rPr>
      </w:pPr>
      <w:r w:rsidRPr="00B428F8">
        <w:rPr>
          <w:shd w:val="clear" w:color="auto" w:fill="FFFFFF"/>
        </w:rPr>
        <w:t xml:space="preserve">W odniesieniu do gruntów z przeznaczeniem pod budownictwo mieszkaniowe </w:t>
      </w:r>
      <w:r w:rsidR="00373A8A">
        <w:rPr>
          <w:shd w:val="clear" w:color="auto" w:fill="FFFFFF"/>
        </w:rPr>
        <w:t>będących</w:t>
      </w:r>
      <w:r w:rsidR="00570D80">
        <w:rPr>
          <w:shd w:val="clear" w:color="auto" w:fill="FFFFFF"/>
        </w:rPr>
        <w:t xml:space="preserve"> w </w:t>
      </w:r>
      <w:r w:rsidR="00373A8A" w:rsidRPr="00B428F8">
        <w:rPr>
          <w:shd w:val="clear" w:color="auto" w:fill="FFFFFF"/>
        </w:rPr>
        <w:t xml:space="preserve">zasobach gmin </w:t>
      </w:r>
      <w:r>
        <w:rPr>
          <w:shd w:val="clear" w:color="auto" w:fill="FFFFFF"/>
        </w:rPr>
        <w:t xml:space="preserve">na </w:t>
      </w:r>
      <w:r w:rsidRPr="00154F47">
        <w:rPr>
          <w:shd w:val="clear" w:color="auto" w:fill="FFFFFF"/>
        </w:rPr>
        <w:t xml:space="preserve">koniec 2018 r. </w:t>
      </w:r>
      <w:r w:rsidR="00570D80">
        <w:rPr>
          <w:shd w:val="clear" w:color="auto" w:fill="FFFFFF"/>
        </w:rPr>
        <w:t xml:space="preserve">około </w:t>
      </w:r>
      <w:r w:rsidRPr="00154F47">
        <w:rPr>
          <w:shd w:val="clear" w:color="auto" w:fill="FFFFFF"/>
        </w:rPr>
        <w:t>56,8% znajdowało się na terenach miejskich, z czego 64,9% gruntów przeznaczonych było pod budownictwo jednorodzinne.</w:t>
      </w:r>
    </w:p>
    <w:p w:rsidR="008D3DDD" w:rsidRPr="00154F47" w:rsidRDefault="008D3DDD" w:rsidP="008D3DDD">
      <w:pPr>
        <w:spacing w:before="0" w:after="0"/>
        <w:rPr>
          <w:shd w:val="clear" w:color="auto" w:fill="FFFFFF"/>
        </w:rPr>
      </w:pPr>
      <w:r w:rsidRPr="00154F47">
        <w:rPr>
          <w:shd w:val="clear" w:color="auto" w:fill="FFFFFF"/>
        </w:rPr>
        <w:t xml:space="preserve">Z ogólnej powierzchni gruntów przeznaczonych pod budownictwo mieszkaniowe </w:t>
      </w:r>
      <w:r w:rsidR="00331D50" w:rsidRPr="00154F47">
        <w:rPr>
          <w:shd w:val="clear" w:color="auto" w:fill="FFFFFF"/>
        </w:rPr>
        <w:t>45,2</w:t>
      </w:r>
      <w:r w:rsidRPr="00154F47">
        <w:rPr>
          <w:shd w:val="clear" w:color="auto" w:fill="FFFFFF"/>
        </w:rPr>
        <w:t xml:space="preserve">% stanowiły grunty </w:t>
      </w:r>
      <w:r w:rsidR="00331D50" w:rsidRPr="00154F47">
        <w:rPr>
          <w:shd w:val="clear" w:color="auto" w:fill="FFFFFF"/>
        </w:rPr>
        <w:t>uzbrojone</w:t>
      </w:r>
      <w:r w:rsidRPr="00154F47">
        <w:rPr>
          <w:shd w:val="clear" w:color="auto" w:fill="FFFFFF"/>
        </w:rPr>
        <w:t xml:space="preserve"> (z czego </w:t>
      </w:r>
      <w:r w:rsidR="005326B1">
        <w:rPr>
          <w:shd w:val="clear" w:color="auto" w:fill="FFFFFF"/>
        </w:rPr>
        <w:t>61</w:t>
      </w:r>
      <w:r w:rsidR="00331D50" w:rsidRPr="00154F47">
        <w:rPr>
          <w:shd w:val="clear" w:color="auto" w:fill="FFFFFF"/>
        </w:rPr>
        <w:t>,</w:t>
      </w:r>
      <w:r w:rsidR="005326B1">
        <w:rPr>
          <w:shd w:val="clear" w:color="auto" w:fill="FFFFFF"/>
        </w:rPr>
        <w:t>6</w:t>
      </w:r>
      <w:r w:rsidRPr="00154F47">
        <w:rPr>
          <w:shd w:val="clear" w:color="auto" w:fill="FFFFFF"/>
        </w:rPr>
        <w:t xml:space="preserve">% </w:t>
      </w:r>
      <w:r w:rsidR="00570D80">
        <w:rPr>
          <w:shd w:val="clear" w:color="auto" w:fill="FFFFFF"/>
        </w:rPr>
        <w:t>znajdowało się</w:t>
      </w:r>
      <w:r w:rsidR="00331D50" w:rsidRPr="00154F47">
        <w:rPr>
          <w:shd w:val="clear" w:color="auto" w:fill="FFFFFF"/>
        </w:rPr>
        <w:t xml:space="preserve"> na terenach miejskich).</w:t>
      </w:r>
    </w:p>
    <w:p w:rsidR="002A4300" w:rsidRPr="00001C5B" w:rsidRDefault="008D3DDD" w:rsidP="00E76D26">
      <w:pPr>
        <w:rPr>
          <w:sz w:val="18"/>
        </w:rPr>
        <w:sectPr w:rsidR="002A4300" w:rsidRPr="00001C5B" w:rsidSect="00D02CC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2975" w:bottom="720" w:left="720" w:header="284" w:footer="284" w:gutter="0"/>
          <w:cols w:space="708"/>
          <w:titlePg/>
          <w:docGrid w:linePitch="360"/>
        </w:sectPr>
      </w:pPr>
      <w:r w:rsidRPr="00154F47">
        <w:rPr>
          <w:shd w:val="clear" w:color="auto" w:fill="FFFFFF"/>
        </w:rPr>
        <w:t>W 201</w:t>
      </w:r>
      <w:r w:rsidR="00EB2893" w:rsidRPr="00154F47">
        <w:rPr>
          <w:shd w:val="clear" w:color="auto" w:fill="FFFFFF"/>
        </w:rPr>
        <w:t>8</w:t>
      </w:r>
      <w:r w:rsidRPr="00154F47">
        <w:rPr>
          <w:shd w:val="clear" w:color="auto" w:fill="FFFFFF"/>
        </w:rPr>
        <w:t xml:space="preserve"> r. gminy przekazały inwestorom 874,</w:t>
      </w:r>
      <w:r w:rsidR="004514A2" w:rsidRPr="00154F47">
        <w:rPr>
          <w:shd w:val="clear" w:color="auto" w:fill="FFFFFF"/>
        </w:rPr>
        <w:t>6</w:t>
      </w:r>
      <w:r w:rsidRPr="00154F47">
        <w:rPr>
          <w:shd w:val="clear" w:color="auto" w:fill="FFFFFF"/>
        </w:rPr>
        <w:t xml:space="preserve"> ha gruntów</w:t>
      </w:r>
      <w:r w:rsidR="00373A8A" w:rsidRPr="00373A8A">
        <w:rPr>
          <w:shd w:val="clear" w:color="auto" w:fill="FFFFFF"/>
        </w:rPr>
        <w:t xml:space="preserve"> </w:t>
      </w:r>
      <w:r w:rsidR="00373A8A" w:rsidRPr="00154F47">
        <w:rPr>
          <w:shd w:val="clear" w:color="auto" w:fill="FFFFFF"/>
        </w:rPr>
        <w:t>pod budownictwo mieszkaniowe</w:t>
      </w:r>
      <w:r w:rsidRPr="00154F47">
        <w:rPr>
          <w:shd w:val="clear" w:color="auto" w:fill="FFFFFF"/>
        </w:rPr>
        <w:t xml:space="preserve">, z których 81,7% przeznaczono pod budownictwo mieszkaniowe jednorodzinne. Z ogólnej powierzchni gruntów przekazanych pod budownictwo mieszkaniowe 58,6% </w:t>
      </w:r>
      <w:r w:rsidRPr="000535B2">
        <w:rPr>
          <w:shd w:val="clear" w:color="auto" w:fill="FFFFFF"/>
        </w:rPr>
        <w:t>stanowiły grunty</w:t>
      </w:r>
      <w:r>
        <w:rPr>
          <w:shd w:val="clear" w:color="auto" w:fill="FFFFFF"/>
        </w:rPr>
        <w:t xml:space="preserve"> </w:t>
      </w:r>
      <w:r w:rsidRPr="000535B2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Pr="000535B2">
        <w:rPr>
          <w:shd w:val="clear" w:color="auto" w:fill="FFFFFF"/>
        </w:rPr>
        <w:t>miastach</w:t>
      </w:r>
      <w:r>
        <w:rPr>
          <w:shd w:val="clear" w:color="auto" w:fill="FFFFFF"/>
        </w:rPr>
        <w:t>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2A1B4D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660001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BB4F09" w:rsidRDefault="00820C18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Izabella Adamczyk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820C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20C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20C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20C1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20C18" w:rsidRPr="006D4787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i</w:t>
            </w:r>
            <w:hyperlink r:id="rId18" w:history="1">
              <w:r w:rsidR="00820C18" w:rsidRPr="00872012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.adamczyk@stat.gov.pl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87201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2A1B4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2A1B4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F323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D144E5" w:rsidRDefault="000470AA" w:rsidP="000470AA">
      <w:pPr>
        <w:rPr>
          <w:sz w:val="20"/>
          <w:lang w:val="en-US"/>
        </w:rPr>
      </w:pPr>
    </w:p>
    <w:p w:rsidR="000470AA" w:rsidRPr="00D144E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2A1B4D" w:rsidRDefault="002A1B4D" w:rsidP="000470AA">
            <w:pPr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D144E5" w:rsidRDefault="000470AA" w:rsidP="000470AA">
            <w:pPr>
              <w:rPr>
                <w:sz w:val="18"/>
                <w:lang w:val="en-US"/>
              </w:rPr>
            </w:pPr>
            <w:r w:rsidRPr="00D144E5">
              <w:rPr>
                <w:b/>
                <w:sz w:val="20"/>
                <w:lang w:val="en-US"/>
              </w:rPr>
              <w:t>e-mail:</w:t>
            </w:r>
            <w:r w:rsidR="00872012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2A1B4D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144E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A72EFD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2" w:rsidRDefault="002463D2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463D2" w:rsidRDefault="002463D2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2463D2" w:rsidRPr="00872012" w:rsidRDefault="002463D2" w:rsidP="006D478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16188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Go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spodarka mieszkaniowa w 2016 r.</w:t>
                            </w:r>
                          </w:p>
                          <w:p w:rsidR="002463D2" w:rsidRPr="005326B1" w:rsidRDefault="00EA40E6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2463D2" w:rsidRPr="005326B1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Gospodarka mieszkaniowa w 2017 r.</w:t>
                              </w:r>
                            </w:hyperlink>
                          </w:p>
                          <w:p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463D2" w:rsidRPr="00505A9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2463D2" w:rsidRPr="00872012" w:rsidRDefault="00EA40E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2463D2" w:rsidRPr="0087201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</w:p>
                          <w:p w:rsidR="002463D2" w:rsidRPr="00872012" w:rsidRDefault="00EA40E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2463D2" w:rsidRPr="0087201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</w:t>
                              </w:r>
                            </w:hyperlink>
                          </w:p>
                          <w:p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2463D2" w:rsidRPr="00872012" w:rsidRDefault="00EA40E6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2463D2" w:rsidRPr="00872012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Mieszkanie</w:t>
                              </w:r>
                            </w:hyperlink>
                          </w:p>
                          <w:p w:rsidR="002463D2" w:rsidRPr="00872012" w:rsidRDefault="00EA40E6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2463D2" w:rsidRPr="00872012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Powierzchnia użytkowa mieszkania</w:t>
                              </w:r>
                            </w:hyperlink>
                          </w:p>
                          <w:p w:rsidR="002463D2" w:rsidRPr="00872012" w:rsidRDefault="00EA40E6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2463D2" w:rsidRPr="00872012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Izba</w:t>
                              </w:r>
                            </w:hyperlink>
                          </w:p>
                          <w:p w:rsidR="002463D2" w:rsidRPr="00720068" w:rsidRDefault="00EA40E6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2463D2" w:rsidRPr="0072006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Zaległości w opłatach za mieszkanie</w:t>
                              </w:r>
                            </w:hyperlink>
                          </w:p>
                          <w:p w:rsidR="002463D2" w:rsidRPr="00720068" w:rsidRDefault="00EA40E6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2463D2" w:rsidRPr="0072006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Eksmisja</w:t>
                              </w:r>
                            </w:hyperlink>
                          </w:p>
                          <w:p w:rsidR="002463D2" w:rsidRPr="00720068" w:rsidRDefault="00EA40E6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2463D2" w:rsidRPr="0072006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Koszty utrzymania zasobów lokalowych</w:t>
                              </w:r>
                            </w:hyperlink>
                          </w:p>
                          <w:p w:rsidR="002463D2" w:rsidRPr="00720068" w:rsidRDefault="00EA40E6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2463D2" w:rsidRPr="0072006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Dodatek mieszkaniowy</w:t>
                              </w:r>
                            </w:hyperlink>
                          </w:p>
                          <w:p w:rsidR="002463D2" w:rsidRPr="00872012" w:rsidRDefault="00EA40E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4" w:history="1">
                              <w:r w:rsidR="002463D2" w:rsidRPr="0072006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Grunty komunalne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/kQAIAAHQEAAAOAAAAZHJzL2Uyb0RvYy54bWysVFFv0zAQfkfiP1h+p0lLM9ao6TQ6hpAG&#10;TBr8gKvjNNZsX7DdJuPX7+y0pYMHJMRL5POdv/vuu7ssrwaj2V46r9BWfDrJOZNWYK3stuLfv92+&#10;ueTMB7A1aLSy4k/S86vV61fLvivlDFvUtXSMQKwv+67ibQhdmWVetNKAn2AnLTkbdAYCmW6b1Q56&#10;Qjc6m+X5RdajqzuHQnpPtzejk68SftNIEb42jZeB6YoTt5C+Ln038ZutllBuHXStEgca8A8sDChL&#10;SU9QNxCA7Zz6A8oo4dBjEyYCTYZNo4RMNVA10/y3ah5a6GSqhcTx3Ukm//9gxZf9vWOqrviMMwuG&#10;WnSPWrIgH33AXrJZlKjvfEmRDx3FhuE9DtTqVK7v7lA8emZx3YLdymvnsG8l1ERxGl9mZ09HHB9B&#10;Nv1nrCkX7AImoKFxJupHijBCp1Y9ndojh8AEXV4UxaIoyCXIN5/P3+aLIuWA8vi8cz58lGhYPFTc&#10;Uf8TPOzvfIh0oDyGxGwetapvldbJiDMn19qxPdC0bLZjiXpniOt4tyjyPM0M4aQRjeEJ9QWStqyv&#10;+KKYFaNIf8ky8nqBYFSgtdDKVPySUo5JoYzKfrA1PYAygNLjmchoe5A6qjvqHIbNkBo7XRxbuMH6&#10;icR3OK4BrS0dWnQ/OetpBSruf+zASc70J0sNXEzn87gzyZgX72ZkuHPP5twDVhBUxQNn43Ed0p5F&#10;rhavqdGNSi2IEzEyOXCm0U4aHtYw7s65naJ+/SxWz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3BLP5E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2463D2" w:rsidRDefault="002463D2" w:rsidP="00AB6D25">
                      <w:pPr>
                        <w:rPr>
                          <w:b/>
                        </w:rPr>
                      </w:pPr>
                    </w:p>
                    <w:p w:rsidR="002463D2" w:rsidRDefault="002463D2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2463D2" w:rsidRPr="00872012" w:rsidRDefault="002463D2" w:rsidP="006D478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A16188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Go</w:t>
                      </w:r>
                      <w: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spodarka mieszkaniowa w 2016 r.</w:t>
                      </w:r>
                    </w:p>
                    <w:p w:rsidR="002463D2" w:rsidRPr="005326B1" w:rsidRDefault="00EA40E6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2463D2" w:rsidRPr="005326B1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Gospodarka mieszkaniowa w 2017 r.</w:t>
                        </w:r>
                      </w:hyperlink>
                    </w:p>
                    <w:p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463D2" w:rsidRPr="00505A9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2463D2" w:rsidRPr="00872012" w:rsidRDefault="00EA40E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2463D2" w:rsidRPr="0087201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 Danych Lokalnych</w:t>
                        </w:r>
                      </w:hyperlink>
                    </w:p>
                    <w:p w:rsidR="002463D2" w:rsidRPr="00872012" w:rsidRDefault="00EA40E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7" w:history="1">
                        <w:r w:rsidR="002463D2" w:rsidRPr="0087201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</w:t>
                        </w:r>
                      </w:hyperlink>
                    </w:p>
                    <w:p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2463D2" w:rsidRPr="00872012" w:rsidRDefault="00EA40E6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2463D2" w:rsidRPr="00872012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Mieszkanie</w:t>
                        </w:r>
                      </w:hyperlink>
                    </w:p>
                    <w:p w:rsidR="002463D2" w:rsidRPr="00872012" w:rsidRDefault="00EA40E6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2463D2" w:rsidRPr="00872012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Powierzchnia użytkowa mieszkania</w:t>
                        </w:r>
                      </w:hyperlink>
                    </w:p>
                    <w:p w:rsidR="002463D2" w:rsidRPr="00872012" w:rsidRDefault="00EA40E6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2463D2" w:rsidRPr="00872012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Izba</w:t>
                        </w:r>
                      </w:hyperlink>
                    </w:p>
                    <w:p w:rsidR="002463D2" w:rsidRPr="00720068" w:rsidRDefault="00EA40E6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Zaległości w opłatach za mieszkanie</w:t>
                        </w:r>
                      </w:hyperlink>
                    </w:p>
                    <w:p w:rsidR="002463D2" w:rsidRPr="00720068" w:rsidRDefault="00EA40E6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42" w:history="1"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Eksmisja</w:t>
                        </w:r>
                      </w:hyperlink>
                    </w:p>
                    <w:p w:rsidR="002463D2" w:rsidRPr="00720068" w:rsidRDefault="00EA40E6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43" w:history="1"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Koszty utrzymania zasobów lokalowych</w:t>
                        </w:r>
                      </w:hyperlink>
                    </w:p>
                    <w:p w:rsidR="002463D2" w:rsidRPr="00720068" w:rsidRDefault="00EA40E6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4" w:history="1"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Dodatek mieszkaniowy</w:t>
                        </w:r>
                      </w:hyperlink>
                    </w:p>
                    <w:p w:rsidR="002463D2" w:rsidRPr="00872012" w:rsidRDefault="00EA40E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45" w:history="1"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Grunty komunalne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6"/>
      <w:footerReference w:type="default" r:id="rId4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0E6" w:rsidRDefault="00EA40E6" w:rsidP="000662E2">
      <w:pPr>
        <w:spacing w:after="0" w:line="240" w:lineRule="auto"/>
      </w:pPr>
      <w:r>
        <w:separator/>
      </w:r>
    </w:p>
  </w:endnote>
  <w:endnote w:type="continuationSeparator" w:id="0">
    <w:p w:rsidR="00EA40E6" w:rsidRDefault="00EA40E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118952"/>
      <w:docPartObj>
        <w:docPartGallery w:val="Page Numbers (Bottom of Page)"/>
        <w:docPartUnique/>
      </w:docPartObj>
    </w:sdtPr>
    <w:sdtEndPr/>
    <w:sdtContent>
      <w:p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4D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045264"/>
      <w:docPartObj>
        <w:docPartGallery w:val="Page Numbers (Bottom of Page)"/>
        <w:docPartUnique/>
      </w:docPartObj>
    </w:sdtPr>
    <w:sdtEndPr/>
    <w:sdtContent>
      <w:p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4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D2" w:rsidRDefault="002463D2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A1B4D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0E6" w:rsidRDefault="00EA40E6" w:rsidP="000662E2">
      <w:pPr>
        <w:spacing w:after="0" w:line="240" w:lineRule="auto"/>
      </w:pPr>
      <w:r>
        <w:separator/>
      </w:r>
    </w:p>
  </w:footnote>
  <w:footnote w:type="continuationSeparator" w:id="0">
    <w:p w:rsidR="00EA40E6" w:rsidRDefault="00EA40E6" w:rsidP="000662E2">
      <w:pPr>
        <w:spacing w:after="0" w:line="240" w:lineRule="auto"/>
      </w:pPr>
      <w:r>
        <w:continuationSeparator/>
      </w:r>
    </w:p>
  </w:footnote>
  <w:footnote w:id="1">
    <w:p w:rsidR="002463D2" w:rsidRPr="00A00930" w:rsidRDefault="002463D2">
      <w:pPr>
        <w:pStyle w:val="Tekstprzypisudolnego"/>
        <w:rPr>
          <w:sz w:val="16"/>
          <w:szCs w:val="16"/>
        </w:rPr>
      </w:pPr>
      <w:r w:rsidRPr="00A00930">
        <w:rPr>
          <w:rStyle w:val="Odwoanieprzypisudolnego"/>
          <w:sz w:val="16"/>
          <w:szCs w:val="16"/>
        </w:rPr>
        <w:footnoteRef/>
      </w:r>
      <w:r w:rsidRPr="00A00930">
        <w:rPr>
          <w:sz w:val="16"/>
          <w:szCs w:val="16"/>
        </w:rPr>
        <w:t xml:space="preserve"> Bez mieszkań osób fizycznych </w:t>
      </w:r>
      <w:r>
        <w:rPr>
          <w:sz w:val="16"/>
          <w:szCs w:val="16"/>
        </w:rPr>
        <w:t xml:space="preserve">stanowiących odrębną własność </w:t>
      </w:r>
      <w:r w:rsidRPr="00A00930">
        <w:rPr>
          <w:sz w:val="16"/>
          <w:szCs w:val="16"/>
        </w:rPr>
        <w:t xml:space="preserve">w budynkach </w:t>
      </w:r>
      <w:r>
        <w:rPr>
          <w:sz w:val="16"/>
          <w:szCs w:val="16"/>
        </w:rPr>
        <w:t>spółdzielni mieszkaniowych.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D2" w:rsidRDefault="002463D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93922E" id="Prostokąt 24" o:spid="_x0000_s1026" style="position:absolute;margin-left:410.6pt;margin-top:-14.05pt;width:147.6pt;height:178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:rsidR="002463D2" w:rsidRDefault="002463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D2" w:rsidRDefault="002463D2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1EB6EB" wp14:editId="6D5C1F79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483235</wp:posOffset>
              </wp:positionV>
              <wp:extent cx="1871980" cy="2290508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01E577" id="Prostokąt 10" o:spid="_x0000_s1026" style="position:absolute;margin-left:96.2pt;margin-top:38.05pt;width:147.4pt;height:1803.55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Mr28HhAAAACAEAAA8AAABk&#10;cnMvZG93bnJldi54bWxMj0FPg0AQhe8m/ofNmHizS6nBiiyNUUlMvGgr0d627Aik7CyyW4r+eseT&#10;Hidv8t73ZavJdmLEwbeOFMxnEQikypmWagWvm+JiCcIHTUZ3jlDBF3pY5acnmU6NO9ILjutQCy4h&#10;n2oFTQh9KqWvGrTaz1yPxNmHG6wOfA61NIM+crntZBxFibS6JV5odI93DVb79cEqcNtx82SKYl+W&#10;3/dvz8uH9/Jz+6jU+dl0ewMi4BT+nuEXn9EhZ6adO5DxolPAIkHBVTIHwWl8fckiOwWLZLmIQeaZ&#10;/C+Q/wAAAP//AwBQSwECLQAUAAYACAAAACEAtoM4kv4AAADhAQAAEwAAAAAAAAAAAAAAAAAAAAAA&#10;W0NvbnRlbnRfVHlwZXNdLnhtbFBLAQItABQABgAIAAAAIQA4/SH/1gAAAJQBAAALAAAAAAAAAAAA&#10;AAAAAC8BAABfcmVscy8ucmVsc1BLAQItABQABgAIAAAAIQCMq2rbpgIAAKMFAAAOAAAAAAAAAAAA&#10;AAAAAC4CAABkcnMvZTJvRG9jLnhtbFBLAQItABQABgAIAAAAIQBjK9vB4QAAAAgBAAAPAAAAAAAA&#10;AAAAAAAAAAAFAABkcnMvZG93bnJldi54bWxQSwUGAAAAAAQABADzAAAADgYAAAAA&#10;" fillcolor="#f2f2f2" stroked="f" strokeweight="1pt"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463D2" w:rsidRPr="003C6C8D" w:rsidRDefault="002463D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46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463D2" w:rsidRPr="003C6C8D" w:rsidRDefault="002463D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2463D2" w:rsidRDefault="002463D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63D2" w:rsidRPr="00C97596" w:rsidRDefault="002463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16.09.2019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11pt;margin-top:20.9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2463D2" w:rsidRPr="00C97596" w:rsidRDefault="002463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16.09.2019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D2" w:rsidRDefault="002463D2">
    <w:pPr>
      <w:pStyle w:val="Nagwek"/>
    </w:pPr>
  </w:p>
  <w:p w:rsidR="002463D2" w:rsidRDefault="00246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03A87B56"/>
    <w:multiLevelType w:val="hybridMultilevel"/>
    <w:tmpl w:val="708E6468"/>
    <w:lvl w:ilvl="0" w:tplc="EE5C079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200E06"/>
    <w:multiLevelType w:val="hybridMultilevel"/>
    <w:tmpl w:val="8E3281A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0D001B8"/>
    <w:multiLevelType w:val="hybridMultilevel"/>
    <w:tmpl w:val="48D45F60"/>
    <w:lvl w:ilvl="0" w:tplc="63DC60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5A3F41"/>
    <w:multiLevelType w:val="hybridMultilevel"/>
    <w:tmpl w:val="D8943DA4"/>
    <w:lvl w:ilvl="0" w:tplc="C1602318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3EC4"/>
    <w:multiLevelType w:val="hybridMultilevel"/>
    <w:tmpl w:val="7B4A4C98"/>
    <w:lvl w:ilvl="0" w:tplc="FB2EC802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34D"/>
    <w:multiLevelType w:val="hybridMultilevel"/>
    <w:tmpl w:val="766458C8"/>
    <w:lvl w:ilvl="0" w:tplc="C2CCAC88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2DFE"/>
    <w:multiLevelType w:val="hybridMultilevel"/>
    <w:tmpl w:val="BB72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A65EB"/>
    <w:multiLevelType w:val="hybridMultilevel"/>
    <w:tmpl w:val="A0926CF6"/>
    <w:lvl w:ilvl="0" w:tplc="97B0A65C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357"/>
    <w:multiLevelType w:val="hybridMultilevel"/>
    <w:tmpl w:val="1A3E1E6C"/>
    <w:lvl w:ilvl="0" w:tplc="FBB27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1C5B"/>
    <w:rsid w:val="00003437"/>
    <w:rsid w:val="0000709F"/>
    <w:rsid w:val="0001041C"/>
    <w:rsid w:val="000108B8"/>
    <w:rsid w:val="000152F5"/>
    <w:rsid w:val="000300FB"/>
    <w:rsid w:val="0003255C"/>
    <w:rsid w:val="00035198"/>
    <w:rsid w:val="000420B1"/>
    <w:rsid w:val="0004582E"/>
    <w:rsid w:val="000470AA"/>
    <w:rsid w:val="00051E39"/>
    <w:rsid w:val="00052330"/>
    <w:rsid w:val="00057CA1"/>
    <w:rsid w:val="000662E2"/>
    <w:rsid w:val="00066883"/>
    <w:rsid w:val="00070963"/>
    <w:rsid w:val="00074DD8"/>
    <w:rsid w:val="000806F7"/>
    <w:rsid w:val="0008281C"/>
    <w:rsid w:val="00083F50"/>
    <w:rsid w:val="00093065"/>
    <w:rsid w:val="0009387B"/>
    <w:rsid w:val="00093FCD"/>
    <w:rsid w:val="00097840"/>
    <w:rsid w:val="000A3422"/>
    <w:rsid w:val="000A4E32"/>
    <w:rsid w:val="000B0727"/>
    <w:rsid w:val="000C072D"/>
    <w:rsid w:val="000C135D"/>
    <w:rsid w:val="000D1D43"/>
    <w:rsid w:val="000D225C"/>
    <w:rsid w:val="000D2A5C"/>
    <w:rsid w:val="000D578D"/>
    <w:rsid w:val="000D6DDD"/>
    <w:rsid w:val="000D7EC6"/>
    <w:rsid w:val="000E0918"/>
    <w:rsid w:val="000E218E"/>
    <w:rsid w:val="000F5453"/>
    <w:rsid w:val="001011C3"/>
    <w:rsid w:val="001022EA"/>
    <w:rsid w:val="00106A70"/>
    <w:rsid w:val="00110D87"/>
    <w:rsid w:val="00113606"/>
    <w:rsid w:val="00114DB9"/>
    <w:rsid w:val="00116087"/>
    <w:rsid w:val="0011639F"/>
    <w:rsid w:val="00123B64"/>
    <w:rsid w:val="00130296"/>
    <w:rsid w:val="00137E3D"/>
    <w:rsid w:val="001423B6"/>
    <w:rsid w:val="001448A7"/>
    <w:rsid w:val="00146621"/>
    <w:rsid w:val="00154F47"/>
    <w:rsid w:val="00162325"/>
    <w:rsid w:val="001651D7"/>
    <w:rsid w:val="001951DA"/>
    <w:rsid w:val="001A47DD"/>
    <w:rsid w:val="001A6B1E"/>
    <w:rsid w:val="001B1677"/>
    <w:rsid w:val="001B5867"/>
    <w:rsid w:val="001C3269"/>
    <w:rsid w:val="001C3DB8"/>
    <w:rsid w:val="001D1214"/>
    <w:rsid w:val="001D1DB4"/>
    <w:rsid w:val="001D433A"/>
    <w:rsid w:val="001D4A83"/>
    <w:rsid w:val="001E159D"/>
    <w:rsid w:val="00202C00"/>
    <w:rsid w:val="00206D73"/>
    <w:rsid w:val="002072FC"/>
    <w:rsid w:val="00207D57"/>
    <w:rsid w:val="0022731A"/>
    <w:rsid w:val="002311DA"/>
    <w:rsid w:val="00231F5E"/>
    <w:rsid w:val="00235562"/>
    <w:rsid w:val="00241155"/>
    <w:rsid w:val="002463D2"/>
    <w:rsid w:val="002574F9"/>
    <w:rsid w:val="00261383"/>
    <w:rsid w:val="00262B61"/>
    <w:rsid w:val="00264DBF"/>
    <w:rsid w:val="00265051"/>
    <w:rsid w:val="00265626"/>
    <w:rsid w:val="002657C6"/>
    <w:rsid w:val="00272785"/>
    <w:rsid w:val="00276811"/>
    <w:rsid w:val="00281EB7"/>
    <w:rsid w:val="00282699"/>
    <w:rsid w:val="002857D5"/>
    <w:rsid w:val="00286F19"/>
    <w:rsid w:val="002915BA"/>
    <w:rsid w:val="002926DF"/>
    <w:rsid w:val="00296697"/>
    <w:rsid w:val="002A1B4D"/>
    <w:rsid w:val="002A4300"/>
    <w:rsid w:val="002B0472"/>
    <w:rsid w:val="002B37FF"/>
    <w:rsid w:val="002B5320"/>
    <w:rsid w:val="002B5932"/>
    <w:rsid w:val="002B6B12"/>
    <w:rsid w:val="002C6197"/>
    <w:rsid w:val="002D63C1"/>
    <w:rsid w:val="002E3864"/>
    <w:rsid w:val="002E6140"/>
    <w:rsid w:val="002E6180"/>
    <w:rsid w:val="002E6985"/>
    <w:rsid w:val="002E71B6"/>
    <w:rsid w:val="002F113C"/>
    <w:rsid w:val="002F22EB"/>
    <w:rsid w:val="002F3B22"/>
    <w:rsid w:val="002F5CB4"/>
    <w:rsid w:val="002F77C8"/>
    <w:rsid w:val="00300931"/>
    <w:rsid w:val="0030130D"/>
    <w:rsid w:val="00304F22"/>
    <w:rsid w:val="00306C7C"/>
    <w:rsid w:val="00320AAB"/>
    <w:rsid w:val="00322EDD"/>
    <w:rsid w:val="00325B5B"/>
    <w:rsid w:val="00331D50"/>
    <w:rsid w:val="00332320"/>
    <w:rsid w:val="00334BC6"/>
    <w:rsid w:val="00335C1D"/>
    <w:rsid w:val="00347D72"/>
    <w:rsid w:val="003509C1"/>
    <w:rsid w:val="00350CCF"/>
    <w:rsid w:val="00357611"/>
    <w:rsid w:val="003578BD"/>
    <w:rsid w:val="00363878"/>
    <w:rsid w:val="00365427"/>
    <w:rsid w:val="00367237"/>
    <w:rsid w:val="0037077F"/>
    <w:rsid w:val="00372411"/>
    <w:rsid w:val="00373882"/>
    <w:rsid w:val="00373A8A"/>
    <w:rsid w:val="003843DB"/>
    <w:rsid w:val="0038453C"/>
    <w:rsid w:val="00385867"/>
    <w:rsid w:val="00393761"/>
    <w:rsid w:val="00395C05"/>
    <w:rsid w:val="00397D18"/>
    <w:rsid w:val="003A1B36"/>
    <w:rsid w:val="003A1BEF"/>
    <w:rsid w:val="003B1454"/>
    <w:rsid w:val="003B18B6"/>
    <w:rsid w:val="003B3B38"/>
    <w:rsid w:val="003B70F7"/>
    <w:rsid w:val="003B79CB"/>
    <w:rsid w:val="003C5507"/>
    <w:rsid w:val="003C59E0"/>
    <w:rsid w:val="003C65B9"/>
    <w:rsid w:val="003C6C8D"/>
    <w:rsid w:val="003C7BCB"/>
    <w:rsid w:val="003D4F95"/>
    <w:rsid w:val="003D5F42"/>
    <w:rsid w:val="003D60A9"/>
    <w:rsid w:val="003E5D54"/>
    <w:rsid w:val="003E7187"/>
    <w:rsid w:val="003F4C97"/>
    <w:rsid w:val="003F7FE6"/>
    <w:rsid w:val="00400193"/>
    <w:rsid w:val="00401454"/>
    <w:rsid w:val="00416C79"/>
    <w:rsid w:val="00417EA9"/>
    <w:rsid w:val="0042030D"/>
    <w:rsid w:val="004212E7"/>
    <w:rsid w:val="00422082"/>
    <w:rsid w:val="0042270A"/>
    <w:rsid w:val="0042446D"/>
    <w:rsid w:val="00426D1A"/>
    <w:rsid w:val="00427BF8"/>
    <w:rsid w:val="00431C02"/>
    <w:rsid w:val="00437395"/>
    <w:rsid w:val="00442767"/>
    <w:rsid w:val="00445047"/>
    <w:rsid w:val="004514A2"/>
    <w:rsid w:val="00463E39"/>
    <w:rsid w:val="004657FC"/>
    <w:rsid w:val="004733F6"/>
    <w:rsid w:val="00474E69"/>
    <w:rsid w:val="00482BF3"/>
    <w:rsid w:val="0049138C"/>
    <w:rsid w:val="0049621B"/>
    <w:rsid w:val="00496EE1"/>
    <w:rsid w:val="004A2432"/>
    <w:rsid w:val="004B1366"/>
    <w:rsid w:val="004C1895"/>
    <w:rsid w:val="004C6810"/>
    <w:rsid w:val="004C6D40"/>
    <w:rsid w:val="004D51E6"/>
    <w:rsid w:val="004E1FDB"/>
    <w:rsid w:val="004F0C3C"/>
    <w:rsid w:val="004F3B49"/>
    <w:rsid w:val="004F63FC"/>
    <w:rsid w:val="00505A92"/>
    <w:rsid w:val="00511165"/>
    <w:rsid w:val="005160F9"/>
    <w:rsid w:val="005203F1"/>
    <w:rsid w:val="00521BC3"/>
    <w:rsid w:val="00523F8D"/>
    <w:rsid w:val="00527ADD"/>
    <w:rsid w:val="00531348"/>
    <w:rsid w:val="005326B1"/>
    <w:rsid w:val="00533632"/>
    <w:rsid w:val="00541E6E"/>
    <w:rsid w:val="0054251F"/>
    <w:rsid w:val="005520D8"/>
    <w:rsid w:val="00556CF1"/>
    <w:rsid w:val="00561043"/>
    <w:rsid w:val="00570D80"/>
    <w:rsid w:val="005762A7"/>
    <w:rsid w:val="005916D7"/>
    <w:rsid w:val="00596BDB"/>
    <w:rsid w:val="005A698C"/>
    <w:rsid w:val="005B655D"/>
    <w:rsid w:val="005C5A96"/>
    <w:rsid w:val="005D59A8"/>
    <w:rsid w:val="005E0799"/>
    <w:rsid w:val="005E3082"/>
    <w:rsid w:val="005E5CA7"/>
    <w:rsid w:val="005F37BA"/>
    <w:rsid w:val="005F5A80"/>
    <w:rsid w:val="006044FF"/>
    <w:rsid w:val="006064EC"/>
    <w:rsid w:val="0060749B"/>
    <w:rsid w:val="00607796"/>
    <w:rsid w:val="00607CC5"/>
    <w:rsid w:val="00625167"/>
    <w:rsid w:val="0062763C"/>
    <w:rsid w:val="00633014"/>
    <w:rsid w:val="0063437B"/>
    <w:rsid w:val="006409FD"/>
    <w:rsid w:val="00652655"/>
    <w:rsid w:val="0065395C"/>
    <w:rsid w:val="00660001"/>
    <w:rsid w:val="006673CA"/>
    <w:rsid w:val="00667D50"/>
    <w:rsid w:val="00671847"/>
    <w:rsid w:val="006735CC"/>
    <w:rsid w:val="00673C26"/>
    <w:rsid w:val="006812AF"/>
    <w:rsid w:val="006829C1"/>
    <w:rsid w:val="0068327D"/>
    <w:rsid w:val="00692576"/>
    <w:rsid w:val="00694AF0"/>
    <w:rsid w:val="006955E8"/>
    <w:rsid w:val="006960DA"/>
    <w:rsid w:val="006A4686"/>
    <w:rsid w:val="006A5B53"/>
    <w:rsid w:val="006B0E9E"/>
    <w:rsid w:val="006B5AE4"/>
    <w:rsid w:val="006B7D12"/>
    <w:rsid w:val="006C61DC"/>
    <w:rsid w:val="006D0F90"/>
    <w:rsid w:val="006D1507"/>
    <w:rsid w:val="006D31FD"/>
    <w:rsid w:val="006D4054"/>
    <w:rsid w:val="006D4787"/>
    <w:rsid w:val="006E02EC"/>
    <w:rsid w:val="006E0786"/>
    <w:rsid w:val="006E4295"/>
    <w:rsid w:val="006E47AF"/>
    <w:rsid w:val="006F5DCB"/>
    <w:rsid w:val="007029A1"/>
    <w:rsid w:val="00707473"/>
    <w:rsid w:val="00720068"/>
    <w:rsid w:val="007211B1"/>
    <w:rsid w:val="00726FEB"/>
    <w:rsid w:val="00727AC5"/>
    <w:rsid w:val="00741D4F"/>
    <w:rsid w:val="00746187"/>
    <w:rsid w:val="00746BBA"/>
    <w:rsid w:val="00747E59"/>
    <w:rsid w:val="00750A0F"/>
    <w:rsid w:val="007573F9"/>
    <w:rsid w:val="0076254F"/>
    <w:rsid w:val="00774449"/>
    <w:rsid w:val="007801F5"/>
    <w:rsid w:val="00783CA4"/>
    <w:rsid w:val="007842FB"/>
    <w:rsid w:val="00786124"/>
    <w:rsid w:val="00794FE9"/>
    <w:rsid w:val="0079514B"/>
    <w:rsid w:val="007A2DC1"/>
    <w:rsid w:val="007A38B8"/>
    <w:rsid w:val="007B7F3C"/>
    <w:rsid w:val="007C049E"/>
    <w:rsid w:val="007D3319"/>
    <w:rsid w:val="007D335D"/>
    <w:rsid w:val="007D4EA1"/>
    <w:rsid w:val="007D592E"/>
    <w:rsid w:val="007E3314"/>
    <w:rsid w:val="007E4B03"/>
    <w:rsid w:val="007F26E4"/>
    <w:rsid w:val="007F324B"/>
    <w:rsid w:val="0080553C"/>
    <w:rsid w:val="00805B46"/>
    <w:rsid w:val="0080613E"/>
    <w:rsid w:val="00806878"/>
    <w:rsid w:val="008079F8"/>
    <w:rsid w:val="008135BB"/>
    <w:rsid w:val="00820C18"/>
    <w:rsid w:val="00824A20"/>
    <w:rsid w:val="00825DC2"/>
    <w:rsid w:val="008349DB"/>
    <w:rsid w:val="00834A43"/>
    <w:rsid w:val="00834AD3"/>
    <w:rsid w:val="0083727A"/>
    <w:rsid w:val="00837430"/>
    <w:rsid w:val="00837EFE"/>
    <w:rsid w:val="00840C7C"/>
    <w:rsid w:val="00843795"/>
    <w:rsid w:val="00847F0F"/>
    <w:rsid w:val="008514C5"/>
    <w:rsid w:val="00852448"/>
    <w:rsid w:val="008531B0"/>
    <w:rsid w:val="008620CE"/>
    <w:rsid w:val="00872012"/>
    <w:rsid w:val="00876F94"/>
    <w:rsid w:val="0088258A"/>
    <w:rsid w:val="00885136"/>
    <w:rsid w:val="00885AD2"/>
    <w:rsid w:val="00886332"/>
    <w:rsid w:val="00896A0B"/>
    <w:rsid w:val="008975D3"/>
    <w:rsid w:val="008A26D9"/>
    <w:rsid w:val="008A5220"/>
    <w:rsid w:val="008B3161"/>
    <w:rsid w:val="008C0C29"/>
    <w:rsid w:val="008C40CB"/>
    <w:rsid w:val="008D3C14"/>
    <w:rsid w:val="008D3DDD"/>
    <w:rsid w:val="008F3638"/>
    <w:rsid w:val="008F4441"/>
    <w:rsid w:val="008F54D4"/>
    <w:rsid w:val="008F6F31"/>
    <w:rsid w:val="008F74DF"/>
    <w:rsid w:val="00906EE7"/>
    <w:rsid w:val="00911C62"/>
    <w:rsid w:val="009127BA"/>
    <w:rsid w:val="00917388"/>
    <w:rsid w:val="009174E9"/>
    <w:rsid w:val="00920A55"/>
    <w:rsid w:val="009227A6"/>
    <w:rsid w:val="009302EF"/>
    <w:rsid w:val="00930BB2"/>
    <w:rsid w:val="009329F0"/>
    <w:rsid w:val="00933EC1"/>
    <w:rsid w:val="009417C0"/>
    <w:rsid w:val="00944286"/>
    <w:rsid w:val="00947365"/>
    <w:rsid w:val="009530DB"/>
    <w:rsid w:val="00953676"/>
    <w:rsid w:val="0095719E"/>
    <w:rsid w:val="00960E39"/>
    <w:rsid w:val="00967E95"/>
    <w:rsid w:val="009705EE"/>
    <w:rsid w:val="0097136B"/>
    <w:rsid w:val="00975484"/>
    <w:rsid w:val="00976067"/>
    <w:rsid w:val="00977284"/>
    <w:rsid w:val="00977927"/>
    <w:rsid w:val="0098135C"/>
    <w:rsid w:val="0098156A"/>
    <w:rsid w:val="009817A4"/>
    <w:rsid w:val="00991BAC"/>
    <w:rsid w:val="00997A7D"/>
    <w:rsid w:val="009A3802"/>
    <w:rsid w:val="009A6EA0"/>
    <w:rsid w:val="009B03C5"/>
    <w:rsid w:val="009B3644"/>
    <w:rsid w:val="009B429F"/>
    <w:rsid w:val="009B44F1"/>
    <w:rsid w:val="009C1335"/>
    <w:rsid w:val="009C1AB2"/>
    <w:rsid w:val="009C4CDB"/>
    <w:rsid w:val="009C7251"/>
    <w:rsid w:val="009D50CA"/>
    <w:rsid w:val="009E2E91"/>
    <w:rsid w:val="009F1320"/>
    <w:rsid w:val="009F270F"/>
    <w:rsid w:val="00A00930"/>
    <w:rsid w:val="00A10F8C"/>
    <w:rsid w:val="00A12C70"/>
    <w:rsid w:val="00A139F5"/>
    <w:rsid w:val="00A16188"/>
    <w:rsid w:val="00A233CD"/>
    <w:rsid w:val="00A257E3"/>
    <w:rsid w:val="00A2734F"/>
    <w:rsid w:val="00A365F4"/>
    <w:rsid w:val="00A47D80"/>
    <w:rsid w:val="00A53132"/>
    <w:rsid w:val="00A55947"/>
    <w:rsid w:val="00A563F2"/>
    <w:rsid w:val="00A566E8"/>
    <w:rsid w:val="00A57748"/>
    <w:rsid w:val="00A57CA1"/>
    <w:rsid w:val="00A72049"/>
    <w:rsid w:val="00A72918"/>
    <w:rsid w:val="00A72EFD"/>
    <w:rsid w:val="00A7403E"/>
    <w:rsid w:val="00A7445D"/>
    <w:rsid w:val="00A810F9"/>
    <w:rsid w:val="00A84ADE"/>
    <w:rsid w:val="00A8579A"/>
    <w:rsid w:val="00A86ECC"/>
    <w:rsid w:val="00A86FCC"/>
    <w:rsid w:val="00A911C5"/>
    <w:rsid w:val="00A9201B"/>
    <w:rsid w:val="00A94181"/>
    <w:rsid w:val="00AA6E57"/>
    <w:rsid w:val="00AA710D"/>
    <w:rsid w:val="00AB6D25"/>
    <w:rsid w:val="00AC3C97"/>
    <w:rsid w:val="00AC5A46"/>
    <w:rsid w:val="00AD1169"/>
    <w:rsid w:val="00AD4A02"/>
    <w:rsid w:val="00AE2D4B"/>
    <w:rsid w:val="00AE4F99"/>
    <w:rsid w:val="00AE5B74"/>
    <w:rsid w:val="00AE686E"/>
    <w:rsid w:val="00AF2DF1"/>
    <w:rsid w:val="00AF323E"/>
    <w:rsid w:val="00B003C7"/>
    <w:rsid w:val="00B04EE6"/>
    <w:rsid w:val="00B0642E"/>
    <w:rsid w:val="00B065C1"/>
    <w:rsid w:val="00B11B69"/>
    <w:rsid w:val="00B14789"/>
    <w:rsid w:val="00B14952"/>
    <w:rsid w:val="00B174F0"/>
    <w:rsid w:val="00B20162"/>
    <w:rsid w:val="00B2484E"/>
    <w:rsid w:val="00B24FAF"/>
    <w:rsid w:val="00B251F9"/>
    <w:rsid w:val="00B30E95"/>
    <w:rsid w:val="00B31E5A"/>
    <w:rsid w:val="00B45508"/>
    <w:rsid w:val="00B46DE6"/>
    <w:rsid w:val="00B54313"/>
    <w:rsid w:val="00B653AB"/>
    <w:rsid w:val="00B65F9E"/>
    <w:rsid w:val="00B66B19"/>
    <w:rsid w:val="00B7368E"/>
    <w:rsid w:val="00B754AD"/>
    <w:rsid w:val="00B77C4E"/>
    <w:rsid w:val="00B8074B"/>
    <w:rsid w:val="00B914E9"/>
    <w:rsid w:val="00B956EE"/>
    <w:rsid w:val="00BA1994"/>
    <w:rsid w:val="00BA2BA1"/>
    <w:rsid w:val="00BA31DE"/>
    <w:rsid w:val="00BA3562"/>
    <w:rsid w:val="00BB4F09"/>
    <w:rsid w:val="00BB6F7D"/>
    <w:rsid w:val="00BC2A97"/>
    <w:rsid w:val="00BC7172"/>
    <w:rsid w:val="00BD31CC"/>
    <w:rsid w:val="00BD3467"/>
    <w:rsid w:val="00BD4E33"/>
    <w:rsid w:val="00BE3E23"/>
    <w:rsid w:val="00BF3836"/>
    <w:rsid w:val="00BF52CB"/>
    <w:rsid w:val="00BF578A"/>
    <w:rsid w:val="00C030DE"/>
    <w:rsid w:val="00C03B6D"/>
    <w:rsid w:val="00C114AB"/>
    <w:rsid w:val="00C1288E"/>
    <w:rsid w:val="00C22105"/>
    <w:rsid w:val="00C23C96"/>
    <w:rsid w:val="00C244B6"/>
    <w:rsid w:val="00C31CA6"/>
    <w:rsid w:val="00C36A86"/>
    <w:rsid w:val="00C3702F"/>
    <w:rsid w:val="00C41FDA"/>
    <w:rsid w:val="00C4500A"/>
    <w:rsid w:val="00C47C35"/>
    <w:rsid w:val="00C51540"/>
    <w:rsid w:val="00C51A30"/>
    <w:rsid w:val="00C52918"/>
    <w:rsid w:val="00C64A37"/>
    <w:rsid w:val="00C7068A"/>
    <w:rsid w:val="00C7158E"/>
    <w:rsid w:val="00C7250B"/>
    <w:rsid w:val="00C7346B"/>
    <w:rsid w:val="00C748E3"/>
    <w:rsid w:val="00C765EC"/>
    <w:rsid w:val="00C77C0E"/>
    <w:rsid w:val="00C87891"/>
    <w:rsid w:val="00C91687"/>
    <w:rsid w:val="00C924A8"/>
    <w:rsid w:val="00C92930"/>
    <w:rsid w:val="00C945FE"/>
    <w:rsid w:val="00C96FAA"/>
    <w:rsid w:val="00C97A04"/>
    <w:rsid w:val="00CA107B"/>
    <w:rsid w:val="00CA484D"/>
    <w:rsid w:val="00CA4FB6"/>
    <w:rsid w:val="00CC739E"/>
    <w:rsid w:val="00CD2891"/>
    <w:rsid w:val="00CD58B7"/>
    <w:rsid w:val="00CD790B"/>
    <w:rsid w:val="00CE2EE5"/>
    <w:rsid w:val="00CE5BD5"/>
    <w:rsid w:val="00CF141E"/>
    <w:rsid w:val="00CF3B55"/>
    <w:rsid w:val="00CF4099"/>
    <w:rsid w:val="00D00796"/>
    <w:rsid w:val="00D02B9F"/>
    <w:rsid w:val="00D02CCD"/>
    <w:rsid w:val="00D144E5"/>
    <w:rsid w:val="00D217E3"/>
    <w:rsid w:val="00D25CFA"/>
    <w:rsid w:val="00D261A2"/>
    <w:rsid w:val="00D56D33"/>
    <w:rsid w:val="00D616D2"/>
    <w:rsid w:val="00D63B5F"/>
    <w:rsid w:val="00D64AAD"/>
    <w:rsid w:val="00D65847"/>
    <w:rsid w:val="00D70EF7"/>
    <w:rsid w:val="00D7413A"/>
    <w:rsid w:val="00D77510"/>
    <w:rsid w:val="00D77650"/>
    <w:rsid w:val="00D808F8"/>
    <w:rsid w:val="00D8397C"/>
    <w:rsid w:val="00D91092"/>
    <w:rsid w:val="00D94786"/>
    <w:rsid w:val="00D94EED"/>
    <w:rsid w:val="00D96026"/>
    <w:rsid w:val="00DA1979"/>
    <w:rsid w:val="00DA5462"/>
    <w:rsid w:val="00DA632D"/>
    <w:rsid w:val="00DA7C1C"/>
    <w:rsid w:val="00DB147A"/>
    <w:rsid w:val="00DB1B7A"/>
    <w:rsid w:val="00DB31A0"/>
    <w:rsid w:val="00DB6942"/>
    <w:rsid w:val="00DC17C5"/>
    <w:rsid w:val="00DC6708"/>
    <w:rsid w:val="00DD16F5"/>
    <w:rsid w:val="00DF2A73"/>
    <w:rsid w:val="00DF3119"/>
    <w:rsid w:val="00DF5866"/>
    <w:rsid w:val="00DF7DC0"/>
    <w:rsid w:val="00E01436"/>
    <w:rsid w:val="00E045BD"/>
    <w:rsid w:val="00E127B0"/>
    <w:rsid w:val="00E17B77"/>
    <w:rsid w:val="00E23337"/>
    <w:rsid w:val="00E236E0"/>
    <w:rsid w:val="00E24FCC"/>
    <w:rsid w:val="00E259EA"/>
    <w:rsid w:val="00E2731E"/>
    <w:rsid w:val="00E32061"/>
    <w:rsid w:val="00E33B28"/>
    <w:rsid w:val="00E42FF9"/>
    <w:rsid w:val="00E4714C"/>
    <w:rsid w:val="00E51AEB"/>
    <w:rsid w:val="00E51F4D"/>
    <w:rsid w:val="00E522A7"/>
    <w:rsid w:val="00E54076"/>
    <w:rsid w:val="00E54452"/>
    <w:rsid w:val="00E664C5"/>
    <w:rsid w:val="00E671A2"/>
    <w:rsid w:val="00E72954"/>
    <w:rsid w:val="00E72A65"/>
    <w:rsid w:val="00E72B3E"/>
    <w:rsid w:val="00E76D26"/>
    <w:rsid w:val="00E866C2"/>
    <w:rsid w:val="00EA40E6"/>
    <w:rsid w:val="00EA6C89"/>
    <w:rsid w:val="00EB0396"/>
    <w:rsid w:val="00EB1390"/>
    <w:rsid w:val="00EB255B"/>
    <w:rsid w:val="00EB2893"/>
    <w:rsid w:val="00EB2C71"/>
    <w:rsid w:val="00EB4340"/>
    <w:rsid w:val="00EB556D"/>
    <w:rsid w:val="00EB5A7D"/>
    <w:rsid w:val="00EC1A34"/>
    <w:rsid w:val="00EC3AB3"/>
    <w:rsid w:val="00EC4A57"/>
    <w:rsid w:val="00ED253D"/>
    <w:rsid w:val="00ED47D9"/>
    <w:rsid w:val="00ED55C0"/>
    <w:rsid w:val="00ED682B"/>
    <w:rsid w:val="00EE310A"/>
    <w:rsid w:val="00EE41D5"/>
    <w:rsid w:val="00EF1AAF"/>
    <w:rsid w:val="00EF2B0E"/>
    <w:rsid w:val="00EF6AA6"/>
    <w:rsid w:val="00F037A4"/>
    <w:rsid w:val="00F1017B"/>
    <w:rsid w:val="00F1039C"/>
    <w:rsid w:val="00F121E5"/>
    <w:rsid w:val="00F26489"/>
    <w:rsid w:val="00F27C8F"/>
    <w:rsid w:val="00F32590"/>
    <w:rsid w:val="00F32749"/>
    <w:rsid w:val="00F37172"/>
    <w:rsid w:val="00F4477E"/>
    <w:rsid w:val="00F458CE"/>
    <w:rsid w:val="00F63D80"/>
    <w:rsid w:val="00F6727E"/>
    <w:rsid w:val="00F67D8F"/>
    <w:rsid w:val="00F7496A"/>
    <w:rsid w:val="00F769CE"/>
    <w:rsid w:val="00F802BE"/>
    <w:rsid w:val="00F80E93"/>
    <w:rsid w:val="00F81CDC"/>
    <w:rsid w:val="00F85AC1"/>
    <w:rsid w:val="00F86024"/>
    <w:rsid w:val="00F8611A"/>
    <w:rsid w:val="00F87C30"/>
    <w:rsid w:val="00FA1A2B"/>
    <w:rsid w:val="00FA5128"/>
    <w:rsid w:val="00FB42D4"/>
    <w:rsid w:val="00FB5906"/>
    <w:rsid w:val="00FB762F"/>
    <w:rsid w:val="00FC2AED"/>
    <w:rsid w:val="00FC5D93"/>
    <w:rsid w:val="00FD40DE"/>
    <w:rsid w:val="00FD5EA7"/>
    <w:rsid w:val="00FE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542839-EB04-4143-97B3-F8A4AA2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D7765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3B6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B6D"/>
    <w:rPr>
      <w:rFonts w:ascii="Fira Sans" w:eastAsia="Times New Roman" w:hAnsi="Fira Sans" w:cs="Fira Sans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9C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C1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6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4AAD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18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qFormat/>
    <w:rsid w:val="00E54076"/>
    <w:pPr>
      <w:spacing w:before="360" w:after="0" w:line="360" w:lineRule="exact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mailto:.adamczyk@stat.gov.pl" TargetMode="External"/><Relationship Id="rId26" Type="http://schemas.openxmlformats.org/officeDocument/2006/relationships/hyperlink" Target="http://swaid.stat.gov.pl/SitePagesDBW/InfrastrukturaKomMieszk.aspx" TargetMode="External"/><Relationship Id="rId39" Type="http://schemas.openxmlformats.org/officeDocument/2006/relationships/hyperlink" Target="https://stat.gov.pl/metainformacje/slownik-pojec/pojecia-stosowane-w-statystyce-publicznej/324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metainformacje/slownik-pojec/pojecia-stosowane-w-statystyce-publicznej/1375,pojecie.html" TargetMode="External"/><Relationship Id="rId42" Type="http://schemas.openxmlformats.org/officeDocument/2006/relationships/hyperlink" Target="https://stat.gov.pl/metainformacje/slownik-pojec/pojecia-stosowane-w-statystyce-publicznej/1730,pojecie.html" TargetMode="External"/><Relationship Id="rId47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stat.gov.pl/metainformacje/slownik-pojec/pojecia-stosowane-w-statystyce-publicznej/133,pojecie.html" TargetMode="Externa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frastruktura-komunalna-nieruchomosci/nieruchomosci-budynki-infrastruktura-komunalna/gospodarka-mieszkaniowa-w-2017-roku,7,13.html" TargetMode="External"/><Relationship Id="rId32" Type="http://schemas.openxmlformats.org/officeDocument/2006/relationships/hyperlink" Target="https://stat.gov.pl/metainformacje/slownik-pojec/pojecia-stosowane-w-statystyce-publicznej/157,pojecie.html" TargetMode="External"/><Relationship Id="rId37" Type="http://schemas.openxmlformats.org/officeDocument/2006/relationships/hyperlink" Target="http://swaid.stat.gov.pl/SitePagesDBW/InfrastrukturaKomMieszk.aspx" TargetMode="External"/><Relationship Id="rId40" Type="http://schemas.openxmlformats.org/officeDocument/2006/relationships/hyperlink" Target="https://stat.gov.pl/metainformacje/slownik-pojec/pojecia-stosowane-w-statystyce-publicznej/133,pojecie.html" TargetMode="External"/><Relationship Id="rId45" Type="http://schemas.openxmlformats.org/officeDocument/2006/relationships/hyperlink" Target="https://stat.gov.pl/metainformacje/slownik-pojec/pojecia-stosowane-w-statystyce-publicznej/1375,pojeci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stat.gov.pl/metainformacje/slownik-pojec/pojecia-stosowane-w-statystyce-publicznej/324,pojecie.html" TargetMode="External"/><Relationship Id="rId36" Type="http://schemas.openxmlformats.org/officeDocument/2006/relationships/hyperlink" Target="https://bdl.stat.gov.pl/BDL/dane/podgrup/temat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metainformacje/slownik-pojec/pojecia-stosowane-w-statystyce-publicznej/1730,pojecie.html" TargetMode="External"/><Relationship Id="rId44" Type="http://schemas.openxmlformats.org/officeDocument/2006/relationships/hyperlink" Target="https://stat.gov.pl/metainformacje/slownik-pojec/pojecia-stosowane-w-statystyce-publicznej/1481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s://stat.gov.pl/metainformacje/slownik-pojec/pojecia-stosowane-w-statystyce-publicznej/202,pojecie.html" TargetMode="External"/><Relationship Id="rId30" Type="http://schemas.openxmlformats.org/officeDocument/2006/relationships/hyperlink" Target="https://stat.gov.pl/metainformacje/slownik-pojec/pojecia-stosowane-w-statystyce-publicznej/638,pojecie.html" TargetMode="External"/><Relationship Id="rId35" Type="http://schemas.openxmlformats.org/officeDocument/2006/relationships/hyperlink" Target="https://stat.gov.pl/obszary-tematyczne/infrastruktura-komunalna-nieruchomosci/nieruchomosci-budynki-infrastruktura-komunalna/gospodarka-mieszkaniowa-w-2017-roku,7,13.html" TargetMode="External"/><Relationship Id="rId43" Type="http://schemas.openxmlformats.org/officeDocument/2006/relationships/hyperlink" Target="https://stat.gov.pl/metainformacje/slownik-pojec/pojecia-stosowane-w-statystyce-publicznej/157,pojecie.html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stat.gov.pl/metainformacje/slownik-pojec/pojecia-stosowane-w-statystyce-publicznej/1481,pojecie.html" TargetMode="External"/><Relationship Id="rId38" Type="http://schemas.openxmlformats.org/officeDocument/2006/relationships/hyperlink" Target="https://stat.gov.pl/metainformacje/slownik-pojec/pojecia-stosowane-w-statystyce-publicznej/202,pojecie.html" TargetMode="External"/><Relationship Id="rId46" Type="http://schemas.openxmlformats.org/officeDocument/2006/relationships/header" Target="header3.xm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stat.gov.pl/metainformacje/slownik-pojec/pojecia-stosowane-w-statystyce-publicznej/63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1476373074183572"/>
          <c:y val="4.5900271228875446E-2"/>
          <c:w val="0.73828469396715735"/>
          <c:h val="0.73220000952833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Arkusz2!$E$2</c:f>
              <c:strCache>
                <c:ptCount val="1"/>
                <c:pt idx="0">
                  <c:v>Miasta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Arkusz2!$E$3:$E$7</c:f>
              <c:numCache>
                <c:formatCode>0.0</c:formatCode>
                <c:ptCount val="5"/>
                <c:pt idx="0">
                  <c:v>87.7</c:v>
                </c:pt>
                <c:pt idx="1">
                  <c:v>71.400000000000006</c:v>
                </c:pt>
                <c:pt idx="2">
                  <c:v>95.6</c:v>
                </c:pt>
                <c:pt idx="3">
                  <c:v>97.3</c:v>
                </c:pt>
                <c:pt idx="4">
                  <c:v>99.1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A4-4F34-9516-0989413D7578}"/>
            </c:ext>
          </c:extLst>
        </c:ser>
        <c:ser>
          <c:idx val="1"/>
          <c:order val="1"/>
          <c:tx>
            <c:strRef>
              <c:f>Arkusz2!$F$2</c:f>
              <c:strCache>
                <c:ptCount val="1"/>
                <c:pt idx="0">
                  <c:v>Obszary wiejskie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Arkusz2!$F$3:$F$7</c:f>
              <c:numCache>
                <c:formatCode>0.0</c:formatCode>
                <c:ptCount val="5"/>
                <c:pt idx="0">
                  <c:v>72</c:v>
                </c:pt>
                <c:pt idx="1">
                  <c:v>22.5</c:v>
                </c:pt>
                <c:pt idx="2">
                  <c:v>83.1</c:v>
                </c:pt>
                <c:pt idx="3">
                  <c:v>86.6</c:v>
                </c:pt>
                <c:pt idx="4">
                  <c:v>92.3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A4-4F34-9516-0989413D7578}"/>
            </c:ext>
          </c:extLst>
        </c:ser>
        <c:ser>
          <c:idx val="2"/>
          <c:order val="2"/>
          <c:tx>
            <c:strRef>
              <c:f>Arkusz2!$G$2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Arkusz2!$G$3:$G$7</c:f>
              <c:numCache>
                <c:formatCode>General</c:formatCode>
                <c:ptCount val="5"/>
                <c:pt idx="0">
                  <c:v>82.6</c:v>
                </c:pt>
                <c:pt idx="1">
                  <c:v>55.5</c:v>
                </c:pt>
                <c:pt idx="2">
                  <c:v>91.5</c:v>
                </c:pt>
                <c:pt idx="3">
                  <c:v>93.8</c:v>
                </c:pt>
                <c:pt idx="4">
                  <c:v>96.9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A4-4F34-9516-0989413D75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356629360"/>
        <c:axId val="-356628816"/>
      </c:barChart>
      <c:catAx>
        <c:axId val="-356629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56628816"/>
        <c:crossesAt val="0"/>
        <c:auto val="1"/>
        <c:lblAlgn val="ctr"/>
        <c:lblOffset val="100"/>
        <c:noMultiLvlLbl val="0"/>
      </c:catAx>
      <c:valAx>
        <c:axId val="-35662881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5662936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211017767760441"/>
          <c:y val="0.89296234173524058"/>
          <c:w val="0.49082301515284565"/>
          <c:h val="4.02735283089613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0.82156</cdr:x>
      <cdr:y>0.82857</cdr:y>
    </cdr:from>
    <cdr:to>
      <cdr:x>1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057775" y="50577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C7C87-AD5A-4077-8BCA-57B06D40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2544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Gospodarka mieszkaniowa w 2018 roku</vt:lpstr>
    </vt:vector>
  </TitlesOfParts>
  <Company/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Gospodarka mieszkaniowa w 2018 roku</dc:title>
  <dc:creator>Sadowy Joanna</dc:creator>
  <cp:lastModifiedBy>Sadowy Joanna</cp:lastModifiedBy>
  <cp:revision>2</cp:revision>
  <cp:lastPrinted>2019-09-13T05:28:00Z</cp:lastPrinted>
  <dcterms:created xsi:type="dcterms:W3CDTF">2026-03-30T09:54:00Z</dcterms:created>
  <dcterms:modified xsi:type="dcterms:W3CDTF">2026-03-30T09:54:00Z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