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385867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bookmarkStart w:id="0" w:name="_GoBack"/>
      <w:bookmarkEnd w:id="0"/>
      <w:r w:rsidRPr="00385867">
        <w:rPr>
          <w:rFonts w:cs="Fira Sans Extra Condensed SemiB"/>
          <w:bCs/>
          <w:w w:val="90"/>
          <w:szCs w:val="40"/>
        </w:rPr>
        <w:t>Gospodarka mieszkaniowa w 2017 roku</w:t>
      </w:r>
    </w:p>
    <w:p w:rsidR="00E2731E" w:rsidRPr="00001C5B" w:rsidRDefault="00A72EFD" w:rsidP="00E2731E">
      <w:pPr>
        <w:pStyle w:val="tytuinformacji"/>
        <w:spacing w:before="0"/>
        <w:rPr>
          <w:sz w:val="32"/>
        </w:rPr>
      </w:pPr>
      <w:r>
        <w:rPr>
          <w:rFonts w:ascii="Fira Sans" w:hAnsi="Fira Sans"/>
          <w:noProof/>
          <w:color w:val="212492"/>
          <w:spacing w:val="-2"/>
          <w:sz w:val="19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173441</wp:posOffset>
                </wp:positionV>
                <wp:extent cx="1666875" cy="798830"/>
                <wp:effectExtent l="0" t="0" r="0" b="1270"/>
                <wp:wrapTight wrapText="bothSides">
                  <wp:wrapPolygon edited="0">
                    <wp:start x="741" y="0"/>
                    <wp:lineTo x="741" y="21119"/>
                    <wp:lineTo x="20736" y="21119"/>
                    <wp:lineTo x="20736" y="0"/>
                    <wp:lineTo x="741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074DD8" w:rsidRDefault="0011639F" w:rsidP="00C03B6D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wciąż 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zwiększa się </w:t>
                            </w:r>
                            <w:r w:rsidR="007F26E4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liczba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3.65pt;width:131.25pt;height:62.9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" filled="f" stroked="f">
                <v:textbox>
                  <w:txbxContent>
                    <w:p w:rsidR="0011639F" w:rsidRPr="00074DD8" w:rsidRDefault="0011639F" w:rsidP="00C03B6D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wciąż 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zwiększa się </w:t>
                      </w:r>
                      <w:r w:rsidR="007F26E4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liczba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mieszkań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916D7" w:rsidRPr="00074DD8" w:rsidRDefault="00A72EFD" w:rsidP="00633014">
      <w:pPr>
        <w:pStyle w:val="LID"/>
      </w:pPr>
      <w:r w:rsidRPr="002A4300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101850" cy="105981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0598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B66B19" w:rsidRDefault="0011639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367030" cy="374650"/>
                                  <wp:effectExtent l="0" t="0" r="0" b="635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030" cy="37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101,2</w:t>
                            </w:r>
                          </w:p>
                          <w:p w:rsidR="0011639F" w:rsidRDefault="0011639F" w:rsidP="00202C00">
                            <w:pPr>
                              <w:pStyle w:val="Tekstpodstawowy"/>
                              <w:kinsoku w:val="0"/>
                              <w:overflowPunct w:val="0"/>
                              <w:spacing w:before="1" w:line="238" w:lineRule="exact"/>
                              <w:ind w:left="151" w:right="215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Przyrost liczby 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6pt;width:165.5pt;height:83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" fillcolor="#001d77" stroked="f">
                <v:textbox>
                  <w:txbxContent>
                    <w:p w:rsidR="0011639F" w:rsidRPr="00B66B19" w:rsidRDefault="0011639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>
                            <wp:extent cx="367030" cy="374650"/>
                            <wp:effectExtent l="0" t="0" r="0" b="635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03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101,2</w:t>
                      </w:r>
                    </w:p>
                    <w:p w:rsidR="0011639F" w:rsidRDefault="0011639F" w:rsidP="00202C00">
                      <w:pPr>
                        <w:pStyle w:val="Tekstpodstawowy"/>
                        <w:kinsoku w:val="0"/>
                        <w:overflowPunct w:val="0"/>
                        <w:spacing w:before="1" w:line="238" w:lineRule="exact"/>
                        <w:ind w:left="151" w:right="215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Przyrost liczby mieszkań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BB2" w:rsidRPr="002A4300">
        <w:t xml:space="preserve">W Polsce </w:t>
      </w:r>
      <w:r w:rsidR="00494F63">
        <w:t xml:space="preserve">według stanu na koniec </w:t>
      </w:r>
      <w:r w:rsidR="00930BB2" w:rsidRPr="002A4300">
        <w:t>2017 r</w:t>
      </w:r>
      <w:r w:rsidR="00494F63">
        <w:t>.</w:t>
      </w:r>
      <w:r w:rsidR="008174AE">
        <w:t xml:space="preserve"> odnotowano 14,4 mln mieszkań</w:t>
      </w:r>
      <w:r w:rsidR="00494F63">
        <w:t xml:space="preserve"> </w:t>
      </w:r>
      <w:r w:rsidR="008174AE">
        <w:t>(wzrost o</w:t>
      </w:r>
      <w:r w:rsidR="00AF3EBD">
        <w:t xml:space="preserve"> </w:t>
      </w:r>
      <w:r w:rsidR="008174AE">
        <w:t>1,2% w porównaniu do stanu na koniec 2016 r.) o</w:t>
      </w:r>
      <w:r w:rsidR="00494F63">
        <w:t xml:space="preserve"> </w:t>
      </w:r>
      <w:r w:rsidR="008174AE">
        <w:t xml:space="preserve">łącznej powierzchni </w:t>
      </w:r>
      <w:r w:rsidR="00930BB2" w:rsidRPr="002A4300">
        <w:t>użytkow</w:t>
      </w:r>
      <w:r w:rsidR="00494F63">
        <w:t>ej</w:t>
      </w:r>
      <w:r w:rsidR="00930BB2" w:rsidRPr="002A4300">
        <w:t xml:space="preserve"> 1</w:t>
      </w:r>
      <w:r w:rsidR="001D4A83">
        <w:t> </w:t>
      </w:r>
      <w:r w:rsidR="00596BDB" w:rsidRPr="002A4300">
        <w:t>068,</w:t>
      </w:r>
      <w:r w:rsidR="00494F63">
        <w:t>6</w:t>
      </w:r>
      <w:r w:rsidR="00930BB2" w:rsidRPr="002A4300">
        <w:t xml:space="preserve"> </w:t>
      </w:r>
      <w:r w:rsidR="00494F63">
        <w:t>mln</w:t>
      </w:r>
      <w:r w:rsidR="00930BB2" w:rsidRPr="002A4300">
        <w:t xml:space="preserve"> m</w:t>
      </w:r>
      <w:r w:rsidR="00930BB2" w:rsidRPr="002A4300">
        <w:rPr>
          <w:vertAlign w:val="superscript"/>
        </w:rPr>
        <w:t>2</w:t>
      </w:r>
      <w:r w:rsidR="00494F63">
        <w:t>, w których</w:t>
      </w:r>
      <w:r w:rsidR="00596BDB" w:rsidRPr="002A4300">
        <w:t xml:space="preserve"> </w:t>
      </w:r>
      <w:r w:rsidR="00494F63">
        <w:t>znajdowało się</w:t>
      </w:r>
      <w:r w:rsidR="00930BB2" w:rsidRPr="002A4300">
        <w:t xml:space="preserve"> </w:t>
      </w:r>
      <w:r w:rsidR="00596BDB" w:rsidRPr="002A4300">
        <w:t>55</w:t>
      </w:r>
      <w:r w:rsidR="00494F63">
        <w:t>,</w:t>
      </w:r>
      <w:r w:rsidR="00596BDB" w:rsidRPr="002A4300">
        <w:t>2</w:t>
      </w:r>
      <w:r w:rsidR="00494F63">
        <w:t xml:space="preserve"> mln</w:t>
      </w:r>
      <w:r w:rsidR="00494F63" w:rsidRPr="00494F63">
        <w:t xml:space="preserve"> </w:t>
      </w:r>
      <w:r w:rsidR="00494F63" w:rsidRPr="002A4300">
        <w:t>izb</w:t>
      </w:r>
      <w:r w:rsidR="00596BDB" w:rsidRPr="002A4300">
        <w:t>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Default="00C22105" w:rsidP="00E2731E">
      <w:pPr>
        <w:pStyle w:val="Nagwek1"/>
        <w:spacing w:after="0"/>
        <w:rPr>
          <w:shd w:val="clear" w:color="auto" w:fill="FFFFFF"/>
        </w:rPr>
      </w:pPr>
    </w:p>
    <w:p w:rsidR="00E2731E" w:rsidRPr="00627864" w:rsidRDefault="00E2731E" w:rsidP="00E2731E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930BB2" w:rsidRPr="00C90651" w:rsidRDefault="007F26E4" w:rsidP="00930BB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596BDB">
        <w:rPr>
          <w:noProof/>
          <w:color w:val="212492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1B7A8363" wp14:editId="460F27DC">
                <wp:simplePos x="0" y="0"/>
                <wp:positionH relativeFrom="column">
                  <wp:posOffset>5243230</wp:posOffset>
                </wp:positionH>
                <wp:positionV relativeFrom="paragraph">
                  <wp:posOffset>157806</wp:posOffset>
                </wp:positionV>
                <wp:extent cx="1735455" cy="1090930"/>
                <wp:effectExtent l="0" t="0" r="0" b="0"/>
                <wp:wrapTight wrapText="bothSides">
                  <wp:wrapPolygon edited="0">
                    <wp:start x="711" y="0"/>
                    <wp:lineTo x="711" y="21122"/>
                    <wp:lineTo x="20865" y="21122"/>
                    <wp:lineTo x="20865" y="0"/>
                    <wp:lineTo x="711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090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074DD8" w:rsidRDefault="0011639F" w:rsidP="00596BDB">
                            <w:pPr>
                              <w:pStyle w:val="tekstzboku"/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Zasoby mieszkaniowe w Polsce na koniec 2017 r. liczyły 14,4 mln. Łączna powierzchnia użytkowa to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068,6 mln m</w:t>
                            </w:r>
                            <w:r w:rsidRPr="00E24FCC">
                              <w:rPr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a liczba izb to 55,2 mln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8363" id="_x0000_s1028" type="#_x0000_t202" style="position:absolute;margin-left:412.85pt;margin-top:12.45pt;width:136.65pt;height:85.9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" filled="f" stroked="f">
                <v:textbox>
                  <w:txbxContent>
                    <w:p w:rsidR="0011639F" w:rsidRPr="00074DD8" w:rsidRDefault="0011639F" w:rsidP="00596BDB">
                      <w:pPr>
                        <w:pStyle w:val="tekstzboku"/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Zasoby mieszkaniowe w Polsce na koniec 2017 r. liczyły 14,4 mln. Łączna powierzchnia użytkowa to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068,6 mln m</w:t>
                      </w:r>
                      <w:r w:rsidRPr="00E24FCC">
                        <w:rPr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a liczba izb to 55,2 mln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0BB2" w:rsidRPr="00C90651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p w:rsidR="00930BB2" w:rsidRPr="00C90651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930BB2" w:rsidRPr="00C90651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C90651">
        <w:rPr>
          <w:rFonts w:eastAsia="Times New Roman" w:cs="Times New Roman"/>
          <w:bCs/>
          <w:szCs w:val="19"/>
          <w:lang w:eastAsia="pl-PL"/>
        </w:rPr>
        <w:t>Według stanu na 31 grudnia 201</w:t>
      </w:r>
      <w:r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r. zasoby mieszkaniowe kraju liczyły 14,</w:t>
      </w:r>
      <w:r>
        <w:rPr>
          <w:rFonts w:eastAsia="Times New Roman" w:cs="Times New Roman"/>
          <w:bCs/>
          <w:szCs w:val="19"/>
          <w:lang w:eastAsia="pl-PL"/>
        </w:rPr>
        <w:t>4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mieszkań o</w:t>
      </w:r>
      <w:r w:rsidR="00625167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łącznej powierzchni użytkowej 1</w:t>
      </w:r>
      <w:r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0</w:t>
      </w:r>
      <w:r>
        <w:rPr>
          <w:rFonts w:eastAsia="Times New Roman" w:cs="Times New Roman"/>
          <w:bCs/>
          <w:szCs w:val="19"/>
          <w:lang w:eastAsia="pl-PL"/>
        </w:rPr>
        <w:t>68,6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E24FCC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>, w których znajdowało się 5</w:t>
      </w:r>
      <w:r>
        <w:rPr>
          <w:rFonts w:eastAsia="Times New Roman" w:cs="Times New Roman"/>
          <w:bCs/>
          <w:szCs w:val="19"/>
          <w:lang w:eastAsia="pl-PL"/>
        </w:rPr>
        <w:t>5,2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izb. </w:t>
      </w:r>
    </w:p>
    <w:p w:rsidR="008174AE" w:rsidRDefault="008174AE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>W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porównaniu z poprzednim rokiem przybyło 1</w:t>
      </w:r>
      <w:r>
        <w:rPr>
          <w:rFonts w:eastAsia="Times New Roman" w:cs="Times New Roman"/>
          <w:bCs/>
          <w:szCs w:val="19"/>
          <w:lang w:eastAsia="pl-PL"/>
        </w:rPr>
        <w:t>67,8 </w:t>
      </w:r>
      <w:r w:rsidRPr="00C90651">
        <w:rPr>
          <w:rFonts w:eastAsia="Times New Roman" w:cs="Times New Roman"/>
          <w:bCs/>
          <w:szCs w:val="19"/>
          <w:lang w:eastAsia="pl-PL"/>
        </w:rPr>
        <w:t>tys. mieszkań (wzrost o 1,</w:t>
      </w:r>
      <w:r>
        <w:rPr>
          <w:rFonts w:eastAsia="Times New Roman" w:cs="Times New Roman"/>
          <w:bCs/>
          <w:szCs w:val="19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>%)</w:t>
      </w:r>
      <w:r>
        <w:rPr>
          <w:rFonts w:eastAsia="Times New Roman" w:cs="Times New Roman"/>
          <w:bCs/>
          <w:szCs w:val="19"/>
          <w:lang w:eastAsia="pl-PL"/>
        </w:rPr>
        <w:t>,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</w:t>
      </w:r>
      <w:r>
        <w:rPr>
          <w:rFonts w:eastAsia="Times New Roman" w:cs="Times New Roman"/>
          <w:bCs/>
          <w:szCs w:val="19"/>
          <w:lang w:eastAsia="pl-PL"/>
        </w:rPr>
        <w:t>których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łączn</w:t>
      </w:r>
      <w:r>
        <w:rPr>
          <w:rFonts w:eastAsia="Times New Roman" w:cs="Times New Roman"/>
          <w:bCs/>
          <w:szCs w:val="19"/>
          <w:lang w:eastAsia="pl-PL"/>
        </w:rPr>
        <w:t>a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powierzchni</w:t>
      </w:r>
      <w:r>
        <w:rPr>
          <w:rFonts w:eastAsia="Times New Roman" w:cs="Times New Roman"/>
          <w:bCs/>
          <w:szCs w:val="19"/>
          <w:lang w:eastAsia="pl-PL"/>
        </w:rPr>
        <w:t>a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użytkow</w:t>
      </w:r>
      <w:r>
        <w:rPr>
          <w:rFonts w:eastAsia="Times New Roman" w:cs="Times New Roman"/>
          <w:bCs/>
          <w:szCs w:val="19"/>
          <w:lang w:eastAsia="pl-PL"/>
        </w:rPr>
        <w:t>a wynosiła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1</w:t>
      </w:r>
      <w:r w:rsidR="00AF3EBD">
        <w:rPr>
          <w:rFonts w:eastAsia="Times New Roman" w:cs="Times New Roman"/>
          <w:bCs/>
          <w:szCs w:val="19"/>
          <w:lang w:eastAsia="pl-PL"/>
        </w:rPr>
        <w:t>5 305,7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tys. m</w:t>
      </w:r>
      <w:r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(</w:t>
      </w:r>
      <w:r>
        <w:rPr>
          <w:rFonts w:eastAsia="Times New Roman" w:cs="Times New Roman"/>
          <w:bCs/>
          <w:szCs w:val="19"/>
          <w:lang w:eastAsia="pl-PL"/>
        </w:rPr>
        <w:t>wzrost o </w:t>
      </w:r>
      <w:r w:rsidR="00AF3EBD">
        <w:rPr>
          <w:rFonts w:eastAsia="Times New Roman" w:cs="Times New Roman"/>
          <w:bCs/>
          <w:szCs w:val="19"/>
          <w:lang w:eastAsia="pl-PL"/>
        </w:rPr>
        <w:t>1,5</w:t>
      </w:r>
      <w:r w:rsidRPr="00C90651">
        <w:rPr>
          <w:rFonts w:eastAsia="Times New Roman" w:cs="Times New Roman"/>
          <w:bCs/>
          <w:szCs w:val="19"/>
          <w:lang w:eastAsia="pl-PL"/>
        </w:rPr>
        <w:t>%)</w:t>
      </w:r>
      <w:r>
        <w:rPr>
          <w:rFonts w:eastAsia="Times New Roman" w:cs="Times New Roman"/>
          <w:bCs/>
          <w:szCs w:val="19"/>
          <w:lang w:eastAsia="pl-PL"/>
        </w:rPr>
        <w:t>, a liczba izb – </w:t>
      </w:r>
      <w:r w:rsidR="00AF3EBD">
        <w:rPr>
          <w:rFonts w:eastAsia="Times New Roman" w:cs="Times New Roman"/>
          <w:bCs/>
          <w:szCs w:val="19"/>
          <w:lang w:eastAsia="pl-PL"/>
        </w:rPr>
        <w:t>647,3</w:t>
      </w:r>
      <w:r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tys. (</w:t>
      </w:r>
      <w:r>
        <w:rPr>
          <w:rFonts w:eastAsia="Times New Roman" w:cs="Times New Roman"/>
          <w:bCs/>
          <w:szCs w:val="19"/>
          <w:lang w:eastAsia="pl-PL"/>
        </w:rPr>
        <w:t xml:space="preserve">wzrost </w:t>
      </w:r>
      <w:r w:rsidRPr="00C90651">
        <w:rPr>
          <w:rFonts w:eastAsia="Times New Roman" w:cs="Times New Roman"/>
          <w:bCs/>
          <w:szCs w:val="19"/>
          <w:lang w:eastAsia="pl-PL"/>
        </w:rPr>
        <w:t>o 1,</w:t>
      </w:r>
      <w:r w:rsidR="00AF3EBD">
        <w:rPr>
          <w:rFonts w:eastAsia="Times New Roman" w:cs="Times New Roman"/>
          <w:bCs/>
          <w:szCs w:val="19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%). </w:t>
      </w:r>
    </w:p>
    <w:p w:rsidR="00930BB2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C90651">
        <w:rPr>
          <w:rFonts w:eastAsia="Times New Roman" w:cs="Times New Roman"/>
          <w:bCs/>
          <w:szCs w:val="19"/>
          <w:lang w:eastAsia="pl-PL"/>
        </w:rPr>
        <w:t>W miastach zlokalizowanych było około 9,</w:t>
      </w:r>
      <w:r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mieszkań o powierzchni 62</w:t>
      </w:r>
      <w:r>
        <w:rPr>
          <w:rFonts w:eastAsia="Times New Roman" w:cs="Times New Roman"/>
          <w:bCs/>
          <w:szCs w:val="19"/>
          <w:lang w:eastAsia="pl-PL"/>
        </w:rPr>
        <w:t>8,9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oraz 34,</w:t>
      </w:r>
      <w:r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izb. Na terenach wiejskich znajdowało się prawie 4,7 mln mieszkań o powierzchni 43</w:t>
      </w:r>
      <w:r>
        <w:rPr>
          <w:rFonts w:eastAsia="Times New Roman" w:cs="Times New Roman"/>
          <w:bCs/>
          <w:szCs w:val="19"/>
          <w:lang w:eastAsia="pl-PL"/>
        </w:rPr>
        <w:t>9,6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m</w:t>
      </w:r>
      <w:r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oraz 20,</w:t>
      </w:r>
      <w:r>
        <w:rPr>
          <w:rFonts w:eastAsia="Times New Roman" w:cs="Times New Roman"/>
          <w:bCs/>
          <w:szCs w:val="19"/>
          <w:lang w:eastAsia="pl-PL"/>
        </w:rPr>
        <w:t>5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mln izb. W miastach liczba mieszkań wzrosła o 1</w:t>
      </w:r>
      <w:r w:rsidR="00AF3EBD">
        <w:rPr>
          <w:rFonts w:eastAsia="Times New Roman" w:cs="Times New Roman"/>
          <w:bCs/>
          <w:szCs w:val="19"/>
          <w:lang w:eastAsia="pl-PL"/>
        </w:rPr>
        <w:t>20,2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tys. (</w:t>
      </w:r>
      <w:r w:rsidR="00DA1979">
        <w:rPr>
          <w:rFonts w:eastAsia="Times New Roman" w:cs="Times New Roman"/>
          <w:bCs/>
          <w:szCs w:val="19"/>
          <w:lang w:eastAsia="pl-PL"/>
        </w:rPr>
        <w:t xml:space="preserve">o </w:t>
      </w:r>
      <w:r w:rsidRPr="00C90651">
        <w:rPr>
          <w:rFonts w:eastAsia="Times New Roman" w:cs="Times New Roman"/>
          <w:bCs/>
          <w:szCs w:val="19"/>
          <w:lang w:eastAsia="pl-PL"/>
        </w:rPr>
        <w:t>1,</w:t>
      </w:r>
      <w:r w:rsidR="00AF3EBD">
        <w:rPr>
          <w:rFonts w:eastAsia="Times New Roman" w:cs="Times New Roman"/>
          <w:bCs/>
          <w:szCs w:val="19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>%), natomiast na</w:t>
      </w:r>
      <w:r w:rsidR="00DA1979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terenach wiejskich przybyło ich 4</w:t>
      </w:r>
      <w:r w:rsidR="00AF3EBD"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>,</w:t>
      </w:r>
      <w:r w:rsidR="00AF3EBD">
        <w:rPr>
          <w:rFonts w:eastAsia="Times New Roman" w:cs="Times New Roman"/>
          <w:bCs/>
          <w:szCs w:val="19"/>
          <w:lang w:eastAsia="pl-PL"/>
        </w:rPr>
        <w:t>6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tys. (</w:t>
      </w:r>
      <w:r w:rsidR="00DA1979">
        <w:rPr>
          <w:rFonts w:eastAsia="Times New Roman" w:cs="Times New Roman"/>
          <w:bCs/>
          <w:szCs w:val="19"/>
          <w:lang w:eastAsia="pl-PL"/>
        </w:rPr>
        <w:t xml:space="preserve">o </w:t>
      </w:r>
      <w:r w:rsidR="00AF3EBD">
        <w:rPr>
          <w:rFonts w:eastAsia="Times New Roman" w:cs="Times New Roman"/>
          <w:bCs/>
          <w:szCs w:val="19"/>
          <w:lang w:eastAsia="pl-PL"/>
        </w:rPr>
        <w:t>1,0</w:t>
      </w:r>
      <w:r w:rsidR="00625167">
        <w:rPr>
          <w:rFonts w:eastAsia="Times New Roman" w:cs="Times New Roman"/>
          <w:bCs/>
          <w:szCs w:val="19"/>
          <w:lang w:eastAsia="pl-PL"/>
        </w:rPr>
        <w:t>%)</w:t>
      </w:r>
      <w:r w:rsidRPr="00C90651">
        <w:rPr>
          <w:rFonts w:eastAsia="Times New Roman" w:cs="Times New Roman"/>
          <w:bCs/>
          <w:szCs w:val="19"/>
          <w:lang w:eastAsia="pl-PL"/>
        </w:rPr>
        <w:t>.</w:t>
      </w:r>
    </w:p>
    <w:p w:rsidR="00727AC5" w:rsidRDefault="00727AC5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0300FB" w:rsidRDefault="000300FB" w:rsidP="000300FB">
      <w:pPr>
        <w:spacing w:before="0" w:after="0"/>
        <w:rPr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>Zasoby mieszkaniowe (stan w dniu 31 XII)</w:t>
      </w:r>
    </w:p>
    <w:p w:rsidR="000300FB" w:rsidRDefault="000300FB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851"/>
        <w:gridCol w:w="992"/>
        <w:gridCol w:w="932"/>
      </w:tblGrid>
      <w:tr w:rsidR="00123B64" w:rsidRPr="00FC248A" w:rsidTr="00977284">
        <w:trPr>
          <w:trHeight w:val="315"/>
        </w:trPr>
        <w:tc>
          <w:tcPr>
            <w:tcW w:w="4111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23B64" w:rsidRPr="00FC248A" w:rsidRDefault="00123B64" w:rsidP="00123B64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9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23B64" w:rsidRPr="00FC248A" w:rsidRDefault="00123B64" w:rsidP="00123B64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23B64" w:rsidRPr="00FC248A" w:rsidRDefault="00123B64" w:rsidP="00C92930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C92930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23B64" w:rsidRPr="00FC248A" w:rsidRDefault="00123B64" w:rsidP="00123B64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3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23B64" w:rsidRPr="00FC248A" w:rsidRDefault="00123B64" w:rsidP="00E866C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E866C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123B64" w:rsidRPr="00FC248A" w:rsidTr="00977284">
        <w:trPr>
          <w:trHeight w:val="330"/>
        </w:trPr>
        <w:tc>
          <w:tcPr>
            <w:tcW w:w="4111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123B64" w:rsidRPr="00FC248A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14 272,0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14 439,8</w:t>
            </w:r>
          </w:p>
        </w:tc>
        <w:tc>
          <w:tcPr>
            <w:tcW w:w="932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727AC5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54 558,3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55 205,6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</w:t>
            </w:r>
            <w:r w:rsidR="00E866C2">
              <w:rPr>
                <w:rFonts w:eastAsia="Times New Roman" w:cs="Calibri"/>
                <w:sz w:val="16"/>
                <w:szCs w:val="16"/>
                <w:lang w:eastAsia="pl-PL"/>
              </w:rPr>
              <w:t xml:space="preserve"> m</w:t>
            </w:r>
            <w:r w:rsidR="00E866C2" w:rsidRPr="00E866C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1 053 251,8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1 068 557,5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Mieszkania na 1000 ludności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371,3</w:t>
            </w: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D4A83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85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93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</w:tr>
      <w:tr w:rsidR="00123B64" w:rsidRPr="00FC248A" w:rsidTr="007F26E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3B3B38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123B64" w:rsidRPr="00FC248A" w:rsidTr="007F26E4">
        <w:trPr>
          <w:trHeight w:val="315"/>
        </w:trPr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1 mieszkania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74,0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100,3</w:t>
            </w:r>
          </w:p>
        </w:tc>
      </w:tr>
      <w:tr w:rsidR="00123B64" w:rsidRPr="00FC248A" w:rsidTr="007F26E4">
        <w:trPr>
          <w:trHeight w:val="315"/>
        </w:trPr>
        <w:tc>
          <w:tcPr>
            <w:tcW w:w="411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na 1 osobę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27,4</w:t>
            </w:r>
          </w:p>
        </w:tc>
        <w:tc>
          <w:tcPr>
            <w:tcW w:w="85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27,8</w:t>
            </w:r>
          </w:p>
        </w:tc>
        <w:tc>
          <w:tcPr>
            <w:tcW w:w="93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</w:tr>
      <w:tr w:rsidR="00123B64" w:rsidRPr="00FC248A" w:rsidTr="00977284">
        <w:trPr>
          <w:trHeight w:val="315"/>
        </w:trPr>
        <w:tc>
          <w:tcPr>
            <w:tcW w:w="411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123B64" w:rsidRPr="00FC248A" w:rsidTr="00E866C2">
        <w:trPr>
          <w:trHeight w:val="315"/>
        </w:trPr>
        <w:tc>
          <w:tcPr>
            <w:tcW w:w="41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Default="00123B64" w:rsidP="00123B64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1 mieszkanie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2,69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2,66</w:t>
            </w:r>
          </w:p>
        </w:tc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3B64" w:rsidRPr="00FC248A" w:rsidRDefault="00123B64" w:rsidP="00123B64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98,9</w:t>
            </w:r>
          </w:p>
        </w:tc>
      </w:tr>
      <w:tr w:rsidR="00E866C2" w:rsidRPr="00FC248A" w:rsidTr="00977284">
        <w:trPr>
          <w:trHeight w:val="315"/>
        </w:trPr>
        <w:tc>
          <w:tcPr>
            <w:tcW w:w="411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E866C2" w:rsidRDefault="00E866C2" w:rsidP="00E866C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   1 izbę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E866C2" w:rsidRDefault="00E866C2" w:rsidP="00E866C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0,70</w:t>
            </w:r>
          </w:p>
        </w:tc>
        <w:tc>
          <w:tcPr>
            <w:tcW w:w="851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E866C2" w:rsidRDefault="00E866C2" w:rsidP="00E866C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E866C2" w:rsidRDefault="00E866C2" w:rsidP="00E866C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0,70</w:t>
            </w:r>
          </w:p>
        </w:tc>
        <w:tc>
          <w:tcPr>
            <w:tcW w:w="932" w:type="dxa"/>
            <w:tcBorders>
              <w:top w:val="nil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E866C2" w:rsidRDefault="00E866C2" w:rsidP="00E866C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</w:tr>
    </w:tbl>
    <w:p w:rsidR="00727AC5" w:rsidRDefault="007F26E4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596BDB">
        <w:rPr>
          <w:noProof/>
          <w:color w:val="212492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1B7A8363" wp14:editId="460F27DC">
                <wp:simplePos x="0" y="0"/>
                <wp:positionH relativeFrom="column">
                  <wp:posOffset>5260306</wp:posOffset>
                </wp:positionH>
                <wp:positionV relativeFrom="paragraph">
                  <wp:posOffset>6762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074DD8" w:rsidRDefault="0011639F" w:rsidP="00596BDB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</w:t>
                            </w:r>
                            <w:r w:rsidR="00E33B28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8363" id="_x0000_s1029" type="#_x0000_t202" style="position:absolute;margin-left:414.2pt;margin-top:.55pt;width:131.25pt;height:62.3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" filled="f" stroked="f">
                <v:textbox>
                  <w:txbxContent>
                    <w:p w:rsidR="0011639F" w:rsidRPr="00074DD8" w:rsidRDefault="0011639F" w:rsidP="00596BDB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</w:t>
                      </w:r>
                      <w:r w:rsidR="00E33B28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we ulegają nieznacznej poprawie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30BB2" w:rsidRPr="00C90651" w:rsidRDefault="003B3B38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rFonts w:eastAsia="Times New Roman" w:cs="Times New Roman"/>
          <w:bCs/>
          <w:szCs w:val="19"/>
          <w:lang w:eastAsia="pl-PL"/>
        </w:rPr>
        <w:t>W 2017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r. warunki mieszkaniowe w Polsce uległy nieznacznej poprawie w porównaniu do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poprzednich lat. </w:t>
      </w:r>
      <w:r w:rsidR="00123B64" w:rsidRPr="00C90651">
        <w:rPr>
          <w:rFonts w:eastAsia="Times New Roman" w:cs="Times New Roman"/>
          <w:bCs/>
          <w:szCs w:val="19"/>
          <w:lang w:eastAsia="pl-PL"/>
        </w:rPr>
        <w:t>Według stanu na 31 grudnia 201</w:t>
      </w:r>
      <w:r w:rsidR="00123B64">
        <w:rPr>
          <w:rFonts w:eastAsia="Times New Roman" w:cs="Times New Roman"/>
          <w:bCs/>
          <w:szCs w:val="19"/>
          <w:lang w:eastAsia="pl-PL"/>
        </w:rPr>
        <w:t>7</w:t>
      </w:r>
      <w:r w:rsidR="00123B64" w:rsidRPr="00C90651">
        <w:rPr>
          <w:rFonts w:eastAsia="Times New Roman" w:cs="Times New Roman"/>
          <w:bCs/>
          <w:szCs w:val="19"/>
          <w:lang w:eastAsia="pl-PL"/>
        </w:rPr>
        <w:t xml:space="preserve"> r. </w:t>
      </w:r>
      <w:r w:rsidR="00123B64">
        <w:rPr>
          <w:rFonts w:eastAsia="Times New Roman" w:cs="Times New Roman"/>
          <w:bCs/>
          <w:szCs w:val="19"/>
          <w:lang w:eastAsia="pl-PL"/>
        </w:rPr>
        <w:t>p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>rzeciętna liczba izb przypadająca na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1 mieszkanie wyniosła 3,82, w tym w miastach 3,57, a na </w:t>
      </w:r>
      <w:r w:rsidR="007F26E4">
        <w:rPr>
          <w:rFonts w:eastAsia="Times New Roman" w:cs="Times New Roman"/>
          <w:bCs/>
          <w:szCs w:val="19"/>
          <w:lang w:eastAsia="pl-PL"/>
        </w:rPr>
        <w:t>obszarach wiejskich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4,35. </w:t>
      </w:r>
      <w:r w:rsidR="00123B64">
        <w:rPr>
          <w:rFonts w:eastAsia="Times New Roman" w:cs="Times New Roman"/>
          <w:bCs/>
          <w:szCs w:val="19"/>
          <w:lang w:eastAsia="pl-PL"/>
        </w:rPr>
        <w:t>Ś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rednia wielkość mieszkania </w:t>
      </w:r>
      <w:r w:rsidR="00123B64">
        <w:rPr>
          <w:rFonts w:eastAsia="Times New Roman" w:cs="Times New Roman"/>
          <w:bCs/>
          <w:szCs w:val="19"/>
          <w:lang w:eastAsia="pl-PL"/>
        </w:rPr>
        <w:t>natomiast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wynosiła 7</w:t>
      </w:r>
      <w:r w:rsidR="000300FB">
        <w:rPr>
          <w:rFonts w:eastAsia="Times New Roman" w:cs="Times New Roman"/>
          <w:bCs/>
          <w:szCs w:val="19"/>
          <w:lang w:eastAsia="pl-PL"/>
        </w:rPr>
        <w:t>4,0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="00930BB2"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i wzrosła o 0,2 m</w:t>
      </w:r>
      <w:r w:rsidR="00930BB2"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w porównaniu z rokiem poprzednim. Miesz</w:t>
      </w:r>
      <w:r w:rsidR="000300FB">
        <w:rPr>
          <w:rFonts w:eastAsia="Times New Roman" w:cs="Times New Roman"/>
          <w:bCs/>
          <w:szCs w:val="19"/>
          <w:lang w:eastAsia="pl-PL"/>
        </w:rPr>
        <w:t xml:space="preserve">kania na </w:t>
      </w:r>
      <w:r w:rsidR="007F26E4">
        <w:rPr>
          <w:rFonts w:eastAsia="Times New Roman" w:cs="Times New Roman"/>
          <w:bCs/>
          <w:szCs w:val="19"/>
          <w:lang w:eastAsia="pl-PL"/>
        </w:rPr>
        <w:t>obszarach wiejskich</w:t>
      </w:r>
      <w:r w:rsidR="000300FB">
        <w:rPr>
          <w:rFonts w:eastAsia="Times New Roman" w:cs="Times New Roman"/>
          <w:bCs/>
          <w:szCs w:val="19"/>
          <w:lang w:eastAsia="pl-PL"/>
        </w:rPr>
        <w:t xml:space="preserve"> były średnio o 28,9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="00930BB2"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większe niż na terenach miast (odpowiednie wskaźniki wynoszą dla </w:t>
      </w:r>
      <w:r w:rsidR="007F26E4">
        <w:rPr>
          <w:rFonts w:eastAsia="Times New Roman" w:cs="Times New Roman"/>
          <w:bCs/>
          <w:szCs w:val="19"/>
          <w:lang w:eastAsia="pl-PL"/>
        </w:rPr>
        <w:t>obszarów wiejskich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</w:t>
      </w:r>
      <w:r w:rsidR="007F26E4">
        <w:rPr>
          <w:rFonts w:eastAsia="Times New Roman" w:cs="Times New Roman"/>
          <w:bCs/>
          <w:szCs w:val="19"/>
          <w:lang w:eastAsia="pl-PL"/>
        </w:rPr>
        <w:t xml:space="preserve">– 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>93,</w:t>
      </w:r>
      <w:r w:rsidR="000300FB">
        <w:rPr>
          <w:rFonts w:eastAsia="Times New Roman" w:cs="Times New Roman"/>
          <w:bCs/>
          <w:szCs w:val="19"/>
          <w:lang w:eastAsia="pl-PL"/>
        </w:rPr>
        <w:t>5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="00930BB2"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, a dla miast </w:t>
      </w:r>
      <w:r w:rsidR="007F26E4">
        <w:rPr>
          <w:rFonts w:eastAsia="Times New Roman" w:cs="Times New Roman"/>
          <w:bCs/>
          <w:szCs w:val="19"/>
          <w:lang w:eastAsia="pl-PL"/>
        </w:rPr>
        <w:t xml:space="preserve">– 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>64,</w:t>
      </w:r>
      <w:r w:rsidR="00A72049">
        <w:rPr>
          <w:rFonts w:eastAsia="Times New Roman" w:cs="Times New Roman"/>
          <w:bCs/>
          <w:szCs w:val="19"/>
          <w:lang w:eastAsia="pl-PL"/>
        </w:rPr>
        <w:t>6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="00930BB2" w:rsidRPr="002A4300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930BB2" w:rsidRPr="00C90651">
        <w:rPr>
          <w:rFonts w:eastAsia="Times New Roman" w:cs="Times New Roman"/>
          <w:bCs/>
          <w:szCs w:val="19"/>
          <w:lang w:eastAsia="pl-PL"/>
        </w:rPr>
        <w:t>).</w:t>
      </w:r>
    </w:p>
    <w:p w:rsidR="00930BB2" w:rsidRPr="00C90651" w:rsidRDefault="00930BB2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727AC5" w:rsidRDefault="00930BB2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C90651">
        <w:rPr>
          <w:rFonts w:eastAsia="Times New Roman" w:cs="Times New Roman"/>
          <w:bCs/>
          <w:szCs w:val="19"/>
          <w:lang w:eastAsia="pl-PL"/>
        </w:rPr>
        <w:t>W 201</w:t>
      </w:r>
      <w:r w:rsidR="003B3B38"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r. przeciętna powierzchnia użytkowa przypadająca na 1 osobę wzrosła w porównaniu z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rokiem poprzednim o 0,4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i wyniosła 27,</w:t>
      </w:r>
      <w:r w:rsidR="000300FB">
        <w:rPr>
          <w:rFonts w:eastAsia="Times New Roman" w:cs="Times New Roman"/>
          <w:bCs/>
          <w:szCs w:val="19"/>
          <w:lang w:eastAsia="pl-PL"/>
        </w:rPr>
        <w:t>8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(w miastach wzrosła z 26,</w:t>
      </w:r>
      <w:r w:rsidR="000300FB">
        <w:rPr>
          <w:rFonts w:eastAsia="Times New Roman" w:cs="Times New Roman"/>
          <w:bCs/>
          <w:szCs w:val="19"/>
          <w:lang w:eastAsia="pl-PL"/>
        </w:rPr>
        <w:t>8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do 2</w:t>
      </w:r>
      <w:r w:rsidR="000300FB"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>,</w:t>
      </w:r>
      <w:r w:rsidR="000300FB">
        <w:rPr>
          <w:rFonts w:eastAsia="Times New Roman" w:cs="Times New Roman"/>
          <w:bCs/>
          <w:szCs w:val="19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>, a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Pr="00C90651">
        <w:rPr>
          <w:rFonts w:eastAsia="Times New Roman" w:cs="Times New Roman"/>
          <w:bCs/>
          <w:szCs w:val="19"/>
          <w:lang w:eastAsia="pl-PL"/>
        </w:rPr>
        <w:t>na wsi z 2</w:t>
      </w:r>
      <w:r w:rsidR="000300FB">
        <w:rPr>
          <w:rFonts w:eastAsia="Times New Roman" w:cs="Times New Roman"/>
          <w:bCs/>
          <w:szCs w:val="19"/>
          <w:lang w:eastAsia="pl-PL"/>
        </w:rPr>
        <w:t>8</w:t>
      </w:r>
      <w:r w:rsidRPr="00C90651">
        <w:rPr>
          <w:rFonts w:eastAsia="Times New Roman" w:cs="Times New Roman"/>
          <w:bCs/>
          <w:szCs w:val="19"/>
          <w:lang w:eastAsia="pl-PL"/>
        </w:rPr>
        <w:t>,</w:t>
      </w:r>
      <w:r w:rsidR="000300FB">
        <w:rPr>
          <w:rFonts w:eastAsia="Times New Roman" w:cs="Times New Roman"/>
          <w:bCs/>
          <w:szCs w:val="19"/>
          <w:lang w:eastAsia="pl-PL"/>
        </w:rPr>
        <w:t>3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do 28,</w:t>
      </w:r>
      <w:r w:rsidR="000300FB">
        <w:rPr>
          <w:rFonts w:eastAsia="Times New Roman" w:cs="Times New Roman"/>
          <w:bCs/>
          <w:szCs w:val="19"/>
          <w:lang w:eastAsia="pl-PL"/>
        </w:rPr>
        <w:t>7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 m</w:t>
      </w:r>
      <w:r w:rsidRPr="00511165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C90651">
        <w:rPr>
          <w:rFonts w:eastAsia="Times New Roman" w:cs="Times New Roman"/>
          <w:bCs/>
          <w:szCs w:val="19"/>
          <w:lang w:eastAsia="pl-PL"/>
        </w:rPr>
        <w:t xml:space="preserve">). </w:t>
      </w:r>
      <w:r w:rsidR="003B3B38" w:rsidRPr="00CB3E48">
        <w:t>Dysproporcje pomiędzy miast</w:t>
      </w:r>
      <w:r w:rsidR="007F26E4">
        <w:t>ami</w:t>
      </w:r>
      <w:r w:rsidR="003B3B38" w:rsidRPr="00CB3E48">
        <w:t xml:space="preserve"> a </w:t>
      </w:r>
      <w:r w:rsidR="007F26E4">
        <w:t>obszarami wiejskimi</w:t>
      </w:r>
      <w:r w:rsidR="003B3B38" w:rsidRPr="00CB3E48">
        <w:t xml:space="preserve"> dotyczyły również stopnia zaludnienia mieszkań. Mieszkania wiejskie były bardziej </w:t>
      </w:r>
      <w:r w:rsidR="003B3B38" w:rsidRPr="00CB3E48">
        <w:lastRenderedPageBreak/>
        <w:t>zaludnione od mieszkań miejskich. Na 1 mieszkanie w miastach przypadało przeciętnie 2,</w:t>
      </w:r>
      <w:r w:rsidR="000300FB">
        <w:t>37</w:t>
      </w:r>
      <w:r w:rsidR="003B3B38" w:rsidRPr="00CB3E48">
        <w:t xml:space="preserve"> osoby, zaś na </w:t>
      </w:r>
      <w:r w:rsidR="007F26E4">
        <w:t>obszarach wiejskich</w:t>
      </w:r>
      <w:r w:rsidR="003B3B38" w:rsidRPr="00CB3E48">
        <w:t xml:space="preserve"> 3,</w:t>
      </w:r>
      <w:r w:rsidR="003B3B38">
        <w:t>2</w:t>
      </w:r>
      <w:r w:rsidR="000300FB">
        <w:t>6</w:t>
      </w:r>
      <w:r w:rsidR="003B3B38" w:rsidRPr="00CB3E48">
        <w:t xml:space="preserve"> przy</w:t>
      </w:r>
      <w:r w:rsidR="00496EE1">
        <w:t> </w:t>
      </w:r>
      <w:r w:rsidR="003B3B38" w:rsidRPr="00CB3E48">
        <w:t>przeciętnej dla Polski 2,</w:t>
      </w:r>
      <w:r w:rsidR="003B3B38">
        <w:t>6</w:t>
      </w:r>
      <w:r w:rsidR="000300FB">
        <w:t>6</w:t>
      </w:r>
      <w:r w:rsidR="003B3B38" w:rsidRPr="00CB3E48">
        <w:t>.</w:t>
      </w:r>
      <w:r w:rsidR="00123B64">
        <w:t xml:space="preserve"> </w:t>
      </w:r>
      <w:r w:rsidR="000300FB" w:rsidRPr="000300FB">
        <w:rPr>
          <w:rFonts w:eastAsia="Times New Roman" w:cs="Times New Roman"/>
          <w:bCs/>
          <w:szCs w:val="19"/>
          <w:lang w:eastAsia="pl-PL"/>
        </w:rPr>
        <w:t>Kolejnym wskaźnikiem przedstawiającym gęstość zaludnienia mieszkań jest przeciętna liczba osób na 1 izbę. Wskaźnik ten dla Polski kształtował się na poziomie 0,70,</w:t>
      </w:r>
      <w:r w:rsidR="000300FB">
        <w:rPr>
          <w:rFonts w:eastAsia="Times New Roman" w:cs="Times New Roman"/>
          <w:bCs/>
          <w:szCs w:val="19"/>
          <w:lang w:eastAsia="pl-PL"/>
        </w:rPr>
        <w:t xml:space="preserve"> </w:t>
      </w:r>
      <w:r w:rsidR="000300FB" w:rsidRPr="000300FB">
        <w:rPr>
          <w:rFonts w:eastAsia="Times New Roman" w:cs="Times New Roman"/>
          <w:bCs/>
          <w:szCs w:val="19"/>
          <w:lang w:eastAsia="pl-PL"/>
        </w:rPr>
        <w:t xml:space="preserve">przy czym na </w:t>
      </w:r>
      <w:r w:rsidR="007F26E4">
        <w:rPr>
          <w:rFonts w:eastAsia="Times New Roman" w:cs="Times New Roman"/>
          <w:bCs/>
          <w:szCs w:val="19"/>
          <w:lang w:eastAsia="pl-PL"/>
        </w:rPr>
        <w:t>obszarach wiejskich</w:t>
      </w:r>
      <w:r w:rsidR="000300FB" w:rsidRPr="000300FB">
        <w:rPr>
          <w:rFonts w:eastAsia="Times New Roman" w:cs="Times New Roman"/>
          <w:bCs/>
          <w:szCs w:val="19"/>
          <w:lang w:eastAsia="pl-PL"/>
        </w:rPr>
        <w:t xml:space="preserve"> był wyższy i </w:t>
      </w:r>
      <w:r w:rsidR="00395C05" w:rsidRPr="00596BDB">
        <w:rPr>
          <w:noProof/>
          <w:color w:val="212492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47A86875" wp14:editId="22BC356F">
                <wp:simplePos x="0" y="0"/>
                <wp:positionH relativeFrom="column">
                  <wp:posOffset>5247005</wp:posOffset>
                </wp:positionH>
                <wp:positionV relativeFrom="paragraph">
                  <wp:posOffset>781050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01B" w:rsidRPr="00074DD8" w:rsidRDefault="00A9201B" w:rsidP="00A9201B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 w:rsidR="00AF3EB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2017 r. wzrosła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93065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liczba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mieszkań wyposażonych w</w:t>
                            </w:r>
                            <w:r w:rsidR="00093065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instalacje sanitarno-techniczne</w:t>
                            </w:r>
                            <w:r w:rsidR="006A5B53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86875" id="_x0000_s1030" type="#_x0000_t202" style="position:absolute;margin-left:413.15pt;margin-top:61.5pt;width:131.25pt;height:62.3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" filled="f" stroked="f">
                <v:textbox>
                  <w:txbxContent>
                    <w:p w:rsidR="00A9201B" w:rsidRPr="00074DD8" w:rsidRDefault="00A9201B" w:rsidP="00A9201B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 w:rsidR="00AF3EB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2017 r. wzrosła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="00093065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liczba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mieszkań wyposażonych w</w:t>
                      </w:r>
                      <w:r w:rsidR="00093065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instalacje sanitarno-techniczne</w:t>
                      </w:r>
                      <w:r w:rsidR="006A5B53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300FB" w:rsidRPr="000300FB">
        <w:rPr>
          <w:rFonts w:eastAsia="Times New Roman" w:cs="Times New Roman"/>
          <w:bCs/>
          <w:szCs w:val="19"/>
          <w:lang w:eastAsia="pl-PL"/>
        </w:rPr>
        <w:t>wyniósł 0,7</w:t>
      </w:r>
      <w:r w:rsidR="000300FB">
        <w:rPr>
          <w:rFonts w:eastAsia="Times New Roman" w:cs="Times New Roman"/>
          <w:bCs/>
          <w:szCs w:val="19"/>
          <w:lang w:eastAsia="pl-PL"/>
        </w:rPr>
        <w:t>5</w:t>
      </w:r>
      <w:r w:rsidR="000300FB" w:rsidRPr="000300FB">
        <w:rPr>
          <w:rFonts w:eastAsia="Times New Roman" w:cs="Times New Roman"/>
          <w:bCs/>
          <w:szCs w:val="19"/>
          <w:lang w:eastAsia="pl-PL"/>
        </w:rPr>
        <w:t xml:space="preserve">, a </w:t>
      </w:r>
      <w:r w:rsidR="007F26E4">
        <w:rPr>
          <w:rFonts w:eastAsia="Times New Roman" w:cs="Times New Roman"/>
          <w:bCs/>
          <w:szCs w:val="19"/>
          <w:lang w:eastAsia="pl-PL"/>
        </w:rPr>
        <w:t>dla miast –</w:t>
      </w:r>
      <w:r w:rsidR="000300FB" w:rsidRPr="000300FB">
        <w:rPr>
          <w:rFonts w:eastAsia="Times New Roman" w:cs="Times New Roman"/>
          <w:bCs/>
          <w:szCs w:val="19"/>
          <w:lang w:eastAsia="pl-PL"/>
        </w:rPr>
        <w:t xml:space="preserve"> 0,67 osoby na 1 izbę.</w:t>
      </w:r>
    </w:p>
    <w:p w:rsidR="002A4300" w:rsidRDefault="002A4300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2A4300" w:rsidRPr="00BB6F7D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2A4300">
        <w:rPr>
          <w:rFonts w:eastAsia="Times New Roman" w:cs="Times New Roman"/>
          <w:bCs/>
          <w:szCs w:val="19"/>
          <w:lang w:eastAsia="pl-PL"/>
        </w:rPr>
        <w:t>Opis stanu zasobów mieszkaniowych uwzględnia również stopień wyposażenia mieszkań w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Pr="002A4300">
        <w:rPr>
          <w:rFonts w:eastAsia="Times New Roman" w:cs="Times New Roman"/>
          <w:bCs/>
          <w:szCs w:val="19"/>
          <w:lang w:eastAsia="pl-PL"/>
        </w:rPr>
        <w:t>podstawowe instalacje sanitarno-techniczne. Rosnący odsetek mieszkań wyposażonych w</w:t>
      </w:r>
      <w:r w:rsidR="00496EE1">
        <w:rPr>
          <w:rFonts w:eastAsia="Times New Roman" w:cs="Times New Roman"/>
          <w:bCs/>
          <w:szCs w:val="19"/>
          <w:lang w:eastAsia="pl-PL"/>
        </w:rPr>
        <w:t> </w:t>
      </w:r>
      <w:r w:rsidRPr="002A4300">
        <w:rPr>
          <w:rFonts w:eastAsia="Times New Roman" w:cs="Times New Roman"/>
          <w:bCs/>
          <w:szCs w:val="19"/>
          <w:lang w:eastAsia="pl-PL"/>
        </w:rPr>
        <w:t>instalacje techniczno-</w:t>
      </w:r>
      <w:r w:rsidRPr="00BB6F7D">
        <w:rPr>
          <w:rFonts w:eastAsia="Times New Roman" w:cs="Times New Roman"/>
          <w:bCs/>
          <w:szCs w:val="19"/>
          <w:lang w:eastAsia="pl-PL"/>
        </w:rPr>
        <w:t>sanitarne wskazuje na poprawę warunków mieszkaniowych ludności.</w:t>
      </w:r>
    </w:p>
    <w:p w:rsidR="002A4300" w:rsidRPr="00BB6F7D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BB6F7D">
        <w:rPr>
          <w:rFonts w:eastAsia="Times New Roman" w:cs="Times New Roman"/>
          <w:bCs/>
          <w:szCs w:val="19"/>
          <w:lang w:eastAsia="pl-PL"/>
        </w:rPr>
        <w:t xml:space="preserve">W wodociąg wyposażonych było 96,8% mieszkań, w ustęp </w:t>
      </w:r>
      <w:r w:rsidR="00395C05">
        <w:rPr>
          <w:rFonts w:eastAsia="Times New Roman" w:cs="Times New Roman"/>
          <w:bCs/>
          <w:szCs w:val="19"/>
          <w:lang w:eastAsia="pl-PL"/>
        </w:rPr>
        <w:t xml:space="preserve">– </w:t>
      </w:r>
      <w:r w:rsidRPr="00BB6F7D">
        <w:rPr>
          <w:rFonts w:eastAsia="Times New Roman" w:cs="Times New Roman"/>
          <w:bCs/>
          <w:szCs w:val="19"/>
          <w:lang w:eastAsia="pl-PL"/>
        </w:rPr>
        <w:t xml:space="preserve">93,7% i łazienkę </w:t>
      </w:r>
      <w:r w:rsidR="00395C05">
        <w:rPr>
          <w:rFonts w:eastAsia="Times New Roman" w:cs="Times New Roman"/>
          <w:bCs/>
          <w:szCs w:val="19"/>
          <w:lang w:eastAsia="pl-PL"/>
        </w:rPr>
        <w:t xml:space="preserve">– </w:t>
      </w:r>
      <w:r w:rsidRPr="00BB6F7D">
        <w:rPr>
          <w:rFonts w:eastAsia="Times New Roman" w:cs="Times New Roman"/>
          <w:bCs/>
          <w:szCs w:val="19"/>
          <w:lang w:eastAsia="pl-PL"/>
        </w:rPr>
        <w:t>91,</w:t>
      </w:r>
      <w:r w:rsidR="00BB6F7D" w:rsidRPr="00BB6F7D">
        <w:rPr>
          <w:rFonts w:eastAsia="Times New Roman" w:cs="Times New Roman"/>
          <w:bCs/>
          <w:szCs w:val="19"/>
          <w:lang w:eastAsia="pl-PL"/>
        </w:rPr>
        <w:t>4</w:t>
      </w:r>
      <w:r w:rsidRPr="00BB6F7D">
        <w:rPr>
          <w:rFonts w:eastAsia="Times New Roman" w:cs="Times New Roman"/>
          <w:bCs/>
          <w:szCs w:val="19"/>
          <w:lang w:eastAsia="pl-PL"/>
        </w:rPr>
        <w:t xml:space="preserve">%. Instalacja gazowa natomiast podłączona była w co drugim mieszkaniu. </w:t>
      </w:r>
    </w:p>
    <w:p w:rsidR="002A4300" w:rsidRPr="00BB6F7D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BB6F7D">
        <w:rPr>
          <w:rFonts w:eastAsia="Times New Roman" w:cs="Times New Roman"/>
          <w:bCs/>
          <w:szCs w:val="19"/>
          <w:lang w:eastAsia="pl-PL"/>
        </w:rPr>
        <w:t>Pomiędzy miastem a wsią nadal utrzymywały się dysproporcje w wyposażeniu mieszkań w</w:t>
      </w:r>
      <w:r w:rsidR="00496EE1" w:rsidRPr="00BB6F7D">
        <w:rPr>
          <w:rFonts w:eastAsia="Times New Roman" w:cs="Times New Roman"/>
          <w:bCs/>
          <w:szCs w:val="19"/>
          <w:lang w:eastAsia="pl-PL"/>
        </w:rPr>
        <w:t> </w:t>
      </w:r>
      <w:r w:rsidRPr="00BB6F7D">
        <w:rPr>
          <w:rFonts w:eastAsia="Times New Roman" w:cs="Times New Roman"/>
          <w:bCs/>
          <w:szCs w:val="19"/>
          <w:lang w:eastAsia="pl-PL"/>
        </w:rPr>
        <w:t>podstawowe instalacje. W miastach w wodociąg wyposażonych było 99,1% mieszkań, w ustęp – 97,</w:t>
      </w:r>
      <w:r w:rsidR="00BB6F7D" w:rsidRPr="00BB6F7D">
        <w:rPr>
          <w:rFonts w:eastAsia="Times New Roman" w:cs="Times New Roman"/>
          <w:bCs/>
          <w:szCs w:val="19"/>
          <w:lang w:eastAsia="pl-PL"/>
        </w:rPr>
        <w:t>3</w:t>
      </w:r>
      <w:r w:rsidRPr="00BB6F7D">
        <w:rPr>
          <w:rFonts w:eastAsia="Times New Roman" w:cs="Times New Roman"/>
          <w:bCs/>
          <w:szCs w:val="19"/>
          <w:lang w:eastAsia="pl-PL"/>
        </w:rPr>
        <w:t xml:space="preserve">%, a łazienkę – 95,5%. Na </w:t>
      </w:r>
      <w:r w:rsidR="00395C05">
        <w:rPr>
          <w:rFonts w:eastAsia="Times New Roman" w:cs="Times New Roman"/>
          <w:bCs/>
          <w:szCs w:val="19"/>
          <w:lang w:eastAsia="pl-PL"/>
        </w:rPr>
        <w:t xml:space="preserve">obszarach wiejskich </w:t>
      </w:r>
      <w:r w:rsidRPr="00BB6F7D">
        <w:rPr>
          <w:rFonts w:eastAsia="Times New Roman" w:cs="Times New Roman"/>
          <w:bCs/>
          <w:szCs w:val="19"/>
          <w:lang w:eastAsia="pl-PL"/>
        </w:rPr>
        <w:t xml:space="preserve">do wodociągu podłączonych było </w:t>
      </w:r>
      <w:r w:rsidR="00BB6F7D" w:rsidRPr="00BB6F7D">
        <w:rPr>
          <w:rFonts w:eastAsia="Times New Roman" w:cs="Times New Roman"/>
          <w:bCs/>
          <w:szCs w:val="19"/>
          <w:lang w:eastAsia="pl-PL"/>
        </w:rPr>
        <w:t>92,2</w:t>
      </w:r>
      <w:r w:rsidRPr="00BB6F7D">
        <w:rPr>
          <w:rFonts w:eastAsia="Times New Roman" w:cs="Times New Roman"/>
          <w:bCs/>
          <w:szCs w:val="19"/>
          <w:lang w:eastAsia="pl-PL"/>
        </w:rPr>
        <w:t>% mieszkań, ustęp posiadało 86,</w:t>
      </w:r>
      <w:r w:rsidR="00BB6F7D" w:rsidRPr="00BB6F7D">
        <w:rPr>
          <w:rFonts w:eastAsia="Times New Roman" w:cs="Times New Roman"/>
          <w:bCs/>
          <w:szCs w:val="19"/>
          <w:lang w:eastAsia="pl-PL"/>
        </w:rPr>
        <w:t>4</w:t>
      </w:r>
      <w:r w:rsidRPr="00BB6F7D">
        <w:rPr>
          <w:rFonts w:eastAsia="Times New Roman" w:cs="Times New Roman"/>
          <w:bCs/>
          <w:szCs w:val="19"/>
          <w:lang w:eastAsia="pl-PL"/>
        </w:rPr>
        <w:t xml:space="preserve">%, a łazienkę </w:t>
      </w:r>
      <w:r w:rsidR="00AC3C97">
        <w:rPr>
          <w:rFonts w:eastAsia="Times New Roman" w:cs="Times New Roman"/>
          <w:bCs/>
          <w:szCs w:val="19"/>
          <w:lang w:eastAsia="pl-PL"/>
        </w:rPr>
        <w:t xml:space="preserve">– </w:t>
      </w:r>
      <w:r w:rsidRPr="00BB6F7D">
        <w:rPr>
          <w:rFonts w:eastAsia="Times New Roman" w:cs="Times New Roman"/>
          <w:bCs/>
          <w:szCs w:val="19"/>
          <w:lang w:eastAsia="pl-PL"/>
        </w:rPr>
        <w:t>82,</w:t>
      </w:r>
      <w:r w:rsidR="00BB6F7D" w:rsidRPr="00BB6F7D">
        <w:rPr>
          <w:rFonts w:eastAsia="Times New Roman" w:cs="Times New Roman"/>
          <w:bCs/>
          <w:szCs w:val="19"/>
          <w:lang w:eastAsia="pl-PL"/>
        </w:rPr>
        <w:t>8</w:t>
      </w:r>
      <w:r w:rsidRPr="00BB6F7D">
        <w:rPr>
          <w:rFonts w:eastAsia="Times New Roman" w:cs="Times New Roman"/>
          <w:bCs/>
          <w:szCs w:val="19"/>
          <w:lang w:eastAsia="pl-PL"/>
        </w:rPr>
        <w:t>%</w:t>
      </w:r>
      <w:r w:rsidR="00AC3C97">
        <w:rPr>
          <w:rFonts w:eastAsia="Times New Roman" w:cs="Times New Roman"/>
          <w:bCs/>
          <w:szCs w:val="19"/>
          <w:lang w:eastAsia="pl-PL"/>
        </w:rPr>
        <w:t xml:space="preserve"> mieszkań</w:t>
      </w:r>
      <w:r w:rsidRPr="00BB6F7D">
        <w:rPr>
          <w:rFonts w:eastAsia="Times New Roman" w:cs="Times New Roman"/>
          <w:bCs/>
          <w:szCs w:val="19"/>
          <w:lang w:eastAsia="pl-PL"/>
        </w:rPr>
        <w:t>.</w:t>
      </w:r>
    </w:p>
    <w:p w:rsidR="002A4300" w:rsidRPr="00B003C7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2A4300">
        <w:rPr>
          <w:rFonts w:eastAsia="Times New Roman" w:cs="Times New Roman"/>
          <w:bCs/>
          <w:szCs w:val="19"/>
          <w:lang w:eastAsia="pl-PL"/>
        </w:rPr>
        <w:t>W porównaniu z 201</w:t>
      </w:r>
      <w:r w:rsidR="004B1366">
        <w:rPr>
          <w:rFonts w:eastAsia="Times New Roman" w:cs="Times New Roman"/>
          <w:bCs/>
          <w:szCs w:val="19"/>
          <w:lang w:eastAsia="pl-PL"/>
        </w:rPr>
        <w:t>6</w:t>
      </w:r>
      <w:r w:rsidRPr="002A4300">
        <w:rPr>
          <w:rFonts w:eastAsia="Times New Roman" w:cs="Times New Roman"/>
          <w:bCs/>
          <w:szCs w:val="19"/>
          <w:lang w:eastAsia="pl-PL"/>
        </w:rPr>
        <w:t xml:space="preserve"> r. największy wzrost </w:t>
      </w:r>
      <w:r w:rsidR="00AC3C97">
        <w:rPr>
          <w:rFonts w:eastAsia="Times New Roman" w:cs="Times New Roman"/>
          <w:bCs/>
          <w:szCs w:val="19"/>
          <w:lang w:eastAsia="pl-PL"/>
        </w:rPr>
        <w:t>(</w:t>
      </w:r>
      <w:r w:rsidRPr="00B003C7">
        <w:rPr>
          <w:rFonts w:eastAsia="Times New Roman" w:cs="Times New Roman"/>
          <w:bCs/>
          <w:szCs w:val="19"/>
          <w:lang w:eastAsia="pl-PL"/>
        </w:rPr>
        <w:t>o 1,4%</w:t>
      </w:r>
      <w:r w:rsidR="00AC3C97">
        <w:rPr>
          <w:rFonts w:eastAsia="Times New Roman" w:cs="Times New Roman"/>
          <w:bCs/>
          <w:szCs w:val="19"/>
          <w:lang w:eastAsia="pl-PL"/>
        </w:rPr>
        <w:t>)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 zaobserwowano w wyposażeniu mieszkań w</w:t>
      </w:r>
      <w:r w:rsidR="00496EE1" w:rsidRPr="00B003C7">
        <w:rPr>
          <w:rFonts w:eastAsia="Times New Roman" w:cs="Times New Roman"/>
          <w:bCs/>
          <w:szCs w:val="19"/>
          <w:lang w:eastAsia="pl-PL"/>
        </w:rPr>
        <w:t> 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centralne ogrzewanie. Dla mieszkań zlokalizowanych na </w:t>
      </w:r>
      <w:r w:rsidR="00AC3C97">
        <w:rPr>
          <w:rFonts w:eastAsia="Times New Roman" w:cs="Times New Roman"/>
          <w:bCs/>
          <w:szCs w:val="19"/>
          <w:lang w:eastAsia="pl-PL"/>
        </w:rPr>
        <w:t>obszarach wiejskich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 wzrost ten wyniósł 1,5%, natomiast w miastach </w:t>
      </w:r>
      <w:r w:rsidR="004B1366" w:rsidRPr="00B003C7">
        <w:rPr>
          <w:rFonts w:eastAsia="Times New Roman" w:cs="Times New Roman"/>
          <w:bCs/>
          <w:szCs w:val="19"/>
          <w:lang w:eastAsia="pl-PL"/>
        </w:rPr>
        <w:t>–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 1,4%. </w:t>
      </w:r>
    </w:p>
    <w:p w:rsidR="00123B64" w:rsidRPr="00B003C7" w:rsidRDefault="002A4300" w:rsidP="002A4300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B003C7">
        <w:rPr>
          <w:rFonts w:eastAsia="Times New Roman" w:cs="Times New Roman"/>
          <w:bCs/>
          <w:szCs w:val="19"/>
          <w:lang w:eastAsia="pl-PL"/>
        </w:rPr>
        <w:t>Liczba mieszkań wyposażonych w gaz z sieci zwiększyła się w porównaniu z 201</w:t>
      </w:r>
      <w:r w:rsidR="004B1366" w:rsidRPr="00B003C7">
        <w:rPr>
          <w:rFonts w:eastAsia="Times New Roman" w:cs="Times New Roman"/>
          <w:bCs/>
          <w:szCs w:val="19"/>
          <w:lang w:eastAsia="pl-PL"/>
        </w:rPr>
        <w:t>6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 r. o </w:t>
      </w:r>
      <w:r w:rsidR="00B003C7" w:rsidRPr="00B003C7">
        <w:rPr>
          <w:rFonts w:eastAsia="Times New Roman" w:cs="Times New Roman"/>
          <w:bCs/>
          <w:szCs w:val="19"/>
          <w:lang w:eastAsia="pl-PL"/>
        </w:rPr>
        <w:t>1,3</w:t>
      </w:r>
      <w:r w:rsidRPr="00B003C7">
        <w:rPr>
          <w:rFonts w:eastAsia="Times New Roman" w:cs="Times New Roman"/>
          <w:bCs/>
          <w:szCs w:val="19"/>
          <w:lang w:eastAsia="pl-PL"/>
        </w:rPr>
        <w:t>% przy</w:t>
      </w:r>
      <w:r w:rsidR="00496EE1" w:rsidRPr="00B003C7">
        <w:rPr>
          <w:rFonts w:eastAsia="Times New Roman" w:cs="Times New Roman"/>
          <w:bCs/>
          <w:szCs w:val="19"/>
          <w:lang w:eastAsia="pl-PL"/>
        </w:rPr>
        <w:t> 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czym na terenach wiejskich zanotowano większy procentowy wzrost (o </w:t>
      </w:r>
      <w:r w:rsidR="00B003C7" w:rsidRPr="00B003C7">
        <w:rPr>
          <w:rFonts w:eastAsia="Times New Roman" w:cs="Times New Roman"/>
          <w:bCs/>
          <w:szCs w:val="19"/>
          <w:lang w:eastAsia="pl-PL"/>
        </w:rPr>
        <w:t>2</w:t>
      </w:r>
      <w:r w:rsidRPr="00B003C7">
        <w:rPr>
          <w:rFonts w:eastAsia="Times New Roman" w:cs="Times New Roman"/>
          <w:bCs/>
          <w:szCs w:val="19"/>
          <w:lang w:eastAsia="pl-PL"/>
        </w:rPr>
        <w:t>,9%) niż w</w:t>
      </w:r>
      <w:r w:rsidR="00496EE1" w:rsidRPr="00B003C7">
        <w:rPr>
          <w:rFonts w:eastAsia="Times New Roman" w:cs="Times New Roman"/>
          <w:bCs/>
          <w:szCs w:val="19"/>
          <w:lang w:eastAsia="pl-PL"/>
        </w:rPr>
        <w:t> </w:t>
      </w:r>
      <w:r w:rsidRPr="00B003C7">
        <w:rPr>
          <w:rFonts w:eastAsia="Times New Roman" w:cs="Times New Roman"/>
          <w:bCs/>
          <w:szCs w:val="19"/>
          <w:lang w:eastAsia="pl-PL"/>
        </w:rPr>
        <w:t xml:space="preserve">miastach (o </w:t>
      </w:r>
      <w:r w:rsidR="00B003C7" w:rsidRPr="00B003C7">
        <w:rPr>
          <w:rFonts w:eastAsia="Times New Roman" w:cs="Times New Roman"/>
          <w:bCs/>
          <w:szCs w:val="19"/>
          <w:lang w:eastAsia="pl-PL"/>
        </w:rPr>
        <w:t>1,0</w:t>
      </w:r>
      <w:r w:rsidRPr="00B003C7">
        <w:rPr>
          <w:rFonts w:eastAsia="Times New Roman" w:cs="Times New Roman"/>
          <w:bCs/>
          <w:szCs w:val="19"/>
          <w:lang w:eastAsia="pl-PL"/>
        </w:rPr>
        <w:t>%).</w:t>
      </w:r>
    </w:p>
    <w:p w:rsidR="00B065C1" w:rsidRPr="00B003C7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EC3AB3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2017 r.</w:t>
      </w:r>
      <w:r w:rsidR="006409FD">
        <w:rPr>
          <w:b/>
          <w:spacing w:val="-2"/>
          <w:sz w:val="18"/>
        </w:rPr>
        <w:t xml:space="preserve"> (stan w dniu 31 XII)</w:t>
      </w: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EC3AB3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8352" behindDoc="0" locked="0" layoutInCell="1" allowOverlap="1" wp14:anchorId="2418F320" wp14:editId="6C33D3CF">
            <wp:simplePos x="0" y="0"/>
            <wp:positionH relativeFrom="margin">
              <wp:posOffset>242048</wp:posOffset>
            </wp:positionH>
            <wp:positionV relativeFrom="paragraph">
              <wp:posOffset>3949</wp:posOffset>
            </wp:positionV>
            <wp:extent cx="4518212" cy="2220685"/>
            <wp:effectExtent l="0" t="0" r="0" b="8255"/>
            <wp:wrapNone/>
            <wp:docPr id="15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42030D" w:rsidRDefault="0042030D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:rsidR="00930BB2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57C2151" wp14:editId="4616FEC3">
                <wp:simplePos x="0" y="0"/>
                <wp:positionH relativeFrom="rightMargin">
                  <wp:align>left</wp:align>
                </wp:positionH>
                <wp:positionV relativeFrom="paragraph">
                  <wp:posOffset>100245</wp:posOffset>
                </wp:positionV>
                <wp:extent cx="1667510" cy="1016635"/>
                <wp:effectExtent l="0" t="0" r="0" b="0"/>
                <wp:wrapTight wrapText="bothSides">
                  <wp:wrapPolygon edited="0">
                    <wp:start x="740" y="0"/>
                    <wp:lineTo x="740" y="21047"/>
                    <wp:lineTo x="20728" y="21047"/>
                    <wp:lineTo x="20728" y="0"/>
                    <wp:lineTo x="74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350CCF" w:rsidRDefault="0011639F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porównaniu z rokiem poprzednim liczba lokali socjalnych wzrosła o 4,2%. Ich przeciętna powierzchnia użytkowa wynosiła 33 m</w:t>
                            </w:r>
                            <w:r w:rsidRPr="00350CCF">
                              <w:rPr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2151" id="Pole tekstowe 19" o:spid="_x0000_s1031" type="#_x0000_t202" style="position:absolute;margin-left:0;margin-top:7.9pt;width:131.3pt;height:80.05pt;z-index:-2515783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" filled="f" stroked="f">
                <v:textbox>
                  <w:txbxContent>
                    <w:p w:rsidR="0011639F" w:rsidRPr="00350CCF" w:rsidRDefault="0011639F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porównaniu z rokiem poprzednim liczba lokali socjalnych wzrosła o 4,2%. Ich przeciętna powierzchnia użytkowa wynosiła 33 m</w:t>
                      </w:r>
                      <w:r w:rsidRPr="00350CCF">
                        <w:rPr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</w:rPr>
        <w:t>Lokale socjalne</w:t>
      </w:r>
    </w:p>
    <w:p w:rsidR="00930BB2" w:rsidRPr="00103777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p w:rsidR="00930BB2" w:rsidRPr="00596BDB" w:rsidRDefault="004B1366" w:rsidP="00930BB2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Lokale socjalne są f</w:t>
      </w:r>
      <w:r w:rsidR="00930BB2" w:rsidRPr="00FC248A">
        <w:rPr>
          <w:shd w:val="clear" w:color="auto" w:fill="FFFFFF"/>
        </w:rPr>
        <w:t xml:space="preserve">ormą pomocy Państwa dla osób niemogących </w:t>
      </w:r>
      <w:r w:rsidRPr="00FC248A">
        <w:rPr>
          <w:shd w:val="clear" w:color="auto" w:fill="FFFFFF"/>
        </w:rPr>
        <w:t xml:space="preserve">samodzielnie </w:t>
      </w:r>
      <w:r w:rsidR="00930BB2" w:rsidRPr="00FC248A">
        <w:rPr>
          <w:shd w:val="clear" w:color="auto" w:fill="FFFFFF"/>
        </w:rPr>
        <w:t xml:space="preserve">utrzymać mieszkania z powodu ubóstwa lub </w:t>
      </w:r>
      <w:r>
        <w:rPr>
          <w:shd w:val="clear" w:color="auto" w:fill="FFFFFF"/>
        </w:rPr>
        <w:t xml:space="preserve">dla </w:t>
      </w:r>
      <w:r w:rsidR="00930BB2" w:rsidRPr="00FC248A">
        <w:rPr>
          <w:shd w:val="clear" w:color="auto" w:fill="FFFFFF"/>
        </w:rPr>
        <w:t>osób bezdomnych. Obowiąz</w:t>
      </w:r>
      <w:r>
        <w:rPr>
          <w:shd w:val="clear" w:color="auto" w:fill="FFFFFF"/>
        </w:rPr>
        <w:t>e</w:t>
      </w:r>
      <w:r w:rsidR="00930BB2" w:rsidRPr="00FC248A">
        <w:rPr>
          <w:shd w:val="clear" w:color="auto" w:fill="FFFFFF"/>
        </w:rPr>
        <w:t xml:space="preserve">k ich </w:t>
      </w:r>
      <w:r>
        <w:rPr>
          <w:shd w:val="clear" w:color="auto" w:fill="FFFFFF"/>
        </w:rPr>
        <w:t>zapewnienia</w:t>
      </w:r>
      <w:r w:rsidR="00930BB2" w:rsidRPr="00FC248A">
        <w:rPr>
          <w:shd w:val="clear" w:color="auto" w:fill="FFFFFF"/>
        </w:rPr>
        <w:t xml:space="preserve"> (najmu) </w:t>
      </w:r>
      <w:r>
        <w:rPr>
          <w:shd w:val="clear" w:color="auto" w:fill="FFFFFF"/>
        </w:rPr>
        <w:t>spoczywa</w:t>
      </w:r>
      <w:r w:rsidR="00930BB2" w:rsidRPr="00FC248A">
        <w:rPr>
          <w:shd w:val="clear" w:color="auto" w:fill="FFFFFF"/>
        </w:rPr>
        <w:t xml:space="preserve"> na gminie. W 2017 r. w zasobach gminnych było 98,6 tys. lokali socjalnych o łącznej powierzchni 3</w:t>
      </w:r>
      <w:r w:rsidR="00930BB2" w:rsidRPr="00FC248A">
        <w:rPr>
          <w:rFonts w:eastAsia="Times New Roman" w:cs="Calibri"/>
          <w:sz w:val="16"/>
          <w:szCs w:val="16"/>
          <w:lang w:eastAsia="pl-PL"/>
        </w:rPr>
        <w:t> </w:t>
      </w:r>
      <w:r w:rsidR="00930BB2" w:rsidRPr="00FC248A">
        <w:rPr>
          <w:shd w:val="clear" w:color="auto" w:fill="FFFFFF"/>
        </w:rPr>
        <w:t>257,3 tys. m</w:t>
      </w:r>
      <w:r w:rsidR="00930BB2" w:rsidRPr="00FC248A">
        <w:rPr>
          <w:shd w:val="clear" w:color="auto" w:fill="FFFFFF"/>
          <w:vertAlign w:val="superscript"/>
        </w:rPr>
        <w:t>2</w:t>
      </w:r>
      <w:r w:rsidR="00596BDB" w:rsidRPr="00596BDB">
        <w:rPr>
          <w:shd w:val="clear" w:color="auto" w:fill="FFFFFF"/>
        </w:rPr>
        <w:t>.</w:t>
      </w:r>
    </w:p>
    <w:p w:rsidR="00930BB2" w:rsidRPr="00F0243D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p w:rsidR="00930BB2" w:rsidRDefault="00930BB2" w:rsidP="00930BB2">
      <w:pPr>
        <w:spacing w:before="0" w:after="0"/>
        <w:rPr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 w:rsidR="00A9201B">
        <w:rPr>
          <w:b/>
          <w:spacing w:val="-2"/>
          <w:sz w:val="18"/>
        </w:rPr>
        <w:t>2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>Lokale socjalne</w:t>
      </w:r>
    </w:p>
    <w:p w:rsidR="00930BB2" w:rsidRPr="00F0243D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850"/>
        <w:gridCol w:w="989"/>
        <w:gridCol w:w="854"/>
        <w:gridCol w:w="932"/>
      </w:tblGrid>
      <w:tr w:rsidR="00930BB2" w:rsidRPr="00FC248A" w:rsidTr="0011639F">
        <w:trPr>
          <w:trHeight w:val="315"/>
        </w:trPr>
        <w:tc>
          <w:tcPr>
            <w:tcW w:w="4253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2014</w:t>
            </w:r>
          </w:p>
        </w:tc>
        <w:tc>
          <w:tcPr>
            <w:tcW w:w="98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854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3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</w:tr>
      <w:tr w:rsidR="00930BB2" w:rsidRPr="00FC248A" w:rsidTr="0011639F">
        <w:trPr>
          <w:trHeight w:val="330"/>
        </w:trPr>
        <w:tc>
          <w:tcPr>
            <w:tcW w:w="4253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Liczba lokali socjalnych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86 334</w:t>
            </w:r>
          </w:p>
        </w:tc>
        <w:tc>
          <w:tcPr>
            <w:tcW w:w="989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91 706</w:t>
            </w:r>
          </w:p>
        </w:tc>
        <w:tc>
          <w:tcPr>
            <w:tcW w:w="854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94 651</w:t>
            </w:r>
          </w:p>
        </w:tc>
        <w:tc>
          <w:tcPr>
            <w:tcW w:w="932" w:type="dxa"/>
            <w:tcBorders>
              <w:top w:val="single" w:sz="12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98 631</w:t>
            </w:r>
          </w:p>
        </w:tc>
      </w:tr>
      <w:tr w:rsidR="00930BB2" w:rsidRPr="00FC248A" w:rsidTr="0011639F">
        <w:trPr>
          <w:trHeight w:val="315"/>
        </w:trPr>
        <w:tc>
          <w:tcPr>
            <w:tcW w:w="4253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Rok poprzedni  = 100</w:t>
            </w:r>
          </w:p>
        </w:tc>
        <w:tc>
          <w:tcPr>
            <w:tcW w:w="850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103,7</w:t>
            </w:r>
          </w:p>
        </w:tc>
        <w:tc>
          <w:tcPr>
            <w:tcW w:w="989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106,2</w:t>
            </w:r>
          </w:p>
        </w:tc>
        <w:tc>
          <w:tcPr>
            <w:tcW w:w="854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103,2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104,2</w:t>
            </w:r>
          </w:p>
        </w:tc>
      </w:tr>
      <w:tr w:rsidR="00930BB2" w:rsidRPr="00FC248A" w:rsidTr="0011639F">
        <w:trPr>
          <w:trHeight w:val="315"/>
        </w:trPr>
        <w:tc>
          <w:tcPr>
            <w:tcW w:w="4253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 xml:space="preserve">Przeciętna powierzchnia użytkowa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lokali </w:t>
            </w: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m</w:t>
            </w:r>
            <w:r w:rsidRPr="00FC248A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989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854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32,8</w:t>
            </w:r>
          </w:p>
        </w:tc>
        <w:tc>
          <w:tcPr>
            <w:tcW w:w="932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33,0</w:t>
            </w:r>
          </w:p>
        </w:tc>
      </w:tr>
    </w:tbl>
    <w:p w:rsidR="00930BB2" w:rsidRPr="00FC248A" w:rsidRDefault="00930BB2" w:rsidP="00930BB2">
      <w:pPr>
        <w:spacing w:before="0" w:after="0"/>
        <w:rPr>
          <w:rFonts w:eastAsia="Times New Roman" w:cs="Times New Roman"/>
          <w:bCs/>
          <w:sz w:val="12"/>
          <w:szCs w:val="12"/>
          <w:lang w:eastAsia="pl-PL"/>
        </w:rPr>
      </w:pPr>
    </w:p>
    <w:p w:rsidR="00930BB2" w:rsidRDefault="00930BB2" w:rsidP="00930BB2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:rsidR="00930BB2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64140B2B" wp14:editId="6FFD5639">
                <wp:simplePos x="0" y="0"/>
                <wp:positionH relativeFrom="rightMargin">
                  <wp:align>left</wp:align>
                </wp:positionH>
                <wp:positionV relativeFrom="paragraph">
                  <wp:posOffset>92178</wp:posOffset>
                </wp:positionV>
                <wp:extent cx="1667510" cy="1133475"/>
                <wp:effectExtent l="0" t="0" r="0" b="0"/>
                <wp:wrapTight wrapText="bothSides">
                  <wp:wrapPolygon edited="0">
                    <wp:start x="740" y="0"/>
                    <wp:lineTo x="740" y="21055"/>
                    <wp:lineTo x="20728" y="21055"/>
                    <wp:lineTo x="20728" y="0"/>
                    <wp:lineTo x="740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350CCF" w:rsidRDefault="0011639F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 porównaniu z rokiem poprzednim liczba gospodarstw domowych oczekujących na najem lokali mieszkalnych od gminy zmalała o 3,0%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0B2B" id="Pole tekstowe 20" o:spid="_x0000_s1032" type="#_x0000_t202" style="position:absolute;margin-left:0;margin-top:7.25pt;width:131.3pt;height:89.25pt;z-index:-2515773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" filled="f" stroked="f">
                <v:textbox>
                  <w:txbxContent>
                    <w:p w:rsidR="0011639F" w:rsidRPr="00350CCF" w:rsidRDefault="0011639F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 porównaniu z rokiem poprzednim liczba gospodarstw domowych oczekujących na najem lokali mieszkalnych od gminy zmalała o 3,0%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Zapotrzebowanie</w:t>
      </w:r>
      <w:r w:rsidRPr="00874E4B">
        <w:rPr>
          <w:rFonts w:ascii="Fira Sans" w:hAnsi="Fira Sans"/>
          <w:b/>
          <w:noProof/>
          <w:spacing w:val="-2"/>
          <w:szCs w:val="19"/>
        </w:rPr>
        <w:t xml:space="preserve"> na najem </w:t>
      </w:r>
      <w:r>
        <w:rPr>
          <w:rFonts w:ascii="Fira Sans" w:hAnsi="Fira Sans"/>
          <w:b/>
          <w:noProof/>
          <w:spacing w:val="-2"/>
          <w:szCs w:val="19"/>
        </w:rPr>
        <w:t xml:space="preserve">lokali </w:t>
      </w:r>
      <w:r w:rsidRPr="00874E4B">
        <w:rPr>
          <w:rFonts w:ascii="Fira Sans" w:hAnsi="Fira Sans"/>
          <w:b/>
          <w:noProof/>
          <w:spacing w:val="-2"/>
          <w:szCs w:val="19"/>
        </w:rPr>
        <w:t>od gminy</w:t>
      </w:r>
    </w:p>
    <w:p w:rsidR="00930BB2" w:rsidRPr="00103777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p w:rsidR="008C40CB" w:rsidRDefault="00930BB2" w:rsidP="00930BB2">
      <w:pPr>
        <w:spacing w:before="0" w:after="0"/>
        <w:rPr>
          <w:shd w:val="clear" w:color="auto" w:fill="FFFFFF"/>
        </w:rPr>
      </w:pPr>
      <w:r w:rsidRPr="00FC248A">
        <w:rPr>
          <w:shd w:val="clear" w:color="auto" w:fill="FFFFFF"/>
        </w:rPr>
        <w:t>W 2017 r. na najem zasobów gminnych (z wyłączeniem lokali zamiennych i pomieszczeń tymczasowych) oczekiwało 154</w:t>
      </w:r>
      <w:r w:rsidR="008C40CB">
        <w:rPr>
          <w:shd w:val="clear" w:color="auto" w:fill="FFFFFF"/>
        </w:rPr>
        <w:t xml:space="preserve"> </w:t>
      </w:r>
      <w:r w:rsidRPr="00FC248A">
        <w:rPr>
          <w:shd w:val="clear" w:color="auto" w:fill="FFFFFF"/>
        </w:rPr>
        <w:t xml:space="preserve">182 gospodarstw domowych. </w:t>
      </w:r>
      <w:r w:rsidR="003E7187">
        <w:rPr>
          <w:shd w:val="clear" w:color="auto" w:fill="FFFFFF"/>
        </w:rPr>
        <w:t>Nadal m</w:t>
      </w:r>
      <w:r w:rsidRPr="00FC248A">
        <w:rPr>
          <w:shd w:val="clear" w:color="auto" w:fill="FFFFFF"/>
        </w:rPr>
        <w:t>aleje zapotrzebowanie na</w:t>
      </w:r>
      <w:r w:rsidR="00496EE1">
        <w:rPr>
          <w:shd w:val="clear" w:color="auto" w:fill="FFFFFF"/>
        </w:rPr>
        <w:t> </w:t>
      </w:r>
      <w:r w:rsidRPr="00FC248A">
        <w:rPr>
          <w:shd w:val="clear" w:color="auto" w:fill="FFFFFF"/>
        </w:rPr>
        <w:t xml:space="preserve">najem lokali wchodzących w skład mieszkaniowego zasobu gminy i w </w:t>
      </w:r>
      <w:r w:rsidR="004B1366">
        <w:rPr>
          <w:shd w:val="clear" w:color="auto" w:fill="FFFFFF"/>
        </w:rPr>
        <w:t>porównaniu do 2016 r.</w:t>
      </w:r>
      <w:r w:rsidRPr="00FC248A">
        <w:rPr>
          <w:shd w:val="clear" w:color="auto" w:fill="FFFFFF"/>
        </w:rPr>
        <w:t xml:space="preserve"> wynosiło 97,0%</w:t>
      </w:r>
      <w:r w:rsidR="008C40CB">
        <w:rPr>
          <w:shd w:val="clear" w:color="auto" w:fill="FFFFFF"/>
        </w:rPr>
        <w:t>.</w:t>
      </w:r>
    </w:p>
    <w:p w:rsidR="004B1366" w:rsidRDefault="00930BB2" w:rsidP="0042030D">
      <w:pPr>
        <w:spacing w:before="0" w:after="0"/>
        <w:rPr>
          <w:shd w:val="clear" w:color="auto" w:fill="FFFFFF"/>
        </w:rPr>
      </w:pPr>
      <w:r w:rsidRPr="00FC248A">
        <w:rPr>
          <w:shd w:val="clear" w:color="auto" w:fill="FFFFFF"/>
        </w:rPr>
        <w:t>Z ogólnej liczby oczekujących na najem zasobów gminnych</w:t>
      </w:r>
      <w:r w:rsidR="004B1366">
        <w:rPr>
          <w:shd w:val="clear" w:color="auto" w:fill="FFFFFF"/>
        </w:rPr>
        <w:t>,</w:t>
      </w:r>
      <w:r w:rsidRPr="00FC248A">
        <w:rPr>
          <w:shd w:val="clear" w:color="auto" w:fill="FFFFFF"/>
        </w:rPr>
        <w:t xml:space="preserve"> na mieszkania komunalne oczekiwało 63 864 gospodarstw domowych (co stanowi 41,4% ogółu gospodarstw oczekujących na najem lokali), a na </w:t>
      </w:r>
      <w:r w:rsidR="004B1366">
        <w:rPr>
          <w:shd w:val="clear" w:color="auto" w:fill="FFFFFF"/>
        </w:rPr>
        <w:t>lokale</w:t>
      </w:r>
      <w:r w:rsidRPr="00FC248A">
        <w:rPr>
          <w:shd w:val="clear" w:color="auto" w:fill="FFFFFF"/>
        </w:rPr>
        <w:t xml:space="preserve"> socjalne - 90 318, w tym 53 579 gospodarstw w ramach realizacji wyroków eksmisyjnych.</w:t>
      </w:r>
    </w:p>
    <w:p w:rsidR="00AC3C97" w:rsidRDefault="00AC3C97" w:rsidP="0042030D">
      <w:pPr>
        <w:spacing w:before="0" w:after="0"/>
        <w:rPr>
          <w:shd w:val="clear" w:color="auto" w:fill="FFFFFF"/>
        </w:rPr>
      </w:pPr>
    </w:p>
    <w:p w:rsidR="00350CCF" w:rsidRDefault="00930BB2" w:rsidP="00350CCF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 w:rsidR="00A9201B">
        <w:rPr>
          <w:b/>
          <w:spacing w:val="-2"/>
          <w:sz w:val="18"/>
        </w:rPr>
        <w:t>3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Gospodarstwa domowe oczekujące na najem lokali mieszkalnych od gminy </w:t>
      </w:r>
    </w:p>
    <w:p w:rsidR="00930BB2" w:rsidRDefault="00350CCF" w:rsidP="00350CCF">
      <w:pPr>
        <w:tabs>
          <w:tab w:val="left" w:pos="851"/>
        </w:tabs>
        <w:spacing w:before="0" w:after="0"/>
        <w:rPr>
          <w:spacing w:val="-2"/>
          <w:sz w:val="18"/>
        </w:rPr>
      </w:pPr>
      <w:r>
        <w:rPr>
          <w:b/>
          <w:spacing w:val="-2"/>
          <w:sz w:val="18"/>
        </w:rPr>
        <w:tab/>
      </w:r>
      <w:r w:rsidR="00AC3C97">
        <w:rPr>
          <w:b/>
          <w:spacing w:val="-2"/>
          <w:sz w:val="18"/>
        </w:rPr>
        <w:t xml:space="preserve">– stan w dniu 31 </w:t>
      </w:r>
      <w:r w:rsidR="00930BB2">
        <w:rPr>
          <w:b/>
          <w:spacing w:val="-2"/>
          <w:sz w:val="18"/>
        </w:rPr>
        <w:t>XII</w:t>
      </w:r>
    </w:p>
    <w:p w:rsidR="00930BB2" w:rsidRDefault="00930BB2" w:rsidP="00930BB2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99"/>
      </w:tblGrid>
      <w:tr w:rsidR="00930BB2" w:rsidRPr="00FC248A" w:rsidTr="008C40CB">
        <w:trPr>
          <w:trHeight w:val="315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Na mieszkania komunalne</w:t>
            </w:r>
          </w:p>
        </w:tc>
        <w:tc>
          <w:tcPr>
            <w:tcW w:w="2916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Na lokale socjalne</w:t>
            </w:r>
          </w:p>
        </w:tc>
      </w:tr>
      <w:tr w:rsidR="00930BB2" w:rsidRPr="00FC248A" w:rsidTr="008C40CB">
        <w:trPr>
          <w:trHeight w:val="315"/>
        </w:trPr>
        <w:tc>
          <w:tcPr>
            <w:tcW w:w="212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9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</w:tr>
      <w:tr w:rsidR="00930BB2" w:rsidRPr="00FC248A" w:rsidTr="0011639F">
        <w:trPr>
          <w:trHeight w:val="330"/>
        </w:trPr>
        <w:tc>
          <w:tcPr>
            <w:tcW w:w="7878" w:type="dxa"/>
            <w:gridSpan w:val="5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930BB2" w:rsidRPr="00FC248A" w:rsidTr="0011639F">
        <w:trPr>
          <w:trHeight w:val="330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8C40CB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154 182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63 864</w:t>
            </w:r>
          </w:p>
        </w:tc>
        <w:tc>
          <w:tcPr>
            <w:tcW w:w="1417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90 318</w:t>
            </w:r>
          </w:p>
        </w:tc>
        <w:tc>
          <w:tcPr>
            <w:tcW w:w="1499" w:type="dxa"/>
            <w:tcBorders>
              <w:top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53 579</w:t>
            </w:r>
          </w:p>
        </w:tc>
      </w:tr>
      <w:tr w:rsidR="00930BB2" w:rsidRPr="00FC248A" w:rsidTr="0011639F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8C40CB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132 408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50 166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82 242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shd w:val="clear" w:color="auto" w:fill="auto"/>
            <w:vAlign w:val="center"/>
            <w:hideMark/>
          </w:tcPr>
          <w:p w:rsidR="00930BB2" w:rsidRPr="00FC248A" w:rsidRDefault="00930BB2" w:rsidP="00A72049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5</w:t>
            </w:r>
            <w:r w:rsidR="00A72049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312</w:t>
            </w:r>
          </w:p>
        </w:tc>
      </w:tr>
      <w:tr w:rsidR="00930BB2" w:rsidRPr="00FC248A" w:rsidTr="0011639F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21 774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13 698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8 076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1 267</w:t>
            </w:r>
          </w:p>
        </w:tc>
      </w:tr>
      <w:tr w:rsidR="00930BB2" w:rsidRPr="00FC248A" w:rsidTr="0011639F">
        <w:trPr>
          <w:trHeight w:val="315"/>
        </w:trPr>
        <w:tc>
          <w:tcPr>
            <w:tcW w:w="7878" w:type="dxa"/>
            <w:gridSpan w:val="5"/>
            <w:tcBorders>
              <w:top w:val="single" w:sz="4" w:space="0" w:color="2F5496" w:themeColor="accent5" w:themeShade="BF"/>
              <w:bottom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Polska = 100</w:t>
            </w:r>
            <w:r w:rsidR="00A72049">
              <w:rPr>
                <w:rFonts w:eastAsia="Times New Roman" w:cs="Calibri"/>
                <w:sz w:val="16"/>
                <w:szCs w:val="16"/>
                <w:lang w:eastAsia="pl-PL"/>
              </w:rPr>
              <w:t>%</w:t>
            </w:r>
          </w:p>
        </w:tc>
      </w:tr>
      <w:tr w:rsidR="00930BB2" w:rsidRPr="00FC248A" w:rsidTr="0011639F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85,9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78,6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91,1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left w:val="single" w:sz="4" w:space="0" w:color="001D77"/>
              <w:bottom w:val="single" w:sz="4" w:space="0" w:color="2F5496" w:themeColor="accent5" w:themeShade="BF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 97,6</w:t>
            </w:r>
          </w:p>
        </w:tc>
      </w:tr>
      <w:tr w:rsidR="00930BB2" w:rsidRPr="00FC248A" w:rsidTr="0011639F">
        <w:trPr>
          <w:trHeight w:val="315"/>
        </w:trPr>
        <w:tc>
          <w:tcPr>
            <w:tcW w:w="2127" w:type="dxa"/>
            <w:tcBorders>
              <w:top w:val="single" w:sz="4" w:space="0" w:color="2F5496" w:themeColor="accent5" w:themeShade="BF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8C40CB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14,1</w:t>
            </w:r>
          </w:p>
        </w:tc>
        <w:tc>
          <w:tcPr>
            <w:tcW w:w="1418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8C40CB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2F5496" w:themeColor="accent5" w:themeShade="BF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8C40CB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8,9</w:t>
            </w:r>
          </w:p>
        </w:tc>
        <w:tc>
          <w:tcPr>
            <w:tcW w:w="1499" w:type="dxa"/>
            <w:tcBorders>
              <w:top w:val="single" w:sz="4" w:space="0" w:color="2F5496" w:themeColor="accent5" w:themeShade="BF"/>
              <w:left w:val="single" w:sz="4" w:space="0" w:color="001D77"/>
            </w:tcBorders>
            <w:shd w:val="clear" w:color="auto" w:fill="auto"/>
            <w:vAlign w:val="center"/>
          </w:tcPr>
          <w:p w:rsidR="00930BB2" w:rsidRPr="00FC248A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C248A">
              <w:rPr>
                <w:rFonts w:eastAsia="Times New Roman" w:cs="Calibri"/>
                <w:sz w:val="16"/>
                <w:szCs w:val="16"/>
                <w:lang w:eastAsia="pl-PL"/>
              </w:rPr>
              <w:t>2,4</w:t>
            </w:r>
          </w:p>
        </w:tc>
      </w:tr>
    </w:tbl>
    <w:p w:rsidR="00930BB2" w:rsidRPr="00E2731E" w:rsidRDefault="00930BB2" w:rsidP="00930BB2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:rsidR="00930BB2" w:rsidRPr="00C36A86" w:rsidRDefault="00930BB2" w:rsidP="00930BB2">
      <w:pPr>
        <w:pStyle w:val="Nagwek1"/>
        <w:spacing w:before="0" w:after="0"/>
        <w:rPr>
          <w:rFonts w:ascii="Fira Sans" w:hAnsi="Fira Sans"/>
          <w:b/>
        </w:rPr>
      </w:pPr>
      <w:r>
        <w:rPr>
          <w:rFonts w:ascii="Fira Sans" w:hAnsi="Fira Sans"/>
          <w:b/>
          <w:noProof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4E1AE3C" wp14:editId="40E6126E">
                <wp:simplePos x="0" y="0"/>
                <wp:positionH relativeFrom="rightMargin">
                  <wp:align>left</wp:align>
                </wp:positionH>
                <wp:positionV relativeFrom="paragraph">
                  <wp:posOffset>83940</wp:posOffset>
                </wp:positionV>
                <wp:extent cx="1667510" cy="914400"/>
                <wp:effectExtent l="0" t="0" r="0" b="0"/>
                <wp:wrapTight wrapText="bothSides">
                  <wp:wrapPolygon edited="0">
                    <wp:start x="740" y="0"/>
                    <wp:lineTo x="740" y="21150"/>
                    <wp:lineTo x="20728" y="21150"/>
                    <wp:lineTo x="20728" y="0"/>
                    <wp:lineTo x="740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350CCF" w:rsidRDefault="0011639F" w:rsidP="00930BB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Liczba wypłaconych dodatków mieszkaniowych zmniejszyła się o </w:t>
                            </w:r>
                            <w:r w:rsidR="009B429F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9,2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%, a ich kwota o </w:t>
                            </w:r>
                            <w:r w:rsidR="009B429F"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8,6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AE3C" id="Pole tekstowe 16" o:spid="_x0000_s1033" type="#_x0000_t202" style="position:absolute;margin-left:0;margin-top:6.6pt;width:131.3pt;height:1in;z-index:-2515793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" filled="f" stroked="f">
                <v:textbox>
                  <w:txbxContent>
                    <w:p w:rsidR="0011639F" w:rsidRPr="00350CCF" w:rsidRDefault="0011639F" w:rsidP="00930BB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Liczba wypłaconych dodatków mieszkaniowych zmniejszyła się o </w:t>
                      </w:r>
                      <w:r w:rsidR="009B429F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9,2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%, a ich kwota o </w:t>
                      </w:r>
                      <w:r w:rsidR="009B429F"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8,6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Fira Sans" w:hAnsi="Fira Sans"/>
          <w:b/>
        </w:rPr>
        <w:t>Dodatki mieszkaniowe</w:t>
      </w:r>
    </w:p>
    <w:p w:rsidR="00930BB2" w:rsidRPr="00F458CE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p w:rsidR="00930BB2" w:rsidRPr="00F0243D" w:rsidRDefault="00930BB2" w:rsidP="00930BB2">
      <w:pPr>
        <w:spacing w:before="0" w:after="0"/>
        <w:rPr>
          <w:shd w:val="clear" w:color="auto" w:fill="FFFFFF"/>
        </w:rPr>
      </w:pPr>
      <w:r w:rsidRPr="00F0243D">
        <w:rPr>
          <w:shd w:val="clear" w:color="auto" w:fill="FFFFFF"/>
        </w:rPr>
        <w:t>W 2017 r. wypłacono ok. 3,</w:t>
      </w:r>
      <w:r w:rsidR="008C40CB">
        <w:rPr>
          <w:shd w:val="clear" w:color="auto" w:fill="FFFFFF"/>
        </w:rPr>
        <w:t>6</w:t>
      </w:r>
      <w:r w:rsidRPr="00F0243D">
        <w:rPr>
          <w:shd w:val="clear" w:color="auto" w:fill="FFFFFF"/>
        </w:rPr>
        <w:t xml:space="preserve"> mln dodatków mieszkaniowych na łączną kwotę </w:t>
      </w:r>
      <w:r w:rsidR="009B429F">
        <w:rPr>
          <w:shd w:val="clear" w:color="auto" w:fill="FFFFFF"/>
        </w:rPr>
        <w:t>746,8</w:t>
      </w:r>
      <w:r w:rsidRPr="00F0243D">
        <w:rPr>
          <w:shd w:val="clear" w:color="auto" w:fill="FFFFFF"/>
        </w:rPr>
        <w:t xml:space="preserve"> mln zł. Analogicznie do roku poprzedniego, najwięcej dodatków mieszkaniowych wypłacono użytko</w:t>
      </w:r>
      <w:r w:rsidR="009B429F">
        <w:rPr>
          <w:shd w:val="clear" w:color="auto" w:fill="FFFFFF"/>
        </w:rPr>
        <w:t>wnikom lokali gminnych, tj. 40,6</w:t>
      </w:r>
      <w:r w:rsidRPr="00F0243D">
        <w:rPr>
          <w:shd w:val="clear" w:color="auto" w:fill="FFFFFF"/>
        </w:rPr>
        <w:t>% oraz lokali spółdzielczych – 26,</w:t>
      </w:r>
      <w:r w:rsidR="009B429F">
        <w:rPr>
          <w:shd w:val="clear" w:color="auto" w:fill="FFFFFF"/>
        </w:rPr>
        <w:t>7</w:t>
      </w:r>
      <w:r w:rsidRPr="00F0243D">
        <w:rPr>
          <w:shd w:val="clear" w:color="auto" w:fill="FFFFFF"/>
        </w:rPr>
        <w:t>%, najmniej zaś uzyskali użytkownicy mieszkań towarzystw budownictwa społecznego – 2</w:t>
      </w:r>
      <w:r w:rsidR="009B429F">
        <w:rPr>
          <w:shd w:val="clear" w:color="auto" w:fill="FFFFFF"/>
        </w:rPr>
        <w:t>,0% oraz innych podmiotów – 6,0</w:t>
      </w:r>
      <w:r>
        <w:rPr>
          <w:shd w:val="clear" w:color="auto" w:fill="FFFFFF"/>
        </w:rPr>
        <w:t>%</w:t>
      </w:r>
      <w:r w:rsidRPr="00F0243D">
        <w:rPr>
          <w:shd w:val="clear" w:color="auto" w:fill="FFFFFF"/>
        </w:rPr>
        <w:t>.</w:t>
      </w:r>
    </w:p>
    <w:p w:rsidR="00930BB2" w:rsidRPr="00F0243D" w:rsidRDefault="00930BB2" w:rsidP="00930BB2">
      <w:pPr>
        <w:spacing w:before="0" w:after="0"/>
        <w:rPr>
          <w:spacing w:val="-2"/>
          <w:szCs w:val="19"/>
        </w:rPr>
      </w:pPr>
      <w:r w:rsidRPr="00F0243D">
        <w:rPr>
          <w:spacing w:val="-2"/>
          <w:szCs w:val="19"/>
        </w:rPr>
        <w:t>Przeciętna wysokość dodatków mieszkaniowych wyniosła 2</w:t>
      </w:r>
      <w:r w:rsidR="009B429F">
        <w:rPr>
          <w:spacing w:val="-2"/>
          <w:szCs w:val="19"/>
        </w:rPr>
        <w:t xml:space="preserve">05,9 zł. </w:t>
      </w:r>
      <w:r w:rsidRPr="00F0243D">
        <w:rPr>
          <w:spacing w:val="-2"/>
          <w:szCs w:val="19"/>
        </w:rPr>
        <w:t xml:space="preserve"> Najwyższa przeciętna kwota dodatku została wypłacona użytkownikom lokali pozostających w zasobie </w:t>
      </w:r>
      <w:r w:rsidR="009B429F">
        <w:rPr>
          <w:spacing w:val="-2"/>
          <w:szCs w:val="19"/>
        </w:rPr>
        <w:t>towarzystw budownictwa społecznego</w:t>
      </w:r>
      <w:r w:rsidRPr="00F0243D">
        <w:rPr>
          <w:spacing w:val="-2"/>
          <w:szCs w:val="19"/>
        </w:rPr>
        <w:t xml:space="preserve"> – 2</w:t>
      </w:r>
      <w:r w:rsidR="009B429F">
        <w:rPr>
          <w:spacing w:val="-2"/>
          <w:szCs w:val="19"/>
        </w:rPr>
        <w:t>48,9</w:t>
      </w:r>
      <w:r w:rsidRPr="00F0243D">
        <w:rPr>
          <w:spacing w:val="-2"/>
          <w:szCs w:val="19"/>
        </w:rPr>
        <w:t xml:space="preserve"> zł, a najniższa – użytkownikom lokali pozostają</w:t>
      </w:r>
      <w:r>
        <w:rPr>
          <w:spacing w:val="-2"/>
          <w:szCs w:val="19"/>
        </w:rPr>
        <w:t>c</w:t>
      </w:r>
      <w:r w:rsidRPr="00F0243D">
        <w:rPr>
          <w:spacing w:val="-2"/>
          <w:szCs w:val="19"/>
        </w:rPr>
        <w:t>ych w zasobie wspólnot mieszkaniowych – 18</w:t>
      </w:r>
      <w:r w:rsidR="009B429F">
        <w:rPr>
          <w:spacing w:val="-2"/>
          <w:szCs w:val="19"/>
        </w:rPr>
        <w:t>4,8</w:t>
      </w:r>
      <w:r w:rsidRPr="00F0243D">
        <w:rPr>
          <w:spacing w:val="-2"/>
          <w:szCs w:val="19"/>
        </w:rPr>
        <w:t xml:space="preserve"> zł.</w:t>
      </w:r>
    </w:p>
    <w:p w:rsidR="00930BB2" w:rsidRPr="00F0243D" w:rsidRDefault="00930BB2" w:rsidP="00930BB2">
      <w:pPr>
        <w:spacing w:before="0" w:after="0"/>
        <w:rPr>
          <w:spacing w:val="-2"/>
          <w:szCs w:val="19"/>
        </w:rPr>
      </w:pPr>
    </w:p>
    <w:p w:rsidR="00930BB2" w:rsidRPr="00F0243D" w:rsidRDefault="00930BB2" w:rsidP="00930BB2">
      <w:pPr>
        <w:spacing w:before="0" w:after="0"/>
        <w:rPr>
          <w:b/>
          <w:spacing w:val="-2"/>
          <w:sz w:val="18"/>
        </w:rPr>
      </w:pPr>
      <w:r w:rsidRPr="00F0243D">
        <w:rPr>
          <w:b/>
          <w:spacing w:val="-2"/>
          <w:sz w:val="18"/>
        </w:rPr>
        <w:t xml:space="preserve">Tablica </w:t>
      </w:r>
      <w:r w:rsidR="00A9201B">
        <w:rPr>
          <w:b/>
          <w:spacing w:val="-2"/>
          <w:sz w:val="18"/>
        </w:rPr>
        <w:t>4</w:t>
      </w:r>
      <w:r w:rsidRPr="00F0243D">
        <w:rPr>
          <w:b/>
          <w:spacing w:val="-2"/>
          <w:sz w:val="18"/>
        </w:rPr>
        <w:t>. Dodatki mieszkaniowe</w:t>
      </w:r>
    </w:p>
    <w:p w:rsidR="00930BB2" w:rsidRPr="00F0243D" w:rsidRDefault="00930BB2" w:rsidP="00930BB2">
      <w:pPr>
        <w:spacing w:before="0" w:after="0"/>
        <w:rPr>
          <w:sz w:val="12"/>
          <w:szCs w:val="12"/>
          <w:shd w:val="clear" w:color="auto" w:fill="FFFFFF"/>
        </w:rPr>
      </w:pPr>
    </w:p>
    <w:tbl>
      <w:tblPr>
        <w:tblW w:w="787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850"/>
        <w:gridCol w:w="987"/>
        <w:gridCol w:w="872"/>
        <w:gridCol w:w="930"/>
      </w:tblGrid>
      <w:tr w:rsidR="00930BB2" w:rsidRPr="00F0243D" w:rsidTr="0011639F">
        <w:trPr>
          <w:trHeight w:val="315"/>
        </w:trPr>
        <w:tc>
          <w:tcPr>
            <w:tcW w:w="4253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8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2015 = 100</w:t>
            </w:r>
          </w:p>
        </w:tc>
        <w:tc>
          <w:tcPr>
            <w:tcW w:w="854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3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2016 = 100</w:t>
            </w:r>
          </w:p>
        </w:tc>
      </w:tr>
      <w:tr w:rsidR="00930BB2" w:rsidRPr="00F0243D" w:rsidTr="0011639F">
        <w:trPr>
          <w:trHeight w:val="330"/>
        </w:trPr>
        <w:tc>
          <w:tcPr>
            <w:tcW w:w="4253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AC3C97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Liczba wypłaconych dodatków mieszkaniowych w tys.</w:t>
            </w:r>
          </w:p>
        </w:tc>
        <w:tc>
          <w:tcPr>
            <w:tcW w:w="850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3 994,3</w:t>
            </w:r>
          </w:p>
        </w:tc>
        <w:tc>
          <w:tcPr>
            <w:tcW w:w="989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91,6 </w:t>
            </w:r>
          </w:p>
        </w:tc>
        <w:tc>
          <w:tcPr>
            <w:tcW w:w="85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9B42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3</w:t>
            </w:r>
            <w:r w:rsidR="009B429F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="009B429F">
              <w:rPr>
                <w:rFonts w:eastAsia="Times New Roman" w:cs="Calibri"/>
                <w:sz w:val="16"/>
                <w:szCs w:val="16"/>
                <w:lang w:eastAsia="pl-PL"/>
              </w:rPr>
              <w:t>27,7</w:t>
            </w: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2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930BB2" w:rsidRPr="00F0243D" w:rsidRDefault="00930BB2" w:rsidP="009B42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="009B429F">
              <w:rPr>
                <w:rFonts w:eastAsia="Times New Roman" w:cs="Calibri"/>
                <w:sz w:val="16"/>
                <w:szCs w:val="16"/>
                <w:lang w:eastAsia="pl-PL"/>
              </w:rPr>
              <w:t>0,8</w:t>
            </w:r>
          </w:p>
        </w:tc>
      </w:tr>
      <w:tr w:rsidR="00930BB2" w:rsidRPr="00F0243D" w:rsidTr="0011639F">
        <w:trPr>
          <w:trHeight w:val="315"/>
        </w:trPr>
        <w:tc>
          <w:tcPr>
            <w:tcW w:w="4253" w:type="dxa"/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Kwota dodatków mieszkaniowych w tys. zł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817 175,5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91,4 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930BB2" w:rsidRPr="00F0243D" w:rsidRDefault="00930BB2" w:rsidP="009B42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  <w:r w:rsidR="009B429F">
              <w:rPr>
                <w:rFonts w:eastAsia="Times New Roman" w:cs="Calibri"/>
                <w:sz w:val="16"/>
                <w:szCs w:val="16"/>
                <w:lang w:eastAsia="pl-PL"/>
              </w:rPr>
              <w:t>746 760,2</w:t>
            </w: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:rsidR="00930BB2" w:rsidRPr="00F0243D" w:rsidRDefault="009B429F" w:rsidP="009B42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91</w:t>
            </w:r>
            <w:r w:rsidR="00930BB2" w:rsidRPr="00F0243D">
              <w:rPr>
                <w:rFonts w:eastAsia="Times New Roman" w:cs="Calibri"/>
                <w:sz w:val="16"/>
                <w:szCs w:val="16"/>
                <w:lang w:eastAsia="pl-PL"/>
              </w:rPr>
              <w:t>,4</w:t>
            </w:r>
          </w:p>
        </w:tc>
      </w:tr>
      <w:tr w:rsidR="00930BB2" w:rsidRPr="00F0243D" w:rsidTr="0011639F">
        <w:trPr>
          <w:trHeight w:val="315"/>
        </w:trPr>
        <w:tc>
          <w:tcPr>
            <w:tcW w:w="4253" w:type="dxa"/>
            <w:shd w:val="clear" w:color="auto" w:fill="auto"/>
            <w:vAlign w:val="center"/>
          </w:tcPr>
          <w:p w:rsidR="00930BB2" w:rsidRPr="00F0243D" w:rsidRDefault="00930BB2" w:rsidP="0011639F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Przeciętna wysokość dodatku w zł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204,6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30BB2" w:rsidRPr="00F0243D" w:rsidRDefault="00930BB2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930BB2" w:rsidRPr="00F0243D" w:rsidRDefault="009B429F" w:rsidP="001163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205,9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930BB2" w:rsidRPr="00F0243D" w:rsidRDefault="00930BB2" w:rsidP="009B429F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0243D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="009B429F">
              <w:rPr>
                <w:rFonts w:eastAsia="Times New Roman" w:cs="Calibri"/>
                <w:sz w:val="16"/>
                <w:szCs w:val="16"/>
                <w:lang w:eastAsia="pl-PL"/>
              </w:rPr>
              <w:t>00,6</w:t>
            </w:r>
          </w:p>
        </w:tc>
      </w:tr>
    </w:tbl>
    <w:p w:rsidR="00930BB2" w:rsidRPr="00347A69" w:rsidRDefault="00930BB2" w:rsidP="00930BB2">
      <w:pPr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930BB2" w:rsidRPr="00347A69" w:rsidRDefault="00930BB2" w:rsidP="00930BB2">
      <w:pPr>
        <w:pStyle w:val="Nagwek1"/>
        <w:spacing w:before="0" w:after="0"/>
        <w:rPr>
          <w:rFonts w:ascii="Fira Sans" w:hAnsi="Fira Sans"/>
          <w:b/>
          <w:szCs w:val="19"/>
        </w:rPr>
      </w:pPr>
      <w:r w:rsidRPr="00347A69">
        <w:rPr>
          <w:rFonts w:ascii="Fira Sans" w:hAnsi="Fira Sans"/>
          <w:b/>
          <w:noProof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09BFE4C4" wp14:editId="21B7DD64">
                <wp:simplePos x="0" y="0"/>
                <wp:positionH relativeFrom="rightMargin">
                  <wp:align>left</wp:align>
                </wp:positionH>
                <wp:positionV relativeFrom="paragraph">
                  <wp:posOffset>75703</wp:posOffset>
                </wp:positionV>
                <wp:extent cx="1743710" cy="1447800"/>
                <wp:effectExtent l="0" t="0" r="0" b="0"/>
                <wp:wrapTight wrapText="bothSides">
                  <wp:wrapPolygon edited="0">
                    <wp:start x="708" y="0"/>
                    <wp:lineTo x="708" y="21316"/>
                    <wp:lineTo x="20766" y="21316"/>
                    <wp:lineTo x="20766" y="0"/>
                    <wp:lineTo x="708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Pr="00E33B28" w:rsidRDefault="00523F8D" w:rsidP="00930BB2">
                            <w:pPr>
                              <w:pStyle w:val="tekstzboku"/>
                            </w:pPr>
                            <w:r w:rsidRPr="00E33B28">
                              <w:t xml:space="preserve">Gminy posiadały 25 800 ha </w:t>
                            </w:r>
                            <w:r w:rsidR="0011639F" w:rsidRPr="00E33B28">
                              <w:t xml:space="preserve"> gruntów niezabudowanych </w:t>
                            </w:r>
                            <w:r w:rsidRPr="00E33B28">
                              <w:t xml:space="preserve">przeznaczonych pod budownictwo mieszkaniowe, z czego pod </w:t>
                            </w:r>
                            <w:r w:rsidR="0011639F" w:rsidRPr="00E33B28">
                              <w:t>budownictwo jednorodzinne 76,5%</w:t>
                            </w:r>
                            <w:r w:rsidRPr="00E33B28">
                              <w:t xml:space="preserve"> ogólnej ich powierzchni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FE4C4" id="Pole tekstowe 25" o:spid="_x0000_s1034" type="#_x0000_t202" style="position:absolute;margin-left:0;margin-top:5.95pt;width:137.3pt;height:114pt;z-index:-2515752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" filled="f" stroked="f">
                <v:textbox>
                  <w:txbxContent>
                    <w:p w:rsidR="0011639F" w:rsidRPr="00E33B28" w:rsidRDefault="00523F8D" w:rsidP="00930BB2">
                      <w:pPr>
                        <w:pStyle w:val="tekstzboku"/>
                      </w:pPr>
                      <w:r w:rsidRPr="00E33B28">
                        <w:t xml:space="preserve">Gminy posiadały 25 800 ha </w:t>
                      </w:r>
                      <w:r w:rsidR="0011639F" w:rsidRPr="00E33B28">
                        <w:t xml:space="preserve"> gruntów niezabudowanych </w:t>
                      </w:r>
                      <w:r w:rsidRPr="00E33B28">
                        <w:t xml:space="preserve">przeznaczonych pod budownictwo mieszkaniowe, z czego pod </w:t>
                      </w:r>
                      <w:r w:rsidR="0011639F" w:rsidRPr="00E33B28">
                        <w:t>budownictwo jednorodzinne 76,5%</w:t>
                      </w:r>
                      <w:r w:rsidRPr="00E33B28">
                        <w:t xml:space="preserve"> ogólnej ich powierzchni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47A69">
        <w:rPr>
          <w:rFonts w:ascii="Fira Sans" w:hAnsi="Fira Sans"/>
          <w:b/>
          <w:szCs w:val="19"/>
        </w:rPr>
        <w:t>Gospodarka gruntami pod budownictwo mieszkaniowe</w:t>
      </w:r>
    </w:p>
    <w:p w:rsidR="00930BB2" w:rsidRDefault="00930BB2" w:rsidP="00930BB2">
      <w:pPr>
        <w:spacing w:before="0" w:after="0" w:line="240" w:lineRule="auto"/>
        <w:rPr>
          <w:sz w:val="12"/>
          <w:szCs w:val="12"/>
          <w:lang w:eastAsia="pl-PL"/>
        </w:rPr>
      </w:pPr>
    </w:p>
    <w:p w:rsidR="00930BB2" w:rsidRDefault="00930BB2" w:rsidP="00930BB2">
      <w:pPr>
        <w:spacing w:before="0" w:after="0"/>
        <w:rPr>
          <w:shd w:val="clear" w:color="auto" w:fill="FFFFFF"/>
        </w:rPr>
      </w:pPr>
      <w:r w:rsidRPr="00B428F8">
        <w:rPr>
          <w:shd w:val="clear" w:color="auto" w:fill="FFFFFF"/>
        </w:rPr>
        <w:t xml:space="preserve">W odniesieniu do gruntów </w:t>
      </w:r>
      <w:r w:rsidR="00E236E0">
        <w:rPr>
          <w:shd w:val="clear" w:color="auto" w:fill="FFFFFF"/>
        </w:rPr>
        <w:t>będących</w:t>
      </w:r>
      <w:r w:rsidRPr="00B428F8">
        <w:rPr>
          <w:shd w:val="clear" w:color="auto" w:fill="FFFFFF"/>
        </w:rPr>
        <w:t xml:space="preserve"> w zasobach gmin z przeznaczeniem pod budownictwo mieszkaniowe </w:t>
      </w:r>
      <w:r w:rsidR="004B1366">
        <w:rPr>
          <w:shd w:val="clear" w:color="auto" w:fill="FFFFFF"/>
        </w:rPr>
        <w:t xml:space="preserve">na koniec 2017 r. </w:t>
      </w:r>
      <w:r w:rsidR="00E236E0">
        <w:rPr>
          <w:shd w:val="clear" w:color="auto" w:fill="FFFFFF"/>
        </w:rPr>
        <w:t xml:space="preserve">60% </w:t>
      </w:r>
      <w:r w:rsidR="004B1366">
        <w:rPr>
          <w:shd w:val="clear" w:color="auto" w:fill="FFFFFF"/>
        </w:rPr>
        <w:t>znajdowało</w:t>
      </w:r>
      <w:r w:rsidR="00E236E0">
        <w:rPr>
          <w:shd w:val="clear" w:color="auto" w:fill="FFFFFF"/>
        </w:rPr>
        <w:t xml:space="preserve"> się na terenach miejskich, z czego 63,3% gruntów </w:t>
      </w:r>
      <w:r w:rsidR="004B1366">
        <w:rPr>
          <w:shd w:val="clear" w:color="auto" w:fill="FFFFFF"/>
        </w:rPr>
        <w:t>przeznaczonych było</w:t>
      </w:r>
      <w:r w:rsidR="00E236E0">
        <w:rPr>
          <w:shd w:val="clear" w:color="auto" w:fill="FFFFFF"/>
        </w:rPr>
        <w:t xml:space="preserve"> pod budownictwo jednorodzinne.</w:t>
      </w:r>
    </w:p>
    <w:p w:rsidR="00E236E0" w:rsidRDefault="00E236E0" w:rsidP="00930BB2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Z ogólnej powierzchni gruntów przeznaczonych pod budownictwo mieszkaniowe, 49,9% </w:t>
      </w:r>
      <w:r w:rsidR="004B1366">
        <w:rPr>
          <w:shd w:val="clear" w:color="auto" w:fill="FFFFFF"/>
        </w:rPr>
        <w:t>stanowiły</w:t>
      </w:r>
      <w:r>
        <w:rPr>
          <w:shd w:val="clear" w:color="auto" w:fill="FFFFFF"/>
        </w:rPr>
        <w:t xml:space="preserve"> grunt</w:t>
      </w:r>
      <w:r w:rsidR="004B1366">
        <w:rPr>
          <w:shd w:val="clear" w:color="auto" w:fill="FFFFFF"/>
        </w:rPr>
        <w:t>y</w:t>
      </w:r>
      <w:r>
        <w:rPr>
          <w:shd w:val="clear" w:color="auto" w:fill="FFFFFF"/>
        </w:rPr>
        <w:t xml:space="preserve"> niezabudowan</w:t>
      </w:r>
      <w:r w:rsidR="004B1366">
        <w:rPr>
          <w:shd w:val="clear" w:color="auto" w:fill="FFFFFF"/>
        </w:rPr>
        <w:t>e</w:t>
      </w:r>
      <w:r>
        <w:rPr>
          <w:shd w:val="clear" w:color="auto" w:fill="FFFFFF"/>
        </w:rPr>
        <w:t xml:space="preserve"> (</w:t>
      </w:r>
      <w:r w:rsidR="004B1366">
        <w:rPr>
          <w:shd w:val="clear" w:color="auto" w:fill="FFFFFF"/>
        </w:rPr>
        <w:t xml:space="preserve">z czego </w:t>
      </w:r>
      <w:r>
        <w:rPr>
          <w:shd w:val="clear" w:color="auto" w:fill="FFFFFF"/>
        </w:rPr>
        <w:t xml:space="preserve">50,6% </w:t>
      </w:r>
      <w:r w:rsidR="004B1366">
        <w:rPr>
          <w:shd w:val="clear" w:color="auto" w:fill="FFFFFF"/>
        </w:rPr>
        <w:t>odnotowano</w:t>
      </w:r>
      <w:r>
        <w:rPr>
          <w:shd w:val="clear" w:color="auto" w:fill="FFFFFF"/>
        </w:rPr>
        <w:t xml:space="preserve"> na terenach miejskich).</w:t>
      </w:r>
    </w:p>
    <w:p w:rsidR="00930BB2" w:rsidRPr="000535B2" w:rsidRDefault="00930BB2" w:rsidP="00930BB2">
      <w:pPr>
        <w:spacing w:before="0" w:after="0"/>
        <w:rPr>
          <w:shd w:val="clear" w:color="auto" w:fill="FFFFFF"/>
        </w:rPr>
      </w:pPr>
      <w:r w:rsidRPr="000535B2">
        <w:rPr>
          <w:shd w:val="clear" w:color="auto" w:fill="FFFFFF"/>
        </w:rPr>
        <w:t>W 201</w:t>
      </w:r>
      <w:r>
        <w:rPr>
          <w:shd w:val="clear" w:color="auto" w:fill="FFFFFF"/>
        </w:rPr>
        <w:t>7</w:t>
      </w:r>
      <w:r w:rsidRPr="000535B2">
        <w:rPr>
          <w:shd w:val="clear" w:color="auto" w:fill="FFFFFF"/>
        </w:rPr>
        <w:t xml:space="preserve"> r. gminy przekazały inwestorom pod budownictwo mieszkaniowe 815 ha gruntów, z</w:t>
      </w:r>
      <w:r w:rsidR="00496EE1">
        <w:rPr>
          <w:shd w:val="clear" w:color="auto" w:fill="FFFFFF"/>
        </w:rPr>
        <w:t> </w:t>
      </w:r>
      <w:r w:rsidRPr="000535B2">
        <w:rPr>
          <w:shd w:val="clear" w:color="auto" w:fill="FFFFFF"/>
        </w:rPr>
        <w:t>których 84,1% przeznaczono pod budownictwo mieszkaniowe jednorodzinne. Z ogólnej powierzchni gruntów przekazanych pod budownictwo mieszkaniowe 59,3% stanowiły grunty</w:t>
      </w:r>
      <w:r w:rsidR="003E7187">
        <w:rPr>
          <w:shd w:val="clear" w:color="auto" w:fill="FFFFFF"/>
        </w:rPr>
        <w:t xml:space="preserve"> </w:t>
      </w:r>
      <w:r w:rsidRPr="000535B2">
        <w:rPr>
          <w:shd w:val="clear" w:color="auto" w:fill="FFFFFF"/>
        </w:rPr>
        <w:t>w</w:t>
      </w:r>
      <w:r w:rsidR="00496EE1">
        <w:rPr>
          <w:shd w:val="clear" w:color="auto" w:fill="FFFFFF"/>
        </w:rPr>
        <w:t> </w:t>
      </w:r>
      <w:r w:rsidRPr="000535B2">
        <w:rPr>
          <w:shd w:val="clear" w:color="auto" w:fill="FFFFFF"/>
        </w:rPr>
        <w:t>miastach.</w:t>
      </w:r>
    </w:p>
    <w:p w:rsidR="002A4300" w:rsidRDefault="002A4300" w:rsidP="00E76D26">
      <w:pPr>
        <w:rPr>
          <w:sz w:val="18"/>
        </w:rPr>
      </w:pPr>
    </w:p>
    <w:p w:rsidR="002A4300" w:rsidRPr="00001C5B" w:rsidRDefault="002A4300" w:rsidP="00E76D26">
      <w:pPr>
        <w:rPr>
          <w:sz w:val="18"/>
        </w:rPr>
        <w:sectPr w:rsidR="002A4300" w:rsidRPr="00001C5B" w:rsidSect="00D02CC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0470AA" w:rsidRPr="00AF3EBD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60001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BB4F09" w:rsidRDefault="00820C18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Izabella Adamczyk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20C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20C1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20C18" w:rsidRPr="00820C18">
              <w:rPr>
                <w:rStyle w:val="Hipercze"/>
                <w:rFonts w:cs="Arial"/>
                <w:lang w:val="en-US"/>
              </w:rPr>
              <w:t>i</w:t>
            </w:r>
            <w:hyperlink r:id="rId17" w:history="1">
              <w:r w:rsidR="00820C18" w:rsidRPr="00981BC7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.adamczyk@stat.gov.pl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F323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D144E5" w:rsidRDefault="000470AA" w:rsidP="000470AA">
      <w:pPr>
        <w:rPr>
          <w:sz w:val="20"/>
          <w:lang w:val="en-US"/>
        </w:rPr>
      </w:pPr>
    </w:p>
    <w:p w:rsidR="000470AA" w:rsidRPr="00D144E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D144E5" w:rsidRDefault="000470AA" w:rsidP="000470AA">
            <w:pPr>
              <w:rPr>
                <w:sz w:val="20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faks:</w:t>
            </w:r>
            <w:r w:rsidR="00097840" w:rsidRPr="00D144E5">
              <w:rPr>
                <w:sz w:val="20"/>
                <w:lang w:val="en-US"/>
              </w:rPr>
              <w:t xml:space="preserve"> 22</w:t>
            </w:r>
            <w:r w:rsidRPr="00D144E5">
              <w:rPr>
                <w:sz w:val="20"/>
                <w:lang w:val="en-US"/>
              </w:rPr>
              <w:t xml:space="preserve"> 608 38 86 </w:t>
            </w:r>
          </w:p>
          <w:p w:rsidR="000470AA" w:rsidRPr="00D144E5" w:rsidRDefault="000470AA" w:rsidP="000470AA">
            <w:pPr>
              <w:rPr>
                <w:sz w:val="18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e-mail:</w:t>
            </w:r>
            <w:hyperlink r:id="rId19" w:history="1">
              <w:r w:rsidRPr="00D144E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144E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A72EFD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39F" w:rsidRDefault="0011639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1639F" w:rsidRDefault="0011639F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837430" w:rsidRDefault="00E41503" w:rsidP="00837430">
                            <w:pPr>
                              <w:tabs>
                                <w:tab w:val="left" w:pos="126"/>
                              </w:tabs>
                              <w:ind w:left="45"/>
                              <w:rPr>
                                <w:sz w:val="24"/>
                                <w:szCs w:val="24"/>
                              </w:rPr>
                            </w:pPr>
                            <w:hyperlink r:id="rId23" w:tooltip="Gospodarka mieszkaniowa w 2016 r." w:history="1">
                              <w:r w:rsidR="00837430">
                                <w:rPr>
                                  <w:rStyle w:val="Hipercze"/>
                                </w:rPr>
                                <w:t xml:space="preserve">Gospodarka mieszkaniowa w 2016 r. </w:t>
                              </w:r>
                            </w:hyperlink>
                          </w:p>
                          <w:p w:rsidR="0011639F" w:rsidRDefault="0011639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1639F" w:rsidRPr="00505A92" w:rsidRDefault="0011639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1639F" w:rsidRDefault="00E4150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11639F" w:rsidRPr="000E21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:rsidR="0011639F" w:rsidRPr="00673C26" w:rsidRDefault="00E4150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11639F" w:rsidRPr="000E218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</w:t>
                              </w:r>
                            </w:hyperlink>
                          </w:p>
                          <w:p w:rsidR="0011639F" w:rsidRDefault="0011639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1639F" w:rsidRDefault="0011639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37430" w:rsidRDefault="00E41503" w:rsidP="00AB6D25">
                            <w:hyperlink r:id="rId26" w:history="1">
                              <w:r w:rsidR="00837430">
                                <w:rPr>
                                  <w:rStyle w:val="Hipercze"/>
                                </w:rPr>
                                <w:t>Mieszkanie</w:t>
                              </w:r>
                            </w:hyperlink>
                          </w:p>
                          <w:p w:rsidR="00837430" w:rsidRDefault="00E41503" w:rsidP="00AB6D25">
                            <w:hyperlink r:id="rId27" w:history="1">
                              <w:r w:rsidR="00837430">
                                <w:rPr>
                                  <w:rStyle w:val="Hipercze"/>
                                </w:rPr>
                                <w:t>Powierzchnia użytkowa mieszkania</w:t>
                              </w:r>
                            </w:hyperlink>
                          </w:p>
                          <w:p w:rsidR="00837430" w:rsidRDefault="00E4150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>
                              <w:r w:rsidR="00837430">
                                <w:rPr>
                                  <w:rStyle w:val="Hipercze"/>
                                </w:rPr>
                                <w:t>Izba</w:t>
                              </w:r>
                            </w:hyperlink>
                          </w:p>
                          <w:p w:rsidR="00837430" w:rsidRDefault="00E4150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9" w:history="1">
                              <w:r w:rsidR="00837430">
                                <w:rPr>
                                  <w:rStyle w:val="Hipercze"/>
                                </w:rPr>
                                <w:t>Mieszkanie socjalne</w:t>
                              </w:r>
                            </w:hyperlink>
                          </w:p>
                          <w:p w:rsidR="00837430" w:rsidRDefault="00E4150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30" w:history="1">
                              <w:r w:rsidR="00837430">
                                <w:rPr>
                                  <w:rStyle w:val="Hipercze"/>
                                </w:rPr>
                                <w:t>Dodatek mieszkaniowy</w:t>
                              </w:r>
                            </w:hyperlink>
                          </w:p>
                          <w:p w:rsidR="00837430" w:rsidRPr="00505A92" w:rsidRDefault="00E4150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31" w:history="1">
                              <w:r w:rsidR="00837430">
                                <w:rPr>
                                  <w:rStyle w:val="Hipercze"/>
                                </w:rPr>
                                <w:t>Grunty komunalne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cgPwIAAHM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va0cg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11639F" w:rsidRDefault="0011639F" w:rsidP="00AB6D25">
                      <w:pPr>
                        <w:rPr>
                          <w:b/>
                        </w:rPr>
                      </w:pPr>
                    </w:p>
                    <w:p w:rsidR="0011639F" w:rsidRDefault="0011639F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837430" w:rsidRDefault="00E41503" w:rsidP="00837430">
                      <w:pPr>
                        <w:tabs>
                          <w:tab w:val="left" w:pos="126"/>
                        </w:tabs>
                        <w:ind w:left="45"/>
                        <w:rPr>
                          <w:sz w:val="24"/>
                          <w:szCs w:val="24"/>
                        </w:rPr>
                      </w:pPr>
                      <w:hyperlink r:id="rId32" w:tooltip="Gospodarka mieszkaniowa w 2016 r." w:history="1">
                        <w:r w:rsidR="00837430">
                          <w:rPr>
                            <w:rStyle w:val="Hipercze"/>
                          </w:rPr>
                          <w:t xml:space="preserve">Gospodarka mieszkaniowa w 2016 r. </w:t>
                        </w:r>
                      </w:hyperlink>
                    </w:p>
                    <w:p w:rsidR="0011639F" w:rsidRDefault="0011639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1639F" w:rsidRPr="00505A92" w:rsidRDefault="0011639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1639F" w:rsidRDefault="00E4150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11639F" w:rsidRPr="000E21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:rsidR="0011639F" w:rsidRPr="00673C26" w:rsidRDefault="00E4150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11639F" w:rsidRPr="000E218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</w:t>
                        </w:r>
                      </w:hyperlink>
                    </w:p>
                    <w:p w:rsidR="0011639F" w:rsidRDefault="0011639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1639F" w:rsidRDefault="0011639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37430" w:rsidRDefault="00E41503" w:rsidP="00AB6D25">
                      <w:hyperlink r:id="rId35" w:history="1">
                        <w:r w:rsidR="00837430">
                          <w:rPr>
                            <w:rStyle w:val="Hipercze"/>
                          </w:rPr>
                          <w:t>Mieszkanie</w:t>
                        </w:r>
                      </w:hyperlink>
                    </w:p>
                    <w:p w:rsidR="00837430" w:rsidRDefault="00E41503" w:rsidP="00AB6D25">
                      <w:hyperlink r:id="rId36" w:history="1">
                        <w:r w:rsidR="00837430">
                          <w:rPr>
                            <w:rStyle w:val="Hipercze"/>
                          </w:rPr>
                          <w:t>Powierzchnia użytkowa mieszkania</w:t>
                        </w:r>
                      </w:hyperlink>
                    </w:p>
                    <w:p w:rsidR="00837430" w:rsidRDefault="00E4150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7" w:history="1">
                        <w:r w:rsidR="00837430">
                          <w:rPr>
                            <w:rStyle w:val="Hipercze"/>
                          </w:rPr>
                          <w:t>Izba</w:t>
                        </w:r>
                      </w:hyperlink>
                    </w:p>
                    <w:p w:rsidR="00837430" w:rsidRDefault="00E4150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8" w:history="1">
                        <w:r w:rsidR="00837430">
                          <w:rPr>
                            <w:rStyle w:val="Hipercze"/>
                          </w:rPr>
                          <w:t>Mieszkanie socjalne</w:t>
                        </w:r>
                      </w:hyperlink>
                    </w:p>
                    <w:p w:rsidR="00837430" w:rsidRDefault="00E4150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9" w:history="1">
                        <w:r w:rsidR="00837430">
                          <w:rPr>
                            <w:rStyle w:val="Hipercze"/>
                          </w:rPr>
                          <w:t>Dodatek mieszkaniowy</w:t>
                        </w:r>
                      </w:hyperlink>
                    </w:p>
                    <w:p w:rsidR="00837430" w:rsidRPr="00505A92" w:rsidRDefault="00E4150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0" w:history="1">
                        <w:r w:rsidR="00837430">
                          <w:rPr>
                            <w:rStyle w:val="Hipercze"/>
                          </w:rPr>
                          <w:t>Grunty komunalne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03" w:rsidRDefault="00E41503" w:rsidP="000662E2">
      <w:pPr>
        <w:spacing w:after="0" w:line="240" w:lineRule="auto"/>
      </w:pPr>
      <w:r>
        <w:separator/>
      </w:r>
    </w:p>
  </w:endnote>
  <w:endnote w:type="continuationSeparator" w:id="0">
    <w:p w:rsidR="00E41503" w:rsidRDefault="00E4150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:rsidR="0011639F" w:rsidRDefault="0011639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4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:rsidR="0011639F" w:rsidRDefault="0011639F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4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9F" w:rsidRDefault="0011639F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F004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03" w:rsidRDefault="00E41503" w:rsidP="000662E2">
      <w:pPr>
        <w:spacing w:after="0" w:line="240" w:lineRule="auto"/>
      </w:pPr>
      <w:r>
        <w:separator/>
      </w:r>
    </w:p>
  </w:footnote>
  <w:footnote w:type="continuationSeparator" w:id="0">
    <w:p w:rsidR="00E41503" w:rsidRDefault="00E4150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9F" w:rsidRDefault="0011639F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96B07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11639F" w:rsidRDefault="001163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9F" w:rsidRDefault="0011639F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0227" id="Prostokąt 10" o:spid="_x0000_s1026" style="position:absolute;margin-left:96.2pt;margin-top:38.0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NAQIMzcAAAACAEAAA8AAABk&#10;cnMvZG93bnJldi54bWxMj0FPg0AQhe8m/ofNmHizS6nFQhkaY2J6lqpJb1uYApGdJezS4r93POlx&#10;8ibvfV++m22vLjT6zjHCchGBIq5c3XGD8H54fdiA8sFwbXrHhPBNHnbF7U1ustpd+Y0uZWiUlLDP&#10;DEIbwpBp7auWrPELNxBLdnajNUHOsdH1aK5SbnsdR1GirelYFloz0EtL1Vc5WYRjE9jFdp/6fTm4&#10;j2m9TufPI+L93fy8BRVoDn/P8Isv6FAI08lNXHvVI4hIQHhKlqAkjdNHETkhrJLNKgZd5Pq/QPED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0BAgz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1639F" w:rsidRPr="003C6C8D" w:rsidRDefault="0011639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1639F" w:rsidRPr="003C6C8D" w:rsidRDefault="0011639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3E754F">
      <w:rPr>
        <w:noProof/>
        <w:lang w:val="en-GB" w:eastAsia="en-GB"/>
      </w:rPr>
      <w:drawing>
        <wp:inline distT="0" distB="0" distL="0" distR="0">
          <wp:extent cx="2212459" cy="720000"/>
          <wp:effectExtent l="0" t="0" r="0" b="4445"/>
          <wp:docPr id="3" name="Obraz 3" descr="C:\Users\tupaczewskaa\Desktop\Logo jubileuszowe wersja dla GUS odmian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upaczewskaa\Desktop\Logo jubileuszowe wersja dla GUS odmian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45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639F" w:rsidRDefault="0011639F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39F" w:rsidRPr="00C97596" w:rsidRDefault="001163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14.09.2018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1639F" w:rsidRPr="00C97596" w:rsidRDefault="001163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14.09.2018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9F" w:rsidRDefault="0011639F">
    <w:pPr>
      <w:pStyle w:val="Nagwek"/>
    </w:pPr>
  </w:p>
  <w:p w:rsidR="0011639F" w:rsidRDefault="00116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2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52F5"/>
    <w:rsid w:val="000300FB"/>
    <w:rsid w:val="0003255C"/>
    <w:rsid w:val="0004582E"/>
    <w:rsid w:val="000470AA"/>
    <w:rsid w:val="00051E39"/>
    <w:rsid w:val="00052330"/>
    <w:rsid w:val="00057CA1"/>
    <w:rsid w:val="000662E2"/>
    <w:rsid w:val="00066883"/>
    <w:rsid w:val="00070963"/>
    <w:rsid w:val="00074DD8"/>
    <w:rsid w:val="000806F7"/>
    <w:rsid w:val="0008281C"/>
    <w:rsid w:val="00093065"/>
    <w:rsid w:val="00097840"/>
    <w:rsid w:val="000A3422"/>
    <w:rsid w:val="000B0727"/>
    <w:rsid w:val="000C072D"/>
    <w:rsid w:val="000C135D"/>
    <w:rsid w:val="000D1D43"/>
    <w:rsid w:val="000D225C"/>
    <w:rsid w:val="000D2A5C"/>
    <w:rsid w:val="000D578D"/>
    <w:rsid w:val="000E0918"/>
    <w:rsid w:val="000E218E"/>
    <w:rsid w:val="001011C3"/>
    <w:rsid w:val="001022EA"/>
    <w:rsid w:val="00110D87"/>
    <w:rsid w:val="00113606"/>
    <w:rsid w:val="00114DB9"/>
    <w:rsid w:val="00116087"/>
    <w:rsid w:val="0011639F"/>
    <w:rsid w:val="00123B64"/>
    <w:rsid w:val="00130296"/>
    <w:rsid w:val="00137E3D"/>
    <w:rsid w:val="001423B6"/>
    <w:rsid w:val="001448A7"/>
    <w:rsid w:val="00146621"/>
    <w:rsid w:val="00162325"/>
    <w:rsid w:val="001651D7"/>
    <w:rsid w:val="001951DA"/>
    <w:rsid w:val="001A6B1E"/>
    <w:rsid w:val="001B5867"/>
    <w:rsid w:val="001C3269"/>
    <w:rsid w:val="001C3DB8"/>
    <w:rsid w:val="001D1214"/>
    <w:rsid w:val="001D1DB4"/>
    <w:rsid w:val="001D433A"/>
    <w:rsid w:val="001D4A83"/>
    <w:rsid w:val="001E159D"/>
    <w:rsid w:val="00202C00"/>
    <w:rsid w:val="00206D73"/>
    <w:rsid w:val="002072FC"/>
    <w:rsid w:val="00207D57"/>
    <w:rsid w:val="0022731A"/>
    <w:rsid w:val="002311DA"/>
    <w:rsid w:val="00231F5E"/>
    <w:rsid w:val="00235562"/>
    <w:rsid w:val="002574F9"/>
    <w:rsid w:val="00261383"/>
    <w:rsid w:val="00262B61"/>
    <w:rsid w:val="00264DBF"/>
    <w:rsid w:val="00265051"/>
    <w:rsid w:val="00265626"/>
    <w:rsid w:val="00276811"/>
    <w:rsid w:val="00282699"/>
    <w:rsid w:val="00286F19"/>
    <w:rsid w:val="002915BA"/>
    <w:rsid w:val="002926DF"/>
    <w:rsid w:val="00296697"/>
    <w:rsid w:val="002A4300"/>
    <w:rsid w:val="002B0472"/>
    <w:rsid w:val="002B5320"/>
    <w:rsid w:val="002B5932"/>
    <w:rsid w:val="002B6B12"/>
    <w:rsid w:val="002C6197"/>
    <w:rsid w:val="002D63C1"/>
    <w:rsid w:val="002E3864"/>
    <w:rsid w:val="002E6140"/>
    <w:rsid w:val="002E6985"/>
    <w:rsid w:val="002E71B6"/>
    <w:rsid w:val="002F113C"/>
    <w:rsid w:val="002F3B22"/>
    <w:rsid w:val="002F5CB4"/>
    <w:rsid w:val="002F77C8"/>
    <w:rsid w:val="00300931"/>
    <w:rsid w:val="0030130D"/>
    <w:rsid w:val="00304F22"/>
    <w:rsid w:val="00306C7C"/>
    <w:rsid w:val="00322EDD"/>
    <w:rsid w:val="00325B5B"/>
    <w:rsid w:val="00332320"/>
    <w:rsid w:val="00334BC6"/>
    <w:rsid w:val="00335C1D"/>
    <w:rsid w:val="00347D72"/>
    <w:rsid w:val="003509C1"/>
    <w:rsid w:val="00350CCF"/>
    <w:rsid w:val="00357611"/>
    <w:rsid w:val="00363878"/>
    <w:rsid w:val="00365427"/>
    <w:rsid w:val="00367237"/>
    <w:rsid w:val="0037077F"/>
    <w:rsid w:val="00372411"/>
    <w:rsid w:val="00373882"/>
    <w:rsid w:val="003843DB"/>
    <w:rsid w:val="0038453C"/>
    <w:rsid w:val="00385867"/>
    <w:rsid w:val="00393761"/>
    <w:rsid w:val="00395C05"/>
    <w:rsid w:val="00397D18"/>
    <w:rsid w:val="003A1B36"/>
    <w:rsid w:val="003B1454"/>
    <w:rsid w:val="003B18B6"/>
    <w:rsid w:val="003B3B38"/>
    <w:rsid w:val="003C5507"/>
    <w:rsid w:val="003C59E0"/>
    <w:rsid w:val="003C65B9"/>
    <w:rsid w:val="003C6C8D"/>
    <w:rsid w:val="003C7BCB"/>
    <w:rsid w:val="003D4F95"/>
    <w:rsid w:val="003D5F42"/>
    <w:rsid w:val="003D60A9"/>
    <w:rsid w:val="003E5D54"/>
    <w:rsid w:val="003E7187"/>
    <w:rsid w:val="003F4C97"/>
    <w:rsid w:val="003F7FE6"/>
    <w:rsid w:val="00400193"/>
    <w:rsid w:val="00416C79"/>
    <w:rsid w:val="0042030D"/>
    <w:rsid w:val="004212E7"/>
    <w:rsid w:val="00422082"/>
    <w:rsid w:val="0042446D"/>
    <w:rsid w:val="00427BF8"/>
    <w:rsid w:val="00431C02"/>
    <w:rsid w:val="00437395"/>
    <w:rsid w:val="00442767"/>
    <w:rsid w:val="00445047"/>
    <w:rsid w:val="00463E39"/>
    <w:rsid w:val="004657FC"/>
    <w:rsid w:val="004733F6"/>
    <w:rsid w:val="00474E69"/>
    <w:rsid w:val="00482BF3"/>
    <w:rsid w:val="0049138C"/>
    <w:rsid w:val="00494F63"/>
    <w:rsid w:val="0049621B"/>
    <w:rsid w:val="00496EE1"/>
    <w:rsid w:val="004B1366"/>
    <w:rsid w:val="004C1895"/>
    <w:rsid w:val="004C6D40"/>
    <w:rsid w:val="004D25EA"/>
    <w:rsid w:val="004D51E6"/>
    <w:rsid w:val="004E1FDB"/>
    <w:rsid w:val="004F0C3C"/>
    <w:rsid w:val="004F3B49"/>
    <w:rsid w:val="004F63FC"/>
    <w:rsid w:val="00505A92"/>
    <w:rsid w:val="00511165"/>
    <w:rsid w:val="005203F1"/>
    <w:rsid w:val="00521BC3"/>
    <w:rsid w:val="00523F8D"/>
    <w:rsid w:val="00531348"/>
    <w:rsid w:val="00533632"/>
    <w:rsid w:val="00541E6E"/>
    <w:rsid w:val="0054251F"/>
    <w:rsid w:val="005520D8"/>
    <w:rsid w:val="00556CF1"/>
    <w:rsid w:val="005762A7"/>
    <w:rsid w:val="005916D7"/>
    <w:rsid w:val="00596BDB"/>
    <w:rsid w:val="005A698C"/>
    <w:rsid w:val="005B655D"/>
    <w:rsid w:val="005C5A96"/>
    <w:rsid w:val="005D59A8"/>
    <w:rsid w:val="005E0799"/>
    <w:rsid w:val="005E5CA7"/>
    <w:rsid w:val="005F37BA"/>
    <w:rsid w:val="005F5A80"/>
    <w:rsid w:val="006044FF"/>
    <w:rsid w:val="006064EC"/>
    <w:rsid w:val="0060749B"/>
    <w:rsid w:val="00607796"/>
    <w:rsid w:val="00607CC5"/>
    <w:rsid w:val="00625167"/>
    <w:rsid w:val="0062763C"/>
    <w:rsid w:val="00627864"/>
    <w:rsid w:val="00633014"/>
    <w:rsid w:val="0063437B"/>
    <w:rsid w:val="006409FD"/>
    <w:rsid w:val="00652655"/>
    <w:rsid w:val="0065395C"/>
    <w:rsid w:val="00660001"/>
    <w:rsid w:val="006673CA"/>
    <w:rsid w:val="00667D50"/>
    <w:rsid w:val="00671847"/>
    <w:rsid w:val="006735CC"/>
    <w:rsid w:val="00673C26"/>
    <w:rsid w:val="006812AF"/>
    <w:rsid w:val="006829C1"/>
    <w:rsid w:val="0068327D"/>
    <w:rsid w:val="00692576"/>
    <w:rsid w:val="00694AF0"/>
    <w:rsid w:val="006955E8"/>
    <w:rsid w:val="006A4686"/>
    <w:rsid w:val="006A5B53"/>
    <w:rsid w:val="006B0E9E"/>
    <w:rsid w:val="006B5AE4"/>
    <w:rsid w:val="006C61DC"/>
    <w:rsid w:val="006D0F90"/>
    <w:rsid w:val="006D1507"/>
    <w:rsid w:val="006D4054"/>
    <w:rsid w:val="006E02EC"/>
    <w:rsid w:val="006E0786"/>
    <w:rsid w:val="006F5DCB"/>
    <w:rsid w:val="007029A1"/>
    <w:rsid w:val="007211B1"/>
    <w:rsid w:val="00727AC5"/>
    <w:rsid w:val="00741D4F"/>
    <w:rsid w:val="00746187"/>
    <w:rsid w:val="00746BBA"/>
    <w:rsid w:val="00747E59"/>
    <w:rsid w:val="007573F9"/>
    <w:rsid w:val="0076254F"/>
    <w:rsid w:val="007801F5"/>
    <w:rsid w:val="00783CA4"/>
    <w:rsid w:val="007842FB"/>
    <w:rsid w:val="00786124"/>
    <w:rsid w:val="0079514B"/>
    <w:rsid w:val="007A2DC1"/>
    <w:rsid w:val="007A38B8"/>
    <w:rsid w:val="007C049E"/>
    <w:rsid w:val="007D3319"/>
    <w:rsid w:val="007D335D"/>
    <w:rsid w:val="007E3314"/>
    <w:rsid w:val="007E4B03"/>
    <w:rsid w:val="007F26E4"/>
    <w:rsid w:val="007F324B"/>
    <w:rsid w:val="0080553C"/>
    <w:rsid w:val="00805B46"/>
    <w:rsid w:val="0080613E"/>
    <w:rsid w:val="00806878"/>
    <w:rsid w:val="008079F8"/>
    <w:rsid w:val="008174AE"/>
    <w:rsid w:val="00820C18"/>
    <w:rsid w:val="00824A20"/>
    <w:rsid w:val="00825DC2"/>
    <w:rsid w:val="00834A43"/>
    <w:rsid w:val="00834AD3"/>
    <w:rsid w:val="0083727A"/>
    <w:rsid w:val="00837430"/>
    <w:rsid w:val="00837EFE"/>
    <w:rsid w:val="00840C7C"/>
    <w:rsid w:val="00843795"/>
    <w:rsid w:val="00847F0F"/>
    <w:rsid w:val="008514C5"/>
    <w:rsid w:val="00852448"/>
    <w:rsid w:val="008531B0"/>
    <w:rsid w:val="008620CE"/>
    <w:rsid w:val="00876F94"/>
    <w:rsid w:val="0088258A"/>
    <w:rsid w:val="00885AD2"/>
    <w:rsid w:val="00886332"/>
    <w:rsid w:val="00896A0B"/>
    <w:rsid w:val="008A26D9"/>
    <w:rsid w:val="008B3161"/>
    <w:rsid w:val="008C0C29"/>
    <w:rsid w:val="008C40CB"/>
    <w:rsid w:val="008D3C14"/>
    <w:rsid w:val="008F3638"/>
    <w:rsid w:val="008F4441"/>
    <w:rsid w:val="008F54D4"/>
    <w:rsid w:val="008F6F31"/>
    <w:rsid w:val="008F74DF"/>
    <w:rsid w:val="0090203D"/>
    <w:rsid w:val="00906EE7"/>
    <w:rsid w:val="00911C62"/>
    <w:rsid w:val="009127BA"/>
    <w:rsid w:val="00917388"/>
    <w:rsid w:val="00920A55"/>
    <w:rsid w:val="009227A6"/>
    <w:rsid w:val="009302EF"/>
    <w:rsid w:val="00930BB2"/>
    <w:rsid w:val="00933EC1"/>
    <w:rsid w:val="009417C0"/>
    <w:rsid w:val="009530DB"/>
    <w:rsid w:val="00953676"/>
    <w:rsid w:val="009705EE"/>
    <w:rsid w:val="00975484"/>
    <w:rsid w:val="00976067"/>
    <w:rsid w:val="00977284"/>
    <w:rsid w:val="00977927"/>
    <w:rsid w:val="0098135C"/>
    <w:rsid w:val="0098156A"/>
    <w:rsid w:val="009817A4"/>
    <w:rsid w:val="00991BAC"/>
    <w:rsid w:val="00997A7D"/>
    <w:rsid w:val="009A3802"/>
    <w:rsid w:val="009A6EA0"/>
    <w:rsid w:val="009B03C5"/>
    <w:rsid w:val="009B3644"/>
    <w:rsid w:val="009B429F"/>
    <w:rsid w:val="009B44F1"/>
    <w:rsid w:val="009C1335"/>
    <w:rsid w:val="009C1AB2"/>
    <w:rsid w:val="009C4CDB"/>
    <w:rsid w:val="009C7251"/>
    <w:rsid w:val="009E2E91"/>
    <w:rsid w:val="009F1320"/>
    <w:rsid w:val="009F270F"/>
    <w:rsid w:val="00A12C70"/>
    <w:rsid w:val="00A139F5"/>
    <w:rsid w:val="00A365F4"/>
    <w:rsid w:val="00A47D80"/>
    <w:rsid w:val="00A53132"/>
    <w:rsid w:val="00A55947"/>
    <w:rsid w:val="00A563F2"/>
    <w:rsid w:val="00A566E8"/>
    <w:rsid w:val="00A57CA1"/>
    <w:rsid w:val="00A72049"/>
    <w:rsid w:val="00A72918"/>
    <w:rsid w:val="00A72EFD"/>
    <w:rsid w:val="00A810F9"/>
    <w:rsid w:val="00A84ADE"/>
    <w:rsid w:val="00A86ECC"/>
    <w:rsid w:val="00A86FCC"/>
    <w:rsid w:val="00A911C5"/>
    <w:rsid w:val="00A9201B"/>
    <w:rsid w:val="00AA6E57"/>
    <w:rsid w:val="00AA710D"/>
    <w:rsid w:val="00AB6D25"/>
    <w:rsid w:val="00AC3C97"/>
    <w:rsid w:val="00AD4A02"/>
    <w:rsid w:val="00AE2D4B"/>
    <w:rsid w:val="00AE4F99"/>
    <w:rsid w:val="00AE5B74"/>
    <w:rsid w:val="00AE686E"/>
    <w:rsid w:val="00AF004E"/>
    <w:rsid w:val="00AF2DF1"/>
    <w:rsid w:val="00AF323E"/>
    <w:rsid w:val="00AF3EBD"/>
    <w:rsid w:val="00B003C7"/>
    <w:rsid w:val="00B04EE6"/>
    <w:rsid w:val="00B0642E"/>
    <w:rsid w:val="00B065C1"/>
    <w:rsid w:val="00B11B69"/>
    <w:rsid w:val="00B14789"/>
    <w:rsid w:val="00B14952"/>
    <w:rsid w:val="00B174F0"/>
    <w:rsid w:val="00B20162"/>
    <w:rsid w:val="00B24FAF"/>
    <w:rsid w:val="00B251F9"/>
    <w:rsid w:val="00B30E95"/>
    <w:rsid w:val="00B31E5A"/>
    <w:rsid w:val="00B46DE6"/>
    <w:rsid w:val="00B54313"/>
    <w:rsid w:val="00B653AB"/>
    <w:rsid w:val="00B65F9E"/>
    <w:rsid w:val="00B66B19"/>
    <w:rsid w:val="00B754AD"/>
    <w:rsid w:val="00B77C4E"/>
    <w:rsid w:val="00B914E9"/>
    <w:rsid w:val="00B956EE"/>
    <w:rsid w:val="00BA1994"/>
    <w:rsid w:val="00BA2BA1"/>
    <w:rsid w:val="00BA3562"/>
    <w:rsid w:val="00BB4F09"/>
    <w:rsid w:val="00BB6F7D"/>
    <w:rsid w:val="00BC2A97"/>
    <w:rsid w:val="00BC7172"/>
    <w:rsid w:val="00BD31CC"/>
    <w:rsid w:val="00BD3467"/>
    <w:rsid w:val="00BD4E33"/>
    <w:rsid w:val="00BE3E23"/>
    <w:rsid w:val="00BF3836"/>
    <w:rsid w:val="00BF578A"/>
    <w:rsid w:val="00C030DE"/>
    <w:rsid w:val="00C03B6D"/>
    <w:rsid w:val="00C114AB"/>
    <w:rsid w:val="00C22105"/>
    <w:rsid w:val="00C244B6"/>
    <w:rsid w:val="00C31CA6"/>
    <w:rsid w:val="00C36A86"/>
    <w:rsid w:val="00C3702F"/>
    <w:rsid w:val="00C41FDA"/>
    <w:rsid w:val="00C4500A"/>
    <w:rsid w:val="00C52918"/>
    <w:rsid w:val="00C64A37"/>
    <w:rsid w:val="00C7158E"/>
    <w:rsid w:val="00C7250B"/>
    <w:rsid w:val="00C7346B"/>
    <w:rsid w:val="00C765EC"/>
    <w:rsid w:val="00C77C0E"/>
    <w:rsid w:val="00C87891"/>
    <w:rsid w:val="00C91687"/>
    <w:rsid w:val="00C924A8"/>
    <w:rsid w:val="00C92930"/>
    <w:rsid w:val="00C945FE"/>
    <w:rsid w:val="00C96FAA"/>
    <w:rsid w:val="00C97A04"/>
    <w:rsid w:val="00CA107B"/>
    <w:rsid w:val="00CA484D"/>
    <w:rsid w:val="00CA4FB6"/>
    <w:rsid w:val="00CC739E"/>
    <w:rsid w:val="00CD2891"/>
    <w:rsid w:val="00CD58B7"/>
    <w:rsid w:val="00CD790B"/>
    <w:rsid w:val="00CE2EE5"/>
    <w:rsid w:val="00CF141E"/>
    <w:rsid w:val="00CF4099"/>
    <w:rsid w:val="00D00796"/>
    <w:rsid w:val="00D02B9F"/>
    <w:rsid w:val="00D02CCD"/>
    <w:rsid w:val="00D1088C"/>
    <w:rsid w:val="00D144E5"/>
    <w:rsid w:val="00D261A2"/>
    <w:rsid w:val="00D56D33"/>
    <w:rsid w:val="00D616D2"/>
    <w:rsid w:val="00D63B5F"/>
    <w:rsid w:val="00D64AAD"/>
    <w:rsid w:val="00D65847"/>
    <w:rsid w:val="00D70EF7"/>
    <w:rsid w:val="00D7413A"/>
    <w:rsid w:val="00D77510"/>
    <w:rsid w:val="00D8397C"/>
    <w:rsid w:val="00D91092"/>
    <w:rsid w:val="00D94786"/>
    <w:rsid w:val="00D94EED"/>
    <w:rsid w:val="00D96026"/>
    <w:rsid w:val="00DA1979"/>
    <w:rsid w:val="00DA5462"/>
    <w:rsid w:val="00DA632D"/>
    <w:rsid w:val="00DA7C1C"/>
    <w:rsid w:val="00DB147A"/>
    <w:rsid w:val="00DB1B7A"/>
    <w:rsid w:val="00DB31A0"/>
    <w:rsid w:val="00DB6942"/>
    <w:rsid w:val="00DC17C5"/>
    <w:rsid w:val="00DC6708"/>
    <w:rsid w:val="00DF2A73"/>
    <w:rsid w:val="00DF5866"/>
    <w:rsid w:val="00DF7DC0"/>
    <w:rsid w:val="00E01436"/>
    <w:rsid w:val="00E045BD"/>
    <w:rsid w:val="00E127B0"/>
    <w:rsid w:val="00E17B77"/>
    <w:rsid w:val="00E23337"/>
    <w:rsid w:val="00E236E0"/>
    <w:rsid w:val="00E24FCC"/>
    <w:rsid w:val="00E259EA"/>
    <w:rsid w:val="00E2731E"/>
    <w:rsid w:val="00E32061"/>
    <w:rsid w:val="00E33B28"/>
    <w:rsid w:val="00E41503"/>
    <w:rsid w:val="00E42FF9"/>
    <w:rsid w:val="00E4714C"/>
    <w:rsid w:val="00E51AEB"/>
    <w:rsid w:val="00E522A7"/>
    <w:rsid w:val="00E54452"/>
    <w:rsid w:val="00E664C5"/>
    <w:rsid w:val="00E671A2"/>
    <w:rsid w:val="00E72A65"/>
    <w:rsid w:val="00E72B3E"/>
    <w:rsid w:val="00E76D26"/>
    <w:rsid w:val="00E8055F"/>
    <w:rsid w:val="00E866C2"/>
    <w:rsid w:val="00EB1390"/>
    <w:rsid w:val="00EB2C71"/>
    <w:rsid w:val="00EB4340"/>
    <w:rsid w:val="00EB556D"/>
    <w:rsid w:val="00EB5A7D"/>
    <w:rsid w:val="00EC1A34"/>
    <w:rsid w:val="00EC3AB3"/>
    <w:rsid w:val="00ED253D"/>
    <w:rsid w:val="00ED55C0"/>
    <w:rsid w:val="00ED682B"/>
    <w:rsid w:val="00EE310A"/>
    <w:rsid w:val="00EE41D5"/>
    <w:rsid w:val="00EF1AAF"/>
    <w:rsid w:val="00EF6AA6"/>
    <w:rsid w:val="00F037A4"/>
    <w:rsid w:val="00F121E5"/>
    <w:rsid w:val="00F26489"/>
    <w:rsid w:val="00F27C8F"/>
    <w:rsid w:val="00F32590"/>
    <w:rsid w:val="00F32749"/>
    <w:rsid w:val="00F37172"/>
    <w:rsid w:val="00F4477E"/>
    <w:rsid w:val="00F458CE"/>
    <w:rsid w:val="00F6727E"/>
    <w:rsid w:val="00F67D8F"/>
    <w:rsid w:val="00F769CE"/>
    <w:rsid w:val="00F802BE"/>
    <w:rsid w:val="00F80E93"/>
    <w:rsid w:val="00F81CDC"/>
    <w:rsid w:val="00F85AC1"/>
    <w:rsid w:val="00F86024"/>
    <w:rsid w:val="00F8611A"/>
    <w:rsid w:val="00F87C30"/>
    <w:rsid w:val="00FA1A2B"/>
    <w:rsid w:val="00FA5128"/>
    <w:rsid w:val="00FB42D4"/>
    <w:rsid w:val="00FB5906"/>
    <w:rsid w:val="00FB762F"/>
    <w:rsid w:val="00FC2AED"/>
    <w:rsid w:val="00FC5D93"/>
    <w:rsid w:val="00FD5EA7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C2E08-BC70-4C96-8E25-8F63F0E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00FB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202,pojecie.html" TargetMode="External"/><Relationship Id="rId39" Type="http://schemas.openxmlformats.org/officeDocument/2006/relationships/hyperlink" Target="http://stat.gov.pl/metainformacje/slownik-pojec/pojecia-stosowane-w-statystyce-publicznej/148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InfrastrukturaKomMieszk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207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obszary-tematyczne/infrastruktura-komunalna-nieruchomosci/nieruchomosci-budynki-infrastruktura-komunalna/gospodarka-mieszkaniowa-w-2016-r-,7,12.html" TargetMode="External"/><Relationship Id="rId37" Type="http://schemas.openxmlformats.org/officeDocument/2006/relationships/hyperlink" Target="http://stat.gov.pl/metainformacje/slownik-pojec/pojecia-stosowane-w-statystyce-publicznej/133,pojecie.html" TargetMode="External"/><Relationship Id="rId40" Type="http://schemas.openxmlformats.org/officeDocument/2006/relationships/hyperlink" Target="http://stat.gov.pl/metainformacje/slownik-pojec/pojecia-stosowane-w-statystyce-publicznej/1375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infrastruktura-komunalna-nieruchomosci/nieruchomosci-budynki-infrastruktura-komunalna/gospodarka-mieszkaniowa-w-2016-r-,7,12.html" TargetMode="External"/><Relationship Id="rId28" Type="http://schemas.openxmlformats.org/officeDocument/2006/relationships/hyperlink" Target="http://stat.gov.pl/metainformacje/slownik-pojec/pojecia-stosowane-w-statystyce-publicznej/133,pojecie.html" TargetMode="External"/><Relationship Id="rId36" Type="http://schemas.openxmlformats.org/officeDocument/2006/relationships/hyperlink" Target="http://stat.gov.pl/metainformacje/slownik-pojec/pojecia-stosowane-w-statystyce-publicznej/324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75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24,pojecie.html" TargetMode="External"/><Relationship Id="rId30" Type="http://schemas.openxmlformats.org/officeDocument/2006/relationships/hyperlink" Target="http://stat.gov.pl/metainformacje/slownik-pojec/pojecia-stosowane-w-statystyce-publicznej/1481,pojecie.html" TargetMode="External"/><Relationship Id="rId35" Type="http://schemas.openxmlformats.org/officeDocument/2006/relationships/hyperlink" Target="http://stat.gov.pl/metainformacje/slownik-pojec/pojecia-stosowane-w-statystyce-publicznej/202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.adamczyk@stat.gov.pl" TargetMode="External"/><Relationship Id="rId25" Type="http://schemas.openxmlformats.org/officeDocument/2006/relationships/hyperlink" Target="http://swaid.stat.gov.pl/SitePagesDBW/InfrastrukturaKomMieszk.aspx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metainformacje/slownik-pojec/pojecia-stosowane-w-statystyce-publicznej/20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476373074183572"/>
          <c:y val="4.5900271228875446E-2"/>
          <c:w val="0.73828469396715735"/>
          <c:h val="0.73220000952833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Arkusz2!$E$2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001D77">
                <a:alpha val="30000"/>
              </a:srgbClr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Arkusz2!$E$3:$E$7</c:f>
              <c:numCache>
                <c:formatCode>0.0</c:formatCode>
                <c:ptCount val="5"/>
                <c:pt idx="0">
                  <c:v>87.5</c:v>
                </c:pt>
                <c:pt idx="1">
                  <c:v>71.7</c:v>
                </c:pt>
                <c:pt idx="2">
                  <c:v>95.5</c:v>
                </c:pt>
                <c:pt idx="3">
                  <c:v>97.3</c:v>
                </c:pt>
                <c:pt idx="4">
                  <c:v>99.1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CC-4786-8760-B2DF57FD8C25}"/>
            </c:ext>
          </c:extLst>
        </c:ser>
        <c:ser>
          <c:idx val="1"/>
          <c:order val="1"/>
          <c:tx>
            <c:strRef>
              <c:f>Arkusz2!$F$2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001D77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Arkusz2!$F$3:$F$7</c:f>
              <c:numCache>
                <c:formatCode>0.0</c:formatCode>
                <c:ptCount val="5"/>
                <c:pt idx="0">
                  <c:v>71.599999999999994</c:v>
                </c:pt>
                <c:pt idx="1">
                  <c:v>21.9</c:v>
                </c:pt>
                <c:pt idx="2">
                  <c:v>82.8</c:v>
                </c:pt>
                <c:pt idx="3">
                  <c:v>86.4</c:v>
                </c:pt>
                <c:pt idx="4">
                  <c:v>92.2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CC-4786-8760-B2DF57FD8C25}"/>
            </c:ext>
          </c:extLst>
        </c:ser>
        <c:ser>
          <c:idx val="2"/>
          <c:order val="2"/>
          <c:tx>
            <c:strRef>
              <c:f>Arkusz2!$G$2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Arkusz2!$G$3:$G$7</c:f>
              <c:numCache>
                <c:formatCode>General</c:formatCode>
                <c:ptCount val="5"/>
                <c:pt idx="0">
                  <c:v>82.3</c:v>
                </c:pt>
                <c:pt idx="1">
                  <c:v>55.5</c:v>
                </c:pt>
                <c:pt idx="2">
                  <c:v>91.4</c:v>
                </c:pt>
                <c:pt idx="3">
                  <c:v>93.7</c:v>
                </c:pt>
                <c:pt idx="4">
                  <c:v>96.8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CC-4786-8760-B2DF57FD8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6704848"/>
        <c:axId val="332761552"/>
      </c:barChart>
      <c:catAx>
        <c:axId val="256704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32761552"/>
        <c:crossesAt val="0"/>
        <c:auto val="1"/>
        <c:lblAlgn val="ctr"/>
        <c:lblOffset val="100"/>
        <c:noMultiLvlLbl val="0"/>
      </c:catAx>
      <c:valAx>
        <c:axId val="33276155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567048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11017767760441"/>
          <c:y val="0.89296234173524058"/>
          <c:w val="0.49082301515284565"/>
          <c:h val="4.0273528308961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0.82156</cdr:x>
      <cdr:y>0.82857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57775" y="50577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28CCB-045F-45DB-9733-DB6439B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Gospodarka mieszkaniowa w 2017 roku</vt:lpstr>
    </vt:vector>
  </TitlesOfParts>
  <Company>Główny Urząd Statystyczny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mieszkaniowa w 2017 roku</dc:title>
  <dc:subject>Gospodarka mieszkaniowa w 2017 roku</dc:subject>
  <dc:creator>Główny Urząd Statystyczny</dc:creator>
  <cp:lastModifiedBy>Sadowy Joanna</cp:lastModifiedBy>
  <cp:revision>2</cp:revision>
  <cp:lastPrinted>2018-09-13T07:23:00Z</cp:lastPrinted>
  <dcterms:created xsi:type="dcterms:W3CDTF">2026-03-30T09:50:00Z</dcterms:created>
  <dcterms:modified xsi:type="dcterms:W3CDTF">2026-03-30T09:50:00Z</dcterms:modified>
  <cp:category>Nieruchomości, budynki, infrastruktura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