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i według krajów w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okresie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stycz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eń – luty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20</w:t>
      </w:r>
      <w:r w:rsidR="00113D59">
        <w:rPr>
          <w:rFonts w:ascii="Fira Sans Extra Condensed SemiB" w:hAnsi="Fira Sans Extra Condensed SemiB" w:cs="Arial"/>
          <w:color w:val="auto"/>
          <w:sz w:val="40"/>
          <w:szCs w:val="40"/>
        </w:rPr>
        <w:t>20</w:t>
      </w:r>
      <w:r w:rsidR="006E655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r.</w:t>
      </w:r>
    </w:p>
    <w:p w:rsidR="00FD5DDE" w:rsidRDefault="00DE1B88" w:rsidP="00DE1B88">
      <w:pPr>
        <w:pStyle w:val="tytuinformacji"/>
        <w:tabs>
          <w:tab w:val="left" w:pos="6900"/>
        </w:tabs>
        <w:rPr>
          <w:sz w:val="32"/>
        </w:rPr>
      </w:pPr>
      <w:r>
        <w:rPr>
          <w:sz w:val="32"/>
        </w:rPr>
        <w:tab/>
      </w:r>
    </w:p>
    <w:bookmarkStart w:id="0" w:name="_GoBack"/>
    <w:bookmarkEnd w:id="0"/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1EA" w:rsidRPr="009A5C86" w:rsidRDefault="001651EA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1651EA" w:rsidRPr="009A5C86" w:rsidRDefault="001651EA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1651EA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1EA" w:rsidRPr="00B66B19" w:rsidRDefault="001651EA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56EEEF56" wp14:editId="2760A763">
                                  <wp:extent cx="360045" cy="360045"/>
                                  <wp:effectExtent l="0" t="0" r="1905" b="1905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" cy="360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3,2%</w:t>
                            </w:r>
                          </w:p>
                          <w:p w:rsidR="001651EA" w:rsidRPr="00B747B6" w:rsidRDefault="001651EA" w:rsidP="001C3CA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eksportu</w:t>
                            </w:r>
                            <w:r w:rsidRPr="00B747B6">
                              <w:t xml:space="preserve"> </w:t>
                            </w:r>
                            <w:r>
                              <w:t>do analogicznego okresu ubiegłego roku (</w:t>
                            </w:r>
                            <w:r w:rsidRPr="00B747B6">
                              <w:t xml:space="preserve">w </w:t>
                            </w:r>
                            <w:r>
                              <w:t>PLN)</w:t>
                            </w:r>
                          </w:p>
                          <w:p w:rsidR="001651EA" w:rsidRPr="00FF0040" w:rsidRDefault="001651EA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56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" fillcolor="#001d77" stroked="f">
                <v:textbox>
                  <w:txbxContent>
                    <w:p w:rsidR="001651EA" w:rsidRPr="00B66B19" w:rsidRDefault="001651EA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56EEEF56" wp14:editId="2760A763">
                            <wp:extent cx="360045" cy="360045"/>
                            <wp:effectExtent l="0" t="0" r="1905" b="1905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45" cy="360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3,2%</w:t>
                      </w:r>
                    </w:p>
                    <w:p w:rsidR="001651EA" w:rsidRPr="00B747B6" w:rsidRDefault="001651EA" w:rsidP="001C3CA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eksportu</w:t>
                      </w:r>
                      <w:r w:rsidRPr="00B747B6">
                        <w:t xml:space="preserve"> </w:t>
                      </w:r>
                      <w:r>
                        <w:t>do analogicznego okresu ubiegłego roku (</w:t>
                      </w:r>
                      <w:r w:rsidRPr="00B747B6">
                        <w:t xml:space="preserve">w </w:t>
                      </w:r>
                      <w:r>
                        <w:t>PLN)</w:t>
                      </w:r>
                    </w:p>
                    <w:p w:rsidR="001651EA" w:rsidRPr="00FF0040" w:rsidRDefault="001651EA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 w:rsidRPr="001651EA">
        <w:t>Obroty towarowe handlu zagranicznego</w:t>
      </w:r>
      <w:r w:rsidR="005F3D74" w:rsidRPr="001651EA">
        <w:rPr>
          <w:rStyle w:val="Odwoanieprzypisudolnego"/>
          <w:rFonts w:ascii="Fira Sans Extra Condensed SemiB" w:hAnsi="Fira Sans Extra Condensed SemiB" w:cs="Arial"/>
        </w:rPr>
        <w:footnoteReference w:id="1"/>
      </w:r>
      <w:r w:rsidR="009A5C86" w:rsidRPr="001651EA">
        <w:rPr>
          <w:rFonts w:cs="Arial"/>
        </w:rPr>
        <w:t xml:space="preserve"> </w:t>
      </w:r>
      <w:r w:rsidR="004F1AC5" w:rsidRPr="001651EA">
        <w:rPr>
          <w:rFonts w:cs="Arial"/>
        </w:rPr>
        <w:t>po dwóch</w:t>
      </w:r>
      <w:r w:rsidR="001C134E" w:rsidRPr="001651EA">
        <w:rPr>
          <w:rFonts w:cs="Arial"/>
        </w:rPr>
        <w:t xml:space="preserve"> miesi</w:t>
      </w:r>
      <w:r w:rsidR="004F1AC5" w:rsidRPr="001651EA">
        <w:rPr>
          <w:rFonts w:cs="Arial"/>
        </w:rPr>
        <w:t>ą</w:t>
      </w:r>
      <w:r w:rsidR="001C134E" w:rsidRPr="001651EA">
        <w:rPr>
          <w:rFonts w:cs="Arial"/>
        </w:rPr>
        <w:t>c</w:t>
      </w:r>
      <w:r w:rsidR="004F1AC5" w:rsidRPr="001651EA">
        <w:rPr>
          <w:rFonts w:cs="Arial"/>
        </w:rPr>
        <w:t>ach</w:t>
      </w:r>
      <w:r w:rsidR="001C134E" w:rsidRPr="001651EA">
        <w:rPr>
          <w:rFonts w:cs="Arial"/>
        </w:rPr>
        <w:t xml:space="preserve"> br.</w:t>
      </w:r>
      <w:r w:rsidR="00694174" w:rsidRPr="001651EA">
        <w:rPr>
          <w:rFonts w:cs="Arial"/>
        </w:rPr>
        <w:t xml:space="preserve"> </w:t>
      </w:r>
      <w:r w:rsidR="00992926" w:rsidRPr="001651EA">
        <w:rPr>
          <w:rFonts w:cs="Arial"/>
        </w:rPr>
        <w:t xml:space="preserve">wyniosły </w:t>
      </w:r>
      <w:r w:rsidR="00690129" w:rsidRPr="001651EA">
        <w:rPr>
          <w:rFonts w:cs="Arial"/>
        </w:rPr>
        <w:t xml:space="preserve">w cenach bieżących </w:t>
      </w:r>
      <w:r w:rsidR="00D62BE7" w:rsidRPr="001651EA">
        <w:rPr>
          <w:rFonts w:cs="Arial"/>
        </w:rPr>
        <w:t>169</w:t>
      </w:r>
      <w:r w:rsidR="001C134E" w:rsidRPr="001651EA">
        <w:rPr>
          <w:rFonts w:cs="Arial"/>
          <w:bCs/>
          <w:color w:val="000000"/>
        </w:rPr>
        <w:t>,</w:t>
      </w:r>
      <w:r w:rsidR="00D62BE7" w:rsidRPr="001651EA">
        <w:rPr>
          <w:rFonts w:cs="Arial"/>
          <w:bCs/>
          <w:color w:val="000000"/>
        </w:rPr>
        <w:t>5</w:t>
      </w:r>
      <w:r w:rsidR="00FA48F8" w:rsidRPr="001651EA">
        <w:rPr>
          <w:rFonts w:cs="Arial"/>
          <w:b w:val="0"/>
          <w:bCs/>
          <w:color w:val="000000"/>
          <w:sz w:val="16"/>
          <w:szCs w:val="16"/>
        </w:rPr>
        <w:t xml:space="preserve"> </w:t>
      </w:r>
      <w:r w:rsidR="00690129" w:rsidRPr="001651EA">
        <w:rPr>
          <w:rFonts w:cs="Arial"/>
        </w:rPr>
        <w:t>ml</w:t>
      </w:r>
      <w:r w:rsidR="00F70DA2" w:rsidRPr="001651EA">
        <w:rPr>
          <w:rFonts w:cs="Arial"/>
        </w:rPr>
        <w:t>d</w:t>
      </w:r>
      <w:r w:rsidR="00690129" w:rsidRPr="001651EA">
        <w:rPr>
          <w:rFonts w:cs="Arial"/>
        </w:rPr>
        <w:t> </w:t>
      </w:r>
      <w:r w:rsidR="00EB4BA2" w:rsidRPr="001651EA">
        <w:rPr>
          <w:rFonts w:cs="Arial"/>
        </w:rPr>
        <w:t>PLN</w:t>
      </w:r>
      <w:r w:rsidR="00992926" w:rsidRPr="001651EA">
        <w:rPr>
          <w:rFonts w:cs="Arial"/>
        </w:rPr>
        <w:t xml:space="preserve"> w  eksporcie oraz </w:t>
      </w:r>
      <w:r w:rsidR="00690129" w:rsidRPr="001651EA">
        <w:rPr>
          <w:rFonts w:cs="Arial"/>
        </w:rPr>
        <w:t> </w:t>
      </w:r>
      <w:r w:rsidR="00D62BE7" w:rsidRPr="001651EA">
        <w:rPr>
          <w:rFonts w:cs="Arial"/>
        </w:rPr>
        <w:t>164,2</w:t>
      </w:r>
      <w:r w:rsidR="00690129" w:rsidRPr="001651EA">
        <w:rPr>
          <w:rFonts w:cs="Arial"/>
          <w:bCs/>
          <w:color w:val="000000"/>
        </w:rPr>
        <w:t xml:space="preserve"> </w:t>
      </w:r>
      <w:r w:rsidR="00F70DA2" w:rsidRPr="001651EA">
        <w:rPr>
          <w:rFonts w:cs="Arial"/>
        </w:rPr>
        <w:t>mld</w:t>
      </w:r>
      <w:r w:rsidR="00690129" w:rsidRPr="001651EA">
        <w:rPr>
          <w:rFonts w:cs="Arial"/>
        </w:rPr>
        <w:t xml:space="preserve"> </w:t>
      </w:r>
      <w:r w:rsidR="00EB4BA2" w:rsidRPr="001651EA">
        <w:rPr>
          <w:rFonts w:cs="Arial"/>
        </w:rPr>
        <w:t>PLN</w:t>
      </w:r>
      <w:r w:rsidR="00992926" w:rsidRPr="001651EA">
        <w:rPr>
          <w:rFonts w:cs="Arial"/>
        </w:rPr>
        <w:t xml:space="preserve"> w imporcie</w:t>
      </w:r>
      <w:r w:rsidR="00690129" w:rsidRPr="001651EA">
        <w:rPr>
          <w:rFonts w:cs="Arial"/>
        </w:rPr>
        <w:t xml:space="preserve">. </w:t>
      </w:r>
      <w:r w:rsidR="00586CD0" w:rsidRPr="001651EA">
        <w:rPr>
          <w:rFonts w:cs="Arial"/>
        </w:rPr>
        <w:t>Dodatnie</w:t>
      </w:r>
      <w:r w:rsidR="00690129" w:rsidRPr="001651EA">
        <w:rPr>
          <w:rFonts w:cs="Arial"/>
          <w:spacing w:val="-3"/>
        </w:rPr>
        <w:t xml:space="preserve"> saldo ukształtowało się na poziomie </w:t>
      </w:r>
      <w:r w:rsidR="00D62BE7" w:rsidRPr="001651EA">
        <w:rPr>
          <w:rFonts w:cs="Arial"/>
          <w:spacing w:val="-3"/>
        </w:rPr>
        <w:t>5</w:t>
      </w:r>
      <w:r w:rsidR="001C134E" w:rsidRPr="001651EA">
        <w:rPr>
          <w:rFonts w:cs="Arial"/>
          <w:spacing w:val="-3"/>
        </w:rPr>
        <w:t>,</w:t>
      </w:r>
      <w:r w:rsidR="00D62BE7" w:rsidRPr="001651EA">
        <w:rPr>
          <w:rFonts w:cs="Arial"/>
          <w:spacing w:val="-3"/>
        </w:rPr>
        <w:t>3</w:t>
      </w:r>
      <w:r w:rsidR="00690129" w:rsidRPr="001651EA">
        <w:rPr>
          <w:rFonts w:cs="Arial"/>
          <w:spacing w:val="-3"/>
        </w:rPr>
        <w:t xml:space="preserve"> ml</w:t>
      </w:r>
      <w:r w:rsidR="00F70DA2" w:rsidRPr="001651EA">
        <w:rPr>
          <w:rFonts w:cs="Arial"/>
          <w:spacing w:val="-3"/>
        </w:rPr>
        <w:t>d</w:t>
      </w:r>
      <w:r w:rsidR="00690129" w:rsidRPr="001651EA">
        <w:rPr>
          <w:rFonts w:cs="Arial"/>
          <w:spacing w:val="-3"/>
        </w:rPr>
        <w:t xml:space="preserve"> </w:t>
      </w:r>
      <w:r w:rsidR="00EB4BA2" w:rsidRPr="001651EA">
        <w:rPr>
          <w:rFonts w:cs="Arial"/>
          <w:spacing w:val="-3"/>
        </w:rPr>
        <w:t>PLN</w:t>
      </w:r>
      <w:r w:rsidR="00690129" w:rsidRPr="001651EA">
        <w:rPr>
          <w:rFonts w:cs="Arial"/>
          <w:spacing w:val="-3"/>
        </w:rPr>
        <w:t xml:space="preserve">, </w:t>
      </w:r>
      <w:r w:rsidR="009D0070" w:rsidRPr="001651EA">
        <w:t>w</w:t>
      </w:r>
      <w:r w:rsidR="007319A8" w:rsidRPr="001651EA">
        <w:rPr>
          <w:rFonts w:cs="Arial"/>
          <w:spacing w:val="-3"/>
        </w:rPr>
        <w:t xml:space="preserve"> </w:t>
      </w:r>
      <w:r w:rsidR="00985EEE" w:rsidRPr="001651EA">
        <w:rPr>
          <w:rFonts w:cs="Arial"/>
          <w:spacing w:val="-3"/>
        </w:rPr>
        <w:t>analogicznym okresie ub. roku</w:t>
      </w:r>
      <w:r w:rsidR="00756062" w:rsidRPr="001651EA">
        <w:rPr>
          <w:rFonts w:cs="Arial"/>
          <w:spacing w:val="-3"/>
        </w:rPr>
        <w:t xml:space="preserve"> wyniosło minus 1,4 mld PLN</w:t>
      </w:r>
      <w:r w:rsidR="00690129" w:rsidRPr="001651EA">
        <w:rPr>
          <w:rFonts w:cs="Arial"/>
          <w:spacing w:val="-3"/>
        </w:rPr>
        <w:t>.</w:t>
      </w:r>
      <w:r w:rsidR="004B64A7" w:rsidRPr="001651EA">
        <w:rPr>
          <w:rFonts w:cs="Arial"/>
          <w:spacing w:val="-3"/>
        </w:rPr>
        <w:t xml:space="preserve"> </w:t>
      </w:r>
      <w:r w:rsidR="004B64A7" w:rsidRPr="001651EA">
        <w:rPr>
          <w:rFonts w:cs="Arial"/>
        </w:rPr>
        <w:t xml:space="preserve">W porównaniu </w:t>
      </w:r>
      <w:r w:rsidR="00694174" w:rsidRPr="001651EA">
        <w:t>z</w:t>
      </w:r>
      <w:r w:rsidR="001C134E" w:rsidRPr="001651EA">
        <w:t xml:space="preserve"> </w:t>
      </w:r>
      <w:r w:rsidR="00D62BE7" w:rsidRPr="001651EA">
        <w:t>analogicznym okresem</w:t>
      </w:r>
      <w:r w:rsidR="007319A8" w:rsidRPr="001651EA">
        <w:t xml:space="preserve"> </w:t>
      </w:r>
      <w:r w:rsidR="003E0EA7" w:rsidRPr="001651EA">
        <w:rPr>
          <w:rFonts w:cs="Arial"/>
          <w:spacing w:val="-3"/>
        </w:rPr>
        <w:t>201</w:t>
      </w:r>
      <w:r w:rsidR="001C134E" w:rsidRPr="001651EA">
        <w:rPr>
          <w:rFonts w:cs="Arial"/>
          <w:spacing w:val="-3"/>
        </w:rPr>
        <w:t>9 r.</w:t>
      </w:r>
      <w:r w:rsidR="003E0EA7" w:rsidRPr="001651EA">
        <w:rPr>
          <w:rFonts w:cs="Arial"/>
          <w:spacing w:val="-3"/>
        </w:rPr>
        <w:t xml:space="preserve"> </w:t>
      </w:r>
      <w:r w:rsidR="004B64A7" w:rsidRPr="001651EA">
        <w:rPr>
          <w:rFonts w:cs="Arial"/>
        </w:rPr>
        <w:t xml:space="preserve">eksport </w:t>
      </w:r>
      <w:r w:rsidR="00D62BE7" w:rsidRPr="001651EA">
        <w:rPr>
          <w:rFonts w:cs="Arial"/>
        </w:rPr>
        <w:t>wzrósł</w:t>
      </w:r>
      <w:r w:rsidR="00093633" w:rsidRPr="001651EA">
        <w:rPr>
          <w:rFonts w:cs="Arial"/>
        </w:rPr>
        <w:t xml:space="preserve"> </w:t>
      </w:r>
      <w:r w:rsidR="00287CA4" w:rsidRPr="001651EA">
        <w:rPr>
          <w:rFonts w:cs="Arial"/>
        </w:rPr>
        <w:t xml:space="preserve"> </w:t>
      </w:r>
      <w:r w:rsidR="00093633" w:rsidRPr="001651EA">
        <w:rPr>
          <w:rFonts w:cs="Arial"/>
        </w:rPr>
        <w:t xml:space="preserve">o </w:t>
      </w:r>
      <w:r w:rsidR="00D62BE7" w:rsidRPr="001651EA">
        <w:rPr>
          <w:rFonts w:cs="Arial"/>
        </w:rPr>
        <w:t>3</w:t>
      </w:r>
      <w:r w:rsidR="00694174" w:rsidRPr="001651EA">
        <w:rPr>
          <w:rFonts w:cs="Arial"/>
        </w:rPr>
        <w:t>,</w:t>
      </w:r>
      <w:r w:rsidR="00D62BE7" w:rsidRPr="001651EA">
        <w:rPr>
          <w:rFonts w:cs="Arial"/>
        </w:rPr>
        <w:t>2</w:t>
      </w:r>
      <w:r w:rsidR="004B64A7" w:rsidRPr="001651EA">
        <w:rPr>
          <w:rFonts w:cs="Arial"/>
        </w:rPr>
        <w:t>%, a import </w:t>
      </w:r>
      <w:r w:rsidR="00D62BE7" w:rsidRPr="001651EA">
        <w:rPr>
          <w:rFonts w:cs="Arial"/>
        </w:rPr>
        <w:t xml:space="preserve">spadł </w:t>
      </w:r>
      <w:r w:rsidR="004B64A7" w:rsidRPr="001651EA">
        <w:rPr>
          <w:rFonts w:cs="Arial"/>
        </w:rPr>
        <w:t>o </w:t>
      </w:r>
      <w:r w:rsidR="001C134E" w:rsidRPr="001651EA">
        <w:rPr>
          <w:rFonts w:cs="Arial"/>
        </w:rPr>
        <w:t>0</w:t>
      </w:r>
      <w:r w:rsidR="0044566C" w:rsidRPr="001651EA">
        <w:rPr>
          <w:rFonts w:cs="Arial"/>
        </w:rPr>
        <w:t>,</w:t>
      </w:r>
      <w:r w:rsidR="00D62BE7" w:rsidRPr="001651EA">
        <w:rPr>
          <w:rFonts w:cs="Arial"/>
        </w:rPr>
        <w:t>8</w:t>
      </w:r>
      <w:r w:rsidR="003E0EA7" w:rsidRPr="001651EA">
        <w:rPr>
          <w:rFonts w:cs="Arial"/>
        </w:rPr>
        <w:t>%</w:t>
      </w:r>
      <w:r w:rsidR="004B64A7" w:rsidRPr="001651EA">
        <w:rPr>
          <w:rFonts w:cs="Arial"/>
        </w:rPr>
        <w:t>.</w:t>
      </w:r>
    </w:p>
    <w:p w:rsidR="00FD5DDE" w:rsidRDefault="00FD5DDE" w:rsidP="00074DD8">
      <w:pPr>
        <w:pStyle w:val="Nagwek1"/>
      </w:pPr>
    </w:p>
    <w:p w:rsidR="00FD5DDE" w:rsidRDefault="00FD5DDE" w:rsidP="00074DD8">
      <w:pPr>
        <w:pStyle w:val="Nagwek1"/>
      </w:pPr>
    </w:p>
    <w:p w:rsidR="00985EEE" w:rsidRDefault="00985EEE" w:rsidP="00985EEE">
      <w:pPr>
        <w:rPr>
          <w:lang w:eastAsia="pl-PL"/>
        </w:rPr>
      </w:pPr>
    </w:p>
    <w:p w:rsidR="00985EEE" w:rsidRPr="00985EEE" w:rsidRDefault="00985EEE" w:rsidP="00985EEE">
      <w:pPr>
        <w:rPr>
          <w:lang w:eastAsia="pl-PL"/>
        </w:rPr>
      </w:pPr>
    </w:p>
    <w:p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1EA" w:rsidRPr="00D616D2" w:rsidRDefault="001651EA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1651EA" w:rsidRPr="00D616D2" w:rsidRDefault="001651EA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:rsidR="0084092E" w:rsidRPr="001651EA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1651EA">
        <w:rPr>
          <w:rFonts w:cs="Arial"/>
          <w:spacing w:val="-3"/>
          <w:szCs w:val="19"/>
        </w:rPr>
        <w:t xml:space="preserve">Eksport wyrażony w dolarach USA wyniósł </w:t>
      </w:r>
      <w:r w:rsidR="00D62BE7" w:rsidRPr="001651EA">
        <w:rPr>
          <w:rFonts w:cs="Arial"/>
          <w:spacing w:val="-3"/>
          <w:szCs w:val="19"/>
        </w:rPr>
        <w:t>44</w:t>
      </w:r>
      <w:r w:rsidR="009B442A" w:rsidRPr="001651EA">
        <w:rPr>
          <w:rFonts w:cs="Arial"/>
          <w:bCs/>
          <w:color w:val="000000"/>
          <w:szCs w:val="19"/>
        </w:rPr>
        <w:t>,</w:t>
      </w:r>
      <w:r w:rsidR="00D62BE7" w:rsidRPr="001651EA">
        <w:rPr>
          <w:rFonts w:cs="Arial"/>
          <w:bCs/>
          <w:color w:val="000000"/>
          <w:szCs w:val="19"/>
        </w:rPr>
        <w:t>3</w:t>
      </w:r>
      <w:r w:rsidR="00F70DA2" w:rsidRPr="001651EA">
        <w:rPr>
          <w:rFonts w:cs="Arial"/>
          <w:bCs/>
          <w:color w:val="000000"/>
          <w:szCs w:val="19"/>
        </w:rPr>
        <w:t xml:space="preserve"> </w:t>
      </w:r>
      <w:r w:rsidRPr="001651EA">
        <w:rPr>
          <w:rFonts w:cs="Arial"/>
          <w:spacing w:val="-3"/>
          <w:szCs w:val="19"/>
        </w:rPr>
        <w:t>ml</w:t>
      </w:r>
      <w:r w:rsidR="00F70DA2" w:rsidRPr="001651EA">
        <w:rPr>
          <w:rFonts w:cs="Arial"/>
          <w:spacing w:val="-3"/>
          <w:szCs w:val="19"/>
        </w:rPr>
        <w:t>d</w:t>
      </w:r>
      <w:r w:rsidRPr="001651EA">
        <w:rPr>
          <w:rFonts w:cs="Arial"/>
          <w:spacing w:val="-3"/>
          <w:szCs w:val="19"/>
        </w:rPr>
        <w:t xml:space="preserve"> USD, a import </w:t>
      </w:r>
      <w:r w:rsidR="00D62BE7" w:rsidRPr="001651EA">
        <w:rPr>
          <w:rFonts w:cs="Arial"/>
          <w:spacing w:val="-3"/>
          <w:szCs w:val="19"/>
        </w:rPr>
        <w:t>4</w:t>
      </w:r>
      <w:r w:rsidR="009B442A" w:rsidRPr="001651EA">
        <w:rPr>
          <w:rFonts w:cs="Arial"/>
          <w:bCs/>
          <w:color w:val="000000"/>
          <w:szCs w:val="19"/>
        </w:rPr>
        <w:t>2</w:t>
      </w:r>
      <w:r w:rsidR="007F5D5B" w:rsidRPr="001651EA">
        <w:rPr>
          <w:rFonts w:cs="Arial"/>
          <w:bCs/>
          <w:color w:val="000000"/>
          <w:szCs w:val="19"/>
        </w:rPr>
        <w:t>,</w:t>
      </w:r>
      <w:r w:rsidR="00D62BE7" w:rsidRPr="001651EA">
        <w:rPr>
          <w:rFonts w:cs="Arial"/>
          <w:bCs/>
          <w:color w:val="000000"/>
          <w:szCs w:val="19"/>
        </w:rPr>
        <w:t>9</w:t>
      </w:r>
      <w:r w:rsidRPr="001651EA">
        <w:rPr>
          <w:rFonts w:cs="Arial"/>
          <w:spacing w:val="-3"/>
          <w:szCs w:val="19"/>
        </w:rPr>
        <w:t xml:space="preserve"> ml</w:t>
      </w:r>
      <w:r w:rsidR="00F70DA2" w:rsidRPr="001651EA">
        <w:rPr>
          <w:rFonts w:cs="Arial"/>
          <w:spacing w:val="-3"/>
          <w:szCs w:val="19"/>
        </w:rPr>
        <w:t>d</w:t>
      </w:r>
      <w:r w:rsidR="003E0EA7" w:rsidRPr="001651EA">
        <w:rPr>
          <w:rFonts w:cs="Arial"/>
          <w:spacing w:val="-3"/>
          <w:szCs w:val="19"/>
        </w:rPr>
        <w:t xml:space="preserve"> USD </w:t>
      </w:r>
      <w:r w:rsidRPr="001651EA">
        <w:rPr>
          <w:rFonts w:cs="Arial"/>
          <w:spacing w:val="-3"/>
          <w:szCs w:val="19"/>
        </w:rPr>
        <w:t>(</w:t>
      </w:r>
      <w:r w:rsidR="00D62BE7" w:rsidRPr="001651EA">
        <w:rPr>
          <w:rFonts w:cs="Arial"/>
          <w:spacing w:val="-3"/>
          <w:szCs w:val="19"/>
        </w:rPr>
        <w:t>wzrost</w:t>
      </w:r>
      <w:r w:rsidR="003E0EA7" w:rsidRPr="001651EA">
        <w:rPr>
          <w:rFonts w:cs="Arial"/>
          <w:spacing w:val="-3"/>
          <w:szCs w:val="19"/>
        </w:rPr>
        <w:t xml:space="preserve"> </w:t>
      </w:r>
      <w:r w:rsidRPr="001651EA">
        <w:rPr>
          <w:rFonts w:cs="Arial"/>
          <w:spacing w:val="-3"/>
          <w:szCs w:val="19"/>
        </w:rPr>
        <w:t>odpowiednio</w:t>
      </w:r>
      <w:r w:rsidR="003A6F6A" w:rsidRPr="001651EA">
        <w:rPr>
          <w:rFonts w:cs="Arial"/>
          <w:spacing w:val="-3"/>
          <w:szCs w:val="19"/>
        </w:rPr>
        <w:t xml:space="preserve"> w eksporcie</w:t>
      </w:r>
      <w:r w:rsidRPr="001651EA">
        <w:rPr>
          <w:rFonts w:cs="Arial"/>
          <w:spacing w:val="-3"/>
          <w:szCs w:val="19"/>
        </w:rPr>
        <w:t xml:space="preserve"> o </w:t>
      </w:r>
      <w:r w:rsidR="00985EEE" w:rsidRPr="001651EA">
        <w:rPr>
          <w:rFonts w:cs="Arial"/>
          <w:spacing w:val="-3"/>
          <w:szCs w:val="19"/>
        </w:rPr>
        <w:t>1,</w:t>
      </w:r>
      <w:r w:rsidR="00D62BE7" w:rsidRPr="001651EA">
        <w:rPr>
          <w:rFonts w:cs="Arial"/>
          <w:spacing w:val="-3"/>
          <w:szCs w:val="19"/>
        </w:rPr>
        <w:t>7</w:t>
      </w:r>
      <w:r w:rsidR="00682774" w:rsidRPr="001651EA">
        <w:rPr>
          <w:rFonts w:cs="Arial"/>
          <w:spacing w:val="-3"/>
          <w:szCs w:val="19"/>
        </w:rPr>
        <w:t>%</w:t>
      </w:r>
      <w:r w:rsidR="003A6F6A" w:rsidRPr="001651EA">
        <w:rPr>
          <w:rFonts w:cs="Arial"/>
          <w:spacing w:val="-3"/>
          <w:szCs w:val="19"/>
        </w:rPr>
        <w:t>, a w imporcie</w:t>
      </w:r>
      <w:r w:rsidR="00682774" w:rsidRPr="001651EA">
        <w:rPr>
          <w:rFonts w:cs="Arial"/>
          <w:spacing w:val="-3"/>
          <w:szCs w:val="19"/>
        </w:rPr>
        <w:t xml:space="preserve"> </w:t>
      </w:r>
      <w:r w:rsidR="00D62BE7" w:rsidRPr="001651EA">
        <w:rPr>
          <w:rFonts w:cs="Arial"/>
          <w:spacing w:val="-3"/>
          <w:szCs w:val="19"/>
        </w:rPr>
        <w:t xml:space="preserve">spadek </w:t>
      </w:r>
      <w:r w:rsidR="00682774" w:rsidRPr="001651EA">
        <w:rPr>
          <w:rFonts w:cs="Arial"/>
          <w:spacing w:val="-3"/>
          <w:szCs w:val="19"/>
        </w:rPr>
        <w:t xml:space="preserve">o </w:t>
      </w:r>
      <w:r w:rsidR="00D62BE7" w:rsidRPr="001651EA">
        <w:rPr>
          <w:rFonts w:cs="Arial"/>
          <w:spacing w:val="-3"/>
          <w:szCs w:val="19"/>
        </w:rPr>
        <w:t>2</w:t>
      </w:r>
      <w:r w:rsidR="007F5D5B" w:rsidRPr="001651EA">
        <w:rPr>
          <w:rFonts w:cs="Arial"/>
          <w:spacing w:val="-3"/>
          <w:szCs w:val="19"/>
        </w:rPr>
        <w:t>,</w:t>
      </w:r>
      <w:r w:rsidR="00D62BE7" w:rsidRPr="001651EA">
        <w:rPr>
          <w:rFonts w:cs="Arial"/>
          <w:spacing w:val="-3"/>
          <w:szCs w:val="19"/>
        </w:rPr>
        <w:t>3</w:t>
      </w:r>
      <w:r w:rsidRPr="001651EA">
        <w:rPr>
          <w:rFonts w:cs="Arial"/>
          <w:spacing w:val="-3"/>
          <w:szCs w:val="19"/>
        </w:rPr>
        <w:t xml:space="preserve">%). </w:t>
      </w:r>
      <w:r w:rsidR="00DF6110" w:rsidRPr="001651EA">
        <w:rPr>
          <w:rFonts w:cs="Arial"/>
          <w:spacing w:val="-3"/>
          <w:szCs w:val="19"/>
        </w:rPr>
        <w:t>Dodatnie</w:t>
      </w:r>
      <w:r w:rsidRPr="001651EA">
        <w:rPr>
          <w:rFonts w:cs="Arial"/>
          <w:spacing w:val="-3"/>
          <w:szCs w:val="19"/>
        </w:rPr>
        <w:t xml:space="preserve"> saldo ukształtowało się </w:t>
      </w:r>
      <w:r w:rsidR="00992926" w:rsidRPr="001651EA">
        <w:rPr>
          <w:rFonts w:cs="Arial"/>
          <w:spacing w:val="-3"/>
          <w:szCs w:val="19"/>
        </w:rPr>
        <w:t>na poziomie</w:t>
      </w:r>
      <w:r w:rsidRPr="001651EA">
        <w:rPr>
          <w:rFonts w:cs="Arial"/>
          <w:spacing w:val="-3"/>
          <w:szCs w:val="19"/>
        </w:rPr>
        <w:t xml:space="preserve"> </w:t>
      </w:r>
      <w:r w:rsidR="00D62BE7" w:rsidRPr="001651EA">
        <w:rPr>
          <w:rFonts w:cs="Arial"/>
          <w:spacing w:val="-3"/>
          <w:szCs w:val="19"/>
        </w:rPr>
        <w:t>1</w:t>
      </w:r>
      <w:r w:rsidR="00985EEE" w:rsidRPr="001651EA">
        <w:rPr>
          <w:rFonts w:cs="Arial"/>
          <w:bCs/>
          <w:color w:val="000000"/>
          <w:szCs w:val="19"/>
        </w:rPr>
        <w:t>,</w:t>
      </w:r>
      <w:r w:rsidR="00D62BE7" w:rsidRPr="001651EA">
        <w:rPr>
          <w:rFonts w:cs="Arial"/>
          <w:bCs/>
          <w:color w:val="000000"/>
          <w:szCs w:val="19"/>
        </w:rPr>
        <w:t>4</w:t>
      </w:r>
      <w:r w:rsidRPr="001651EA">
        <w:rPr>
          <w:rFonts w:cs="Arial"/>
          <w:bCs/>
          <w:color w:val="000000"/>
          <w:szCs w:val="19"/>
        </w:rPr>
        <w:t xml:space="preserve"> </w:t>
      </w:r>
      <w:r w:rsidR="00F70DA2" w:rsidRPr="001651EA">
        <w:rPr>
          <w:rFonts w:cs="Arial"/>
          <w:spacing w:val="-3"/>
          <w:szCs w:val="19"/>
        </w:rPr>
        <w:t>mld</w:t>
      </w:r>
      <w:r w:rsidRPr="001651EA">
        <w:rPr>
          <w:rFonts w:cs="Arial"/>
          <w:spacing w:val="-3"/>
          <w:szCs w:val="19"/>
        </w:rPr>
        <w:t> USD</w:t>
      </w:r>
      <w:r w:rsidR="00EB4BA2" w:rsidRPr="001651EA">
        <w:rPr>
          <w:rFonts w:cs="Arial"/>
          <w:spacing w:val="-3"/>
          <w:szCs w:val="19"/>
        </w:rPr>
        <w:t xml:space="preserve">, </w:t>
      </w:r>
      <w:r w:rsidR="00985EEE" w:rsidRPr="001651EA">
        <w:t>w analogicznym okresie ub.r</w:t>
      </w:r>
      <w:r w:rsidR="00657AC6" w:rsidRPr="001651EA">
        <w:rPr>
          <w:rFonts w:cs="Arial"/>
          <w:szCs w:val="19"/>
        </w:rPr>
        <w:t>.</w:t>
      </w:r>
      <w:r w:rsidR="00756062" w:rsidRPr="001651EA">
        <w:rPr>
          <w:rFonts w:cs="Arial"/>
          <w:szCs w:val="19"/>
        </w:rPr>
        <w:t xml:space="preserve"> wyniosło minus 0,4 mld USD.</w:t>
      </w:r>
    </w:p>
    <w:p w:rsidR="00277A82" w:rsidRPr="005B60E0" w:rsidRDefault="0027314E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1651EA">
        <w:rPr>
          <w:color w:val="222222"/>
          <w:szCs w:val="19"/>
          <w:shd w:val="clear" w:color="auto" w:fill="FDFDFD"/>
        </w:rPr>
        <w:t xml:space="preserve">Eksport wyrażony w euro wyniósł </w:t>
      </w:r>
      <w:r w:rsidR="00D62BE7" w:rsidRPr="001651EA">
        <w:rPr>
          <w:color w:val="222222"/>
          <w:szCs w:val="19"/>
          <w:shd w:val="clear" w:color="auto" w:fill="FDFDFD"/>
        </w:rPr>
        <w:t>3</w:t>
      </w:r>
      <w:r w:rsidR="00985EEE" w:rsidRPr="001651EA">
        <w:rPr>
          <w:rFonts w:cs="Arial"/>
          <w:bCs/>
          <w:color w:val="000000"/>
          <w:szCs w:val="19"/>
        </w:rPr>
        <w:t>9,</w:t>
      </w:r>
      <w:r w:rsidR="00D62BE7" w:rsidRPr="001651EA">
        <w:rPr>
          <w:rFonts w:cs="Arial"/>
          <w:bCs/>
          <w:color w:val="000000"/>
          <w:szCs w:val="19"/>
        </w:rPr>
        <w:t>9</w:t>
      </w:r>
      <w:r w:rsidRPr="001651EA">
        <w:rPr>
          <w:color w:val="222222"/>
          <w:szCs w:val="19"/>
          <w:shd w:val="clear" w:color="auto" w:fill="FDFDFD"/>
        </w:rPr>
        <w:t xml:space="preserve"> mld EUR, a import </w:t>
      </w:r>
      <w:r w:rsidR="00D62BE7" w:rsidRPr="001651EA">
        <w:rPr>
          <w:color w:val="222222"/>
          <w:szCs w:val="19"/>
          <w:shd w:val="clear" w:color="auto" w:fill="FDFDFD"/>
        </w:rPr>
        <w:t>38</w:t>
      </w:r>
      <w:r w:rsidR="00985EEE" w:rsidRPr="001651EA">
        <w:rPr>
          <w:rFonts w:cs="Arial"/>
          <w:bCs/>
          <w:color w:val="000000"/>
          <w:szCs w:val="19"/>
        </w:rPr>
        <w:t>,</w:t>
      </w:r>
      <w:r w:rsidR="00D62BE7" w:rsidRPr="001651EA">
        <w:rPr>
          <w:rFonts w:cs="Arial"/>
          <w:bCs/>
          <w:color w:val="000000"/>
          <w:szCs w:val="19"/>
        </w:rPr>
        <w:t>6</w:t>
      </w:r>
      <w:r w:rsidRPr="001651EA">
        <w:rPr>
          <w:rFonts w:cs="Arial"/>
          <w:bCs/>
          <w:color w:val="000000"/>
          <w:szCs w:val="19"/>
        </w:rPr>
        <w:t xml:space="preserve"> </w:t>
      </w:r>
      <w:r w:rsidRPr="001651EA">
        <w:rPr>
          <w:color w:val="222222"/>
          <w:szCs w:val="19"/>
          <w:shd w:val="clear" w:color="auto" w:fill="FDFDFD"/>
        </w:rPr>
        <w:t>mld EUR</w:t>
      </w:r>
      <w:r w:rsidRPr="001651EA">
        <w:rPr>
          <w:rFonts w:cs="Arial"/>
          <w:szCs w:val="19"/>
        </w:rPr>
        <w:t xml:space="preserve"> </w:t>
      </w:r>
      <w:r w:rsidR="00A1647A" w:rsidRPr="001651EA">
        <w:rPr>
          <w:rFonts w:cs="Arial"/>
          <w:szCs w:val="19"/>
        </w:rPr>
        <w:t>(</w:t>
      </w:r>
      <w:r w:rsidR="00682774" w:rsidRPr="001651EA">
        <w:rPr>
          <w:rFonts w:cs="Arial"/>
          <w:szCs w:val="19"/>
        </w:rPr>
        <w:t>wzr</w:t>
      </w:r>
      <w:r w:rsidR="00A1647A" w:rsidRPr="001651EA">
        <w:rPr>
          <w:rFonts w:cs="Arial"/>
          <w:szCs w:val="19"/>
        </w:rPr>
        <w:t>ost</w:t>
      </w:r>
      <w:r w:rsidR="00682774" w:rsidRPr="001651EA">
        <w:rPr>
          <w:rFonts w:cs="Arial"/>
          <w:szCs w:val="19"/>
        </w:rPr>
        <w:t> w eksporcie o </w:t>
      </w:r>
      <w:r w:rsidR="00D62BE7" w:rsidRPr="001651EA">
        <w:rPr>
          <w:rFonts w:cs="Arial"/>
          <w:szCs w:val="19"/>
        </w:rPr>
        <w:t>4</w:t>
      </w:r>
      <w:r w:rsidR="007F5D5B" w:rsidRPr="001651EA">
        <w:rPr>
          <w:rFonts w:cs="Arial"/>
          <w:szCs w:val="19"/>
        </w:rPr>
        <w:t>,</w:t>
      </w:r>
      <w:r w:rsidR="00D62BE7" w:rsidRPr="001651EA">
        <w:rPr>
          <w:rFonts w:cs="Arial"/>
          <w:szCs w:val="19"/>
        </w:rPr>
        <w:t>1</w:t>
      </w:r>
      <w:r w:rsidR="00277A82" w:rsidRPr="001651EA">
        <w:rPr>
          <w:rFonts w:cs="Arial"/>
          <w:szCs w:val="19"/>
        </w:rPr>
        <w:t xml:space="preserve">%, a w imporcie </w:t>
      </w:r>
      <w:r w:rsidR="001651EA" w:rsidRPr="001651EA">
        <w:rPr>
          <w:rFonts w:cs="Arial"/>
          <w:szCs w:val="19"/>
        </w:rPr>
        <w:t>był na tym samym poziomi</w:t>
      </w:r>
      <w:r w:rsidR="00B32440">
        <w:rPr>
          <w:rFonts w:cs="Arial"/>
          <w:szCs w:val="19"/>
        </w:rPr>
        <w:t>e</w:t>
      </w:r>
      <w:r w:rsidR="001651EA" w:rsidRPr="001651EA">
        <w:rPr>
          <w:rFonts w:cs="Arial"/>
          <w:szCs w:val="19"/>
        </w:rPr>
        <w:t xml:space="preserve"> co przed rokiem)</w:t>
      </w:r>
      <w:r w:rsidR="00277A82" w:rsidRPr="001651EA">
        <w:rPr>
          <w:rFonts w:cs="Arial"/>
          <w:szCs w:val="19"/>
        </w:rPr>
        <w:t xml:space="preserve">. </w:t>
      </w:r>
      <w:r w:rsidR="00125191" w:rsidRPr="001651EA">
        <w:rPr>
          <w:rFonts w:cs="Arial"/>
          <w:szCs w:val="19"/>
        </w:rPr>
        <w:t xml:space="preserve">Dodatnie </w:t>
      </w:r>
      <w:r w:rsidR="00277A82" w:rsidRPr="001651EA">
        <w:rPr>
          <w:rFonts w:cs="Arial"/>
          <w:szCs w:val="19"/>
        </w:rPr>
        <w:t>saldo</w:t>
      </w:r>
      <w:r w:rsidR="00985EEE" w:rsidRPr="001651EA">
        <w:rPr>
          <w:rFonts w:cs="Arial"/>
          <w:szCs w:val="19"/>
        </w:rPr>
        <w:t xml:space="preserve"> </w:t>
      </w:r>
      <w:r w:rsidR="00EB4BA2" w:rsidRPr="001651EA">
        <w:rPr>
          <w:rFonts w:cs="Arial"/>
          <w:szCs w:val="19"/>
        </w:rPr>
        <w:t>wyniosło</w:t>
      </w:r>
      <w:r w:rsidR="00D54D58" w:rsidRPr="001651EA">
        <w:rPr>
          <w:rFonts w:cs="Arial"/>
          <w:szCs w:val="19"/>
        </w:rPr>
        <w:t xml:space="preserve"> </w:t>
      </w:r>
      <w:r w:rsidR="00D62BE7" w:rsidRPr="001651EA">
        <w:rPr>
          <w:rFonts w:cs="Arial"/>
          <w:szCs w:val="19"/>
        </w:rPr>
        <w:t>1</w:t>
      </w:r>
      <w:r w:rsidR="00985EEE" w:rsidRPr="001651EA">
        <w:rPr>
          <w:rFonts w:cs="Arial"/>
          <w:szCs w:val="19"/>
        </w:rPr>
        <w:t>,</w:t>
      </w:r>
      <w:r w:rsidR="00D62BE7" w:rsidRPr="001651EA">
        <w:rPr>
          <w:rFonts w:cs="Arial"/>
          <w:szCs w:val="19"/>
        </w:rPr>
        <w:t>3</w:t>
      </w:r>
      <w:r w:rsidR="00277A82" w:rsidRPr="001651EA">
        <w:rPr>
          <w:rFonts w:cs="Arial"/>
          <w:bCs/>
          <w:color w:val="000000"/>
          <w:szCs w:val="19"/>
        </w:rPr>
        <w:t xml:space="preserve"> </w:t>
      </w:r>
      <w:r w:rsidR="00277A82" w:rsidRPr="001651EA">
        <w:t>ml</w:t>
      </w:r>
      <w:r w:rsidR="00A844E6" w:rsidRPr="001651EA">
        <w:t>d</w:t>
      </w:r>
      <w:r w:rsidR="00EB4BA2" w:rsidRPr="001651EA">
        <w:t xml:space="preserve"> </w:t>
      </w:r>
      <w:r w:rsidR="00277A82" w:rsidRPr="001651EA">
        <w:t>EUR</w:t>
      </w:r>
      <w:r w:rsidR="00756062" w:rsidRPr="001651EA">
        <w:t>,</w:t>
      </w:r>
      <w:r w:rsidR="00756062" w:rsidRPr="001651EA">
        <w:rPr>
          <w:rFonts w:cs="Arial"/>
          <w:szCs w:val="19"/>
        </w:rPr>
        <w:t xml:space="preserve"> w styczniu - lutym ub.r. minus 0,3 mld EUR</w:t>
      </w:r>
      <w:r w:rsidR="00277A82" w:rsidRPr="001651EA">
        <w:rPr>
          <w:rFonts w:cs="Arial"/>
          <w:szCs w:val="19"/>
        </w:rPr>
        <w:t>.</w:t>
      </w:r>
    </w:p>
    <w:p w:rsidR="007324AA" w:rsidRDefault="007324A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</w:p>
    <w:p w:rsidR="00FD5DDE" w:rsidRDefault="00FD5DDE" w:rsidP="00F802BE">
      <w:pPr>
        <w:pStyle w:val="Nagwek1"/>
      </w:pP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1EA" w:rsidRDefault="001651EA" w:rsidP="00F802BE">
                            <w:pPr>
                              <w:pStyle w:val="tekstzboku"/>
                            </w:pPr>
                          </w:p>
                          <w:p w:rsidR="001651EA" w:rsidRDefault="001651EA" w:rsidP="00F802BE">
                            <w:pPr>
                              <w:pStyle w:val="tekstzboku"/>
                            </w:pPr>
                          </w:p>
                          <w:p w:rsidR="001651EA" w:rsidRDefault="001651EA" w:rsidP="00F802BE">
                            <w:pPr>
                              <w:pStyle w:val="tekstzboku"/>
                            </w:pPr>
                          </w:p>
                          <w:p w:rsidR="001651EA" w:rsidRDefault="001651EA" w:rsidP="00F802BE">
                            <w:pPr>
                              <w:pStyle w:val="tekstzboku"/>
                            </w:pPr>
                          </w:p>
                          <w:p w:rsidR="001651EA" w:rsidRDefault="001651EA" w:rsidP="00F802BE">
                            <w:pPr>
                              <w:pStyle w:val="tekstzboku"/>
                            </w:pPr>
                          </w:p>
                          <w:p w:rsidR="001651EA" w:rsidRDefault="001651EA" w:rsidP="00F802BE">
                            <w:pPr>
                              <w:pStyle w:val="tekstzboku"/>
                            </w:pPr>
                          </w:p>
                          <w:p w:rsidR="001651EA" w:rsidRDefault="001651EA" w:rsidP="00F802BE">
                            <w:pPr>
                              <w:pStyle w:val="tekstzboku"/>
                            </w:pPr>
                          </w:p>
                          <w:p w:rsidR="001651EA" w:rsidRDefault="001651EA" w:rsidP="00F802BE">
                            <w:pPr>
                              <w:pStyle w:val="tekstzboku"/>
                            </w:pPr>
                          </w:p>
                          <w:p w:rsidR="001651EA" w:rsidRDefault="001651EA" w:rsidP="00F802BE">
                            <w:pPr>
                              <w:pStyle w:val="tekstzboku"/>
                            </w:pPr>
                          </w:p>
                          <w:p w:rsidR="001651EA" w:rsidRDefault="001651EA" w:rsidP="00F802BE">
                            <w:pPr>
                              <w:pStyle w:val="tekstzboku"/>
                            </w:pPr>
                          </w:p>
                          <w:p w:rsidR="001651EA" w:rsidRDefault="001651EA" w:rsidP="00F802BE">
                            <w:pPr>
                              <w:pStyle w:val="tekstzboku"/>
                            </w:pPr>
                          </w:p>
                          <w:p w:rsidR="001651EA" w:rsidRDefault="001651EA" w:rsidP="00F802BE">
                            <w:pPr>
                              <w:pStyle w:val="tekstzboku"/>
                            </w:pPr>
                          </w:p>
                          <w:p w:rsidR="001651EA" w:rsidRDefault="001651EA" w:rsidP="00F802BE">
                            <w:pPr>
                              <w:pStyle w:val="tekstzboku"/>
                            </w:pPr>
                          </w:p>
                          <w:p w:rsidR="001651EA" w:rsidRDefault="001651EA" w:rsidP="00F802BE">
                            <w:pPr>
                              <w:pStyle w:val="tekstzboku"/>
                            </w:pPr>
                          </w:p>
                          <w:p w:rsidR="001651EA" w:rsidRDefault="001651EA" w:rsidP="00F802BE">
                            <w:pPr>
                              <w:pStyle w:val="tekstzboku"/>
                            </w:pPr>
                          </w:p>
                          <w:p w:rsidR="001651EA" w:rsidRDefault="001651EA" w:rsidP="00F802BE">
                            <w:pPr>
                              <w:pStyle w:val="tekstzboku"/>
                            </w:pPr>
                          </w:p>
                          <w:p w:rsidR="001651EA" w:rsidRDefault="001651EA" w:rsidP="00F802BE">
                            <w:pPr>
                              <w:pStyle w:val="tekstzboku"/>
                            </w:pPr>
                          </w:p>
                          <w:p w:rsidR="001651EA" w:rsidRDefault="001651EA" w:rsidP="00F802BE">
                            <w:pPr>
                              <w:pStyle w:val="tekstzboku"/>
                            </w:pPr>
                          </w:p>
                          <w:p w:rsidR="001651EA" w:rsidRDefault="001651EA" w:rsidP="00F802BE">
                            <w:pPr>
                              <w:pStyle w:val="tekstzboku"/>
                            </w:pPr>
                          </w:p>
                          <w:p w:rsidR="001651EA" w:rsidRDefault="001651EA" w:rsidP="00F802BE">
                            <w:pPr>
                              <w:pStyle w:val="tekstzboku"/>
                            </w:pPr>
                          </w:p>
                          <w:p w:rsidR="001651EA" w:rsidRDefault="001651EA" w:rsidP="00F802BE">
                            <w:pPr>
                              <w:pStyle w:val="tekstzboku"/>
                            </w:pPr>
                          </w:p>
                          <w:p w:rsidR="001651EA" w:rsidRDefault="001651EA" w:rsidP="00F802BE">
                            <w:pPr>
                              <w:pStyle w:val="tekstzboku"/>
                            </w:pPr>
                          </w:p>
                          <w:p w:rsidR="001651EA" w:rsidRDefault="001651EA" w:rsidP="00F802BE">
                            <w:pPr>
                              <w:pStyle w:val="tekstzboku"/>
                            </w:pPr>
                          </w:p>
                          <w:p w:rsidR="001651EA" w:rsidRDefault="001651EA" w:rsidP="00F802BE">
                            <w:pPr>
                              <w:pStyle w:val="tekstzboku"/>
                            </w:pPr>
                          </w:p>
                          <w:p w:rsidR="001651EA" w:rsidRDefault="001651EA" w:rsidP="00F802BE">
                            <w:pPr>
                              <w:pStyle w:val="tekstzboku"/>
                            </w:pPr>
                          </w:p>
                          <w:p w:rsidR="001651EA" w:rsidRDefault="001651EA" w:rsidP="00F802BE">
                            <w:pPr>
                              <w:pStyle w:val="tekstzboku"/>
                            </w:pPr>
                          </w:p>
                          <w:p w:rsidR="001651EA" w:rsidRDefault="001651EA" w:rsidP="00F802BE">
                            <w:pPr>
                              <w:pStyle w:val="tekstzboku"/>
                            </w:pPr>
                          </w:p>
                          <w:p w:rsidR="001651EA" w:rsidRPr="00074DD8" w:rsidRDefault="001651EA" w:rsidP="00F802BE">
                            <w:pPr>
                              <w:pStyle w:val="tekstzboku"/>
                            </w:pPr>
                          </w:p>
                          <w:p w:rsidR="001651EA" w:rsidRPr="00D616D2" w:rsidRDefault="001651EA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1651EA" w:rsidRDefault="001651EA" w:rsidP="00F802BE">
                      <w:pPr>
                        <w:pStyle w:val="tekstzboku"/>
                      </w:pPr>
                    </w:p>
                    <w:p w:rsidR="001651EA" w:rsidRDefault="001651EA" w:rsidP="00F802BE">
                      <w:pPr>
                        <w:pStyle w:val="tekstzboku"/>
                      </w:pPr>
                    </w:p>
                    <w:p w:rsidR="001651EA" w:rsidRDefault="001651EA" w:rsidP="00F802BE">
                      <w:pPr>
                        <w:pStyle w:val="tekstzboku"/>
                      </w:pPr>
                    </w:p>
                    <w:p w:rsidR="001651EA" w:rsidRDefault="001651EA" w:rsidP="00F802BE">
                      <w:pPr>
                        <w:pStyle w:val="tekstzboku"/>
                      </w:pPr>
                    </w:p>
                    <w:p w:rsidR="001651EA" w:rsidRDefault="001651EA" w:rsidP="00F802BE">
                      <w:pPr>
                        <w:pStyle w:val="tekstzboku"/>
                      </w:pPr>
                    </w:p>
                    <w:p w:rsidR="001651EA" w:rsidRDefault="001651EA" w:rsidP="00F802BE">
                      <w:pPr>
                        <w:pStyle w:val="tekstzboku"/>
                      </w:pPr>
                    </w:p>
                    <w:p w:rsidR="001651EA" w:rsidRDefault="001651EA" w:rsidP="00F802BE">
                      <w:pPr>
                        <w:pStyle w:val="tekstzboku"/>
                      </w:pPr>
                    </w:p>
                    <w:p w:rsidR="001651EA" w:rsidRDefault="001651EA" w:rsidP="00F802BE">
                      <w:pPr>
                        <w:pStyle w:val="tekstzboku"/>
                      </w:pPr>
                    </w:p>
                    <w:p w:rsidR="001651EA" w:rsidRDefault="001651EA" w:rsidP="00F802BE">
                      <w:pPr>
                        <w:pStyle w:val="tekstzboku"/>
                      </w:pPr>
                    </w:p>
                    <w:p w:rsidR="001651EA" w:rsidRDefault="001651EA" w:rsidP="00F802BE">
                      <w:pPr>
                        <w:pStyle w:val="tekstzboku"/>
                      </w:pPr>
                    </w:p>
                    <w:p w:rsidR="001651EA" w:rsidRDefault="001651EA" w:rsidP="00F802BE">
                      <w:pPr>
                        <w:pStyle w:val="tekstzboku"/>
                      </w:pPr>
                    </w:p>
                    <w:p w:rsidR="001651EA" w:rsidRDefault="001651EA" w:rsidP="00F802BE">
                      <w:pPr>
                        <w:pStyle w:val="tekstzboku"/>
                      </w:pPr>
                    </w:p>
                    <w:p w:rsidR="001651EA" w:rsidRDefault="001651EA" w:rsidP="00F802BE">
                      <w:pPr>
                        <w:pStyle w:val="tekstzboku"/>
                      </w:pPr>
                    </w:p>
                    <w:p w:rsidR="001651EA" w:rsidRDefault="001651EA" w:rsidP="00F802BE">
                      <w:pPr>
                        <w:pStyle w:val="tekstzboku"/>
                      </w:pPr>
                    </w:p>
                    <w:p w:rsidR="001651EA" w:rsidRDefault="001651EA" w:rsidP="00F802BE">
                      <w:pPr>
                        <w:pStyle w:val="tekstzboku"/>
                      </w:pPr>
                    </w:p>
                    <w:p w:rsidR="001651EA" w:rsidRDefault="001651EA" w:rsidP="00F802BE">
                      <w:pPr>
                        <w:pStyle w:val="tekstzboku"/>
                      </w:pPr>
                    </w:p>
                    <w:p w:rsidR="001651EA" w:rsidRDefault="001651EA" w:rsidP="00F802BE">
                      <w:pPr>
                        <w:pStyle w:val="tekstzboku"/>
                      </w:pPr>
                    </w:p>
                    <w:p w:rsidR="001651EA" w:rsidRDefault="001651EA" w:rsidP="00F802BE">
                      <w:pPr>
                        <w:pStyle w:val="tekstzboku"/>
                      </w:pPr>
                    </w:p>
                    <w:p w:rsidR="001651EA" w:rsidRDefault="001651EA" w:rsidP="00F802BE">
                      <w:pPr>
                        <w:pStyle w:val="tekstzboku"/>
                      </w:pPr>
                    </w:p>
                    <w:p w:rsidR="001651EA" w:rsidRDefault="001651EA" w:rsidP="00F802BE">
                      <w:pPr>
                        <w:pStyle w:val="tekstzboku"/>
                      </w:pPr>
                    </w:p>
                    <w:p w:rsidR="001651EA" w:rsidRDefault="001651EA" w:rsidP="00F802BE">
                      <w:pPr>
                        <w:pStyle w:val="tekstzboku"/>
                      </w:pPr>
                    </w:p>
                    <w:p w:rsidR="001651EA" w:rsidRDefault="001651EA" w:rsidP="00F802BE">
                      <w:pPr>
                        <w:pStyle w:val="tekstzboku"/>
                      </w:pPr>
                    </w:p>
                    <w:p w:rsidR="001651EA" w:rsidRDefault="001651EA" w:rsidP="00F802BE">
                      <w:pPr>
                        <w:pStyle w:val="tekstzboku"/>
                      </w:pPr>
                    </w:p>
                    <w:p w:rsidR="001651EA" w:rsidRDefault="001651EA" w:rsidP="00F802BE">
                      <w:pPr>
                        <w:pStyle w:val="tekstzboku"/>
                      </w:pPr>
                    </w:p>
                    <w:p w:rsidR="001651EA" w:rsidRDefault="001651EA" w:rsidP="00F802BE">
                      <w:pPr>
                        <w:pStyle w:val="tekstzboku"/>
                      </w:pPr>
                    </w:p>
                    <w:p w:rsidR="001651EA" w:rsidRDefault="001651EA" w:rsidP="00F802BE">
                      <w:pPr>
                        <w:pStyle w:val="tekstzboku"/>
                      </w:pPr>
                    </w:p>
                    <w:p w:rsidR="001651EA" w:rsidRDefault="001651EA" w:rsidP="00F802BE">
                      <w:pPr>
                        <w:pStyle w:val="tekstzboku"/>
                      </w:pPr>
                    </w:p>
                    <w:p w:rsidR="001651EA" w:rsidRPr="00074DD8" w:rsidRDefault="001651EA" w:rsidP="00F802BE">
                      <w:pPr>
                        <w:pStyle w:val="tekstzboku"/>
                      </w:pPr>
                    </w:p>
                    <w:p w:rsidR="001651EA" w:rsidRPr="00D616D2" w:rsidRDefault="001651EA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  <w:r w:rsidR="00C74B42">
        <w:rPr>
          <w:rStyle w:val="Odwoanieprzypisudolnego"/>
        </w:rPr>
        <w:footnoteReference w:id="2"/>
      </w:r>
    </w:p>
    <w:p w:rsidR="00F802BE" w:rsidRDefault="003C6B82" w:rsidP="00F802BE">
      <w:pPr>
        <w:rPr>
          <w:shd w:val="clear" w:color="auto" w:fill="FFFFFF"/>
        </w:rPr>
      </w:pPr>
      <w:r w:rsidRPr="001651EA">
        <w:rPr>
          <w:rFonts w:cs="Arial"/>
          <w:spacing w:val="-3"/>
        </w:rPr>
        <w:t xml:space="preserve">Największy udział </w:t>
      </w:r>
      <w:r w:rsidR="00992926" w:rsidRPr="001651EA">
        <w:rPr>
          <w:rFonts w:cs="Arial"/>
          <w:spacing w:val="-3"/>
        </w:rPr>
        <w:t xml:space="preserve">w eksporcie ogółem </w:t>
      </w:r>
      <w:r w:rsidRPr="001651EA">
        <w:rPr>
          <w:rFonts w:cs="Arial"/>
          <w:spacing w:val="-3"/>
        </w:rPr>
        <w:t>Polska ma z krajami rozwiniętymi</w:t>
      </w:r>
      <w:r w:rsidR="00992926" w:rsidRPr="001651EA">
        <w:rPr>
          <w:rFonts w:cs="Arial"/>
          <w:spacing w:val="-3"/>
        </w:rPr>
        <w:t xml:space="preserve"> </w:t>
      </w:r>
      <w:r w:rsidR="00992926" w:rsidRPr="001651EA">
        <w:rPr>
          <w:rFonts w:cs="Arial"/>
        </w:rPr>
        <w:t>–</w:t>
      </w:r>
      <w:r w:rsidR="00992926" w:rsidRPr="001651EA">
        <w:rPr>
          <w:rFonts w:cs="Arial"/>
          <w:spacing w:val="-3"/>
        </w:rPr>
        <w:t xml:space="preserve"> </w:t>
      </w:r>
      <w:r w:rsidR="00385406" w:rsidRPr="001651EA">
        <w:rPr>
          <w:rFonts w:cs="Arial"/>
          <w:spacing w:val="-3"/>
        </w:rPr>
        <w:t>8</w:t>
      </w:r>
      <w:r w:rsidR="00226D54" w:rsidRPr="001651EA">
        <w:rPr>
          <w:rFonts w:cs="Arial"/>
          <w:spacing w:val="-3"/>
        </w:rPr>
        <w:t>6</w:t>
      </w:r>
      <w:r w:rsidR="00385406" w:rsidRPr="001651EA">
        <w:rPr>
          <w:rFonts w:cs="Arial"/>
          <w:spacing w:val="-3"/>
        </w:rPr>
        <w:t>,</w:t>
      </w:r>
      <w:r w:rsidR="00226D54" w:rsidRPr="001651EA">
        <w:rPr>
          <w:rFonts w:cs="Arial"/>
          <w:spacing w:val="-3"/>
        </w:rPr>
        <w:t>8</w:t>
      </w:r>
      <w:r w:rsidRPr="001651EA">
        <w:rPr>
          <w:rFonts w:cs="Arial"/>
          <w:spacing w:val="-3"/>
        </w:rPr>
        <w:t>%</w:t>
      </w:r>
      <w:r w:rsidR="00C461A5" w:rsidRPr="001651EA">
        <w:rPr>
          <w:rFonts w:cs="Arial"/>
          <w:spacing w:val="-3"/>
        </w:rPr>
        <w:t xml:space="preserve"> </w:t>
      </w:r>
      <w:r w:rsidRPr="001651EA">
        <w:rPr>
          <w:rFonts w:cs="Arial"/>
          <w:spacing w:val="-3"/>
        </w:rPr>
        <w:t>(w tym UE</w:t>
      </w:r>
      <w:r w:rsidR="00992926" w:rsidRPr="001651EA">
        <w:rPr>
          <w:rFonts w:cs="Arial"/>
          <w:spacing w:val="-3"/>
        </w:rPr>
        <w:t> </w:t>
      </w:r>
      <w:r w:rsidR="00226D54" w:rsidRPr="001651EA">
        <w:rPr>
          <w:rFonts w:cs="Arial"/>
          <w:spacing w:val="-3"/>
        </w:rPr>
        <w:t>74</w:t>
      </w:r>
      <w:r w:rsidR="00257543" w:rsidRPr="001651EA">
        <w:rPr>
          <w:rFonts w:cs="Arial"/>
          <w:spacing w:val="-3"/>
        </w:rPr>
        <w:t>,</w:t>
      </w:r>
      <w:r w:rsidR="00226D54" w:rsidRPr="001651EA">
        <w:rPr>
          <w:rFonts w:cs="Arial"/>
          <w:spacing w:val="-3"/>
        </w:rPr>
        <w:t>4</w:t>
      </w:r>
      <w:r w:rsidRPr="001651EA">
        <w:rPr>
          <w:rFonts w:cs="Arial"/>
          <w:spacing w:val="-3"/>
        </w:rPr>
        <w:t xml:space="preserve">%), a w imporcie </w:t>
      </w:r>
      <w:r w:rsidRPr="001651EA">
        <w:rPr>
          <w:rFonts w:cs="Arial"/>
        </w:rPr>
        <w:t xml:space="preserve">– </w:t>
      </w:r>
      <w:r w:rsidR="00F600D4" w:rsidRPr="001651EA">
        <w:rPr>
          <w:rFonts w:cs="Arial"/>
          <w:spacing w:val="-3"/>
        </w:rPr>
        <w:t>6</w:t>
      </w:r>
      <w:r w:rsidR="00226D54" w:rsidRPr="001651EA">
        <w:rPr>
          <w:rFonts w:cs="Arial"/>
          <w:spacing w:val="-3"/>
        </w:rPr>
        <w:t>4</w:t>
      </w:r>
      <w:r w:rsidR="00257543" w:rsidRPr="001651EA">
        <w:rPr>
          <w:rFonts w:cs="Arial"/>
          <w:spacing w:val="-3"/>
        </w:rPr>
        <w:t>,</w:t>
      </w:r>
      <w:r w:rsidR="00226D54" w:rsidRPr="001651EA">
        <w:rPr>
          <w:rFonts w:cs="Arial"/>
          <w:spacing w:val="-3"/>
        </w:rPr>
        <w:t>5</w:t>
      </w:r>
      <w:r w:rsidR="00C461A5" w:rsidRPr="001651EA">
        <w:rPr>
          <w:rFonts w:cs="Arial"/>
          <w:spacing w:val="-3"/>
        </w:rPr>
        <w:t xml:space="preserve"> </w:t>
      </w:r>
      <w:r w:rsidR="007D6BC4" w:rsidRPr="001651EA">
        <w:rPr>
          <w:rFonts w:cs="Arial"/>
          <w:spacing w:val="-3"/>
        </w:rPr>
        <w:t xml:space="preserve">% (w tym UE </w:t>
      </w:r>
      <w:r w:rsidR="00F600D4" w:rsidRPr="001651EA">
        <w:rPr>
          <w:rFonts w:cs="Arial"/>
          <w:spacing w:val="-3"/>
        </w:rPr>
        <w:t>5</w:t>
      </w:r>
      <w:r w:rsidR="00771315" w:rsidRPr="001651EA">
        <w:rPr>
          <w:rFonts w:cs="Arial"/>
          <w:spacing w:val="-3"/>
        </w:rPr>
        <w:t>4</w:t>
      </w:r>
      <w:r w:rsidR="00257543" w:rsidRPr="001651EA">
        <w:rPr>
          <w:rFonts w:cs="Arial"/>
          <w:spacing w:val="-3"/>
        </w:rPr>
        <w:t>,</w:t>
      </w:r>
      <w:r w:rsidR="00226D54" w:rsidRPr="001651EA">
        <w:rPr>
          <w:rFonts w:cs="Arial"/>
          <w:spacing w:val="-3"/>
        </w:rPr>
        <w:t>6</w:t>
      </w:r>
      <w:r w:rsidRPr="001651EA">
        <w:rPr>
          <w:rFonts w:cs="Arial"/>
          <w:spacing w:val="-3"/>
        </w:rPr>
        <w:t xml:space="preserve">%), wobec odpowiednio </w:t>
      </w:r>
      <w:r w:rsidR="00832FBE" w:rsidRPr="001651EA">
        <w:rPr>
          <w:rFonts w:cs="Arial"/>
          <w:spacing w:val="-3"/>
        </w:rPr>
        <w:t>8</w:t>
      </w:r>
      <w:r w:rsidR="00226D54" w:rsidRPr="001651EA">
        <w:rPr>
          <w:rFonts w:cs="Arial"/>
          <w:spacing w:val="-3"/>
        </w:rPr>
        <w:t>8</w:t>
      </w:r>
      <w:r w:rsidR="00385406" w:rsidRPr="001651EA">
        <w:rPr>
          <w:rFonts w:cs="Arial"/>
          <w:spacing w:val="-3"/>
        </w:rPr>
        <w:t>,</w:t>
      </w:r>
      <w:r w:rsidR="00226D54" w:rsidRPr="001651EA">
        <w:rPr>
          <w:rFonts w:cs="Arial"/>
          <w:spacing w:val="-3"/>
        </w:rPr>
        <w:t>4</w:t>
      </w:r>
      <w:r w:rsidRPr="001651EA">
        <w:rPr>
          <w:rFonts w:cs="Arial"/>
          <w:spacing w:val="-3"/>
        </w:rPr>
        <w:t xml:space="preserve">% (w tym UE </w:t>
      </w:r>
      <w:r w:rsidR="00226D54" w:rsidRPr="001651EA">
        <w:rPr>
          <w:rFonts w:cs="Arial"/>
          <w:spacing w:val="-3"/>
        </w:rPr>
        <w:t>75,3</w:t>
      </w:r>
      <w:r w:rsidRPr="001651EA">
        <w:rPr>
          <w:rFonts w:cs="Arial"/>
          <w:spacing w:val="-3"/>
        </w:rPr>
        <w:t>%) i</w:t>
      </w:r>
      <w:r w:rsidR="00992926" w:rsidRPr="001651EA">
        <w:rPr>
          <w:rFonts w:cs="Arial"/>
          <w:spacing w:val="-3"/>
        </w:rPr>
        <w:t> </w:t>
      </w:r>
      <w:r w:rsidR="00BC4ED9" w:rsidRPr="001651EA">
        <w:rPr>
          <w:rFonts w:cs="Arial"/>
          <w:spacing w:val="-3"/>
        </w:rPr>
        <w:t>6</w:t>
      </w:r>
      <w:r w:rsidR="00771315" w:rsidRPr="001651EA">
        <w:rPr>
          <w:rFonts w:cs="Arial"/>
          <w:spacing w:val="-3"/>
        </w:rPr>
        <w:t>6</w:t>
      </w:r>
      <w:r w:rsidR="00BC4ED9" w:rsidRPr="001651EA">
        <w:rPr>
          <w:rFonts w:cs="Arial"/>
          <w:spacing w:val="-3"/>
        </w:rPr>
        <w:t>,</w:t>
      </w:r>
      <w:r w:rsidR="00226D54" w:rsidRPr="001651EA">
        <w:rPr>
          <w:rFonts w:cs="Arial"/>
          <w:spacing w:val="-3"/>
        </w:rPr>
        <w:t>2</w:t>
      </w:r>
      <w:r w:rsidRPr="001651EA">
        <w:rPr>
          <w:rFonts w:cs="Arial"/>
          <w:spacing w:val="-3"/>
        </w:rPr>
        <w:t xml:space="preserve">% (w tym UE </w:t>
      </w:r>
      <w:r w:rsidR="0032506F" w:rsidRPr="001651EA">
        <w:rPr>
          <w:rFonts w:cs="Arial"/>
          <w:spacing w:val="-3"/>
        </w:rPr>
        <w:t>5</w:t>
      </w:r>
      <w:r w:rsidR="00226D54" w:rsidRPr="001651EA">
        <w:rPr>
          <w:rFonts w:cs="Arial"/>
          <w:spacing w:val="-3"/>
        </w:rPr>
        <w:t>6</w:t>
      </w:r>
      <w:r w:rsidR="0032506F" w:rsidRPr="001651EA">
        <w:rPr>
          <w:rFonts w:cs="Arial"/>
          <w:spacing w:val="-3"/>
        </w:rPr>
        <w:t>,</w:t>
      </w:r>
      <w:r w:rsidR="00226D54" w:rsidRPr="001651EA">
        <w:rPr>
          <w:rFonts w:cs="Arial"/>
          <w:spacing w:val="-3"/>
        </w:rPr>
        <w:t>4</w:t>
      </w:r>
      <w:r w:rsidRPr="001651EA">
        <w:rPr>
          <w:rFonts w:cs="Arial"/>
          <w:spacing w:val="-3"/>
        </w:rPr>
        <w:t>%) w </w:t>
      </w:r>
      <w:r w:rsidR="00771315" w:rsidRPr="001651EA">
        <w:rPr>
          <w:rFonts w:cs="Arial"/>
          <w:spacing w:val="-3"/>
        </w:rPr>
        <w:t>styczniu</w:t>
      </w:r>
      <w:r w:rsidR="00226D54" w:rsidRPr="001651EA">
        <w:rPr>
          <w:rFonts w:cs="Arial"/>
          <w:spacing w:val="-3"/>
        </w:rPr>
        <w:t xml:space="preserve"> – lutym </w:t>
      </w:r>
      <w:r w:rsidR="006058C1" w:rsidRPr="001651EA">
        <w:rPr>
          <w:rFonts w:cs="Arial"/>
          <w:spacing w:val="-3"/>
        </w:rPr>
        <w:t>201</w:t>
      </w:r>
      <w:r w:rsidR="00771315" w:rsidRPr="001651EA">
        <w:rPr>
          <w:rFonts w:cs="Arial"/>
          <w:spacing w:val="-3"/>
        </w:rPr>
        <w:t>9</w:t>
      </w:r>
      <w:r w:rsidRPr="001651EA">
        <w:rPr>
          <w:rFonts w:cs="Arial"/>
          <w:spacing w:val="-3"/>
        </w:rPr>
        <w:t xml:space="preserve"> roku</w:t>
      </w:r>
      <w:r w:rsidR="00F802BE" w:rsidRPr="001651EA">
        <w:rPr>
          <w:shd w:val="clear" w:color="auto" w:fill="FFFFFF"/>
        </w:rPr>
        <w:t>.</w:t>
      </w:r>
      <w:r w:rsidR="008720A0" w:rsidRPr="001651EA">
        <w:rPr>
          <w:shd w:val="clear" w:color="auto" w:fill="FFFFFF"/>
        </w:rPr>
        <w:t xml:space="preserve"> Natomiast </w:t>
      </w:r>
      <w:r w:rsidR="00701D51" w:rsidRPr="001651EA">
        <w:rPr>
          <w:shd w:val="clear" w:color="auto" w:fill="FFFFFF"/>
        </w:rPr>
        <w:t xml:space="preserve">najmniejszy udział </w:t>
      </w:r>
      <w:r w:rsidR="00D626BB" w:rsidRPr="001651EA">
        <w:rPr>
          <w:shd w:val="clear" w:color="auto" w:fill="FFFFFF"/>
        </w:rPr>
        <w:t>odnotowano</w:t>
      </w:r>
      <w:r w:rsidR="00701D51" w:rsidRPr="001651EA">
        <w:rPr>
          <w:shd w:val="clear" w:color="auto" w:fill="FFFFFF"/>
        </w:rPr>
        <w:t xml:space="preserve"> z krajami </w:t>
      </w:r>
      <w:r w:rsidR="00701D51" w:rsidRPr="001651EA">
        <w:rPr>
          <w:rFonts w:cs="Arial"/>
          <w:spacing w:val="-3"/>
        </w:rPr>
        <w:t>Europy Środkowo-Wschodniej</w:t>
      </w:r>
      <w:r w:rsidR="00EA7416" w:rsidRPr="001651EA">
        <w:rPr>
          <w:rFonts w:cs="Arial"/>
          <w:spacing w:val="-3"/>
        </w:rPr>
        <w:t xml:space="preserve">, który </w:t>
      </w:r>
      <w:r w:rsidR="00701D51" w:rsidRPr="001651EA">
        <w:rPr>
          <w:rFonts w:cs="Arial"/>
          <w:spacing w:val="-3"/>
        </w:rPr>
        <w:t xml:space="preserve">w eksporcie ogółem wyniósł </w:t>
      </w:r>
      <w:r w:rsidR="00226D54" w:rsidRPr="001651EA">
        <w:rPr>
          <w:rFonts w:cs="Arial"/>
          <w:spacing w:val="-3"/>
        </w:rPr>
        <w:t>5,6</w:t>
      </w:r>
      <w:r w:rsidR="00185BAA" w:rsidRPr="001651EA">
        <w:rPr>
          <w:rFonts w:cs="Arial"/>
          <w:spacing w:val="-3"/>
        </w:rPr>
        <w:t>%</w:t>
      </w:r>
      <w:r w:rsidR="00701D51" w:rsidRPr="001651EA">
        <w:rPr>
          <w:rFonts w:cs="Arial"/>
          <w:spacing w:val="-3"/>
        </w:rPr>
        <w:t>, a</w:t>
      </w:r>
      <w:r w:rsidR="00036E65" w:rsidRPr="001651EA">
        <w:rPr>
          <w:rFonts w:cs="Arial"/>
          <w:spacing w:val="-3"/>
        </w:rPr>
        <w:t> </w:t>
      </w:r>
      <w:r w:rsidR="00701D51" w:rsidRPr="001651EA">
        <w:rPr>
          <w:rFonts w:cs="Arial"/>
          <w:spacing w:val="-3"/>
        </w:rPr>
        <w:t>w</w:t>
      </w:r>
      <w:r w:rsidR="00036E65" w:rsidRPr="001651EA">
        <w:rPr>
          <w:rFonts w:cs="Arial"/>
          <w:spacing w:val="-3"/>
        </w:rPr>
        <w:t> </w:t>
      </w:r>
      <w:r w:rsidR="00701D51" w:rsidRPr="001651EA">
        <w:rPr>
          <w:rFonts w:cs="Arial"/>
          <w:spacing w:val="-3"/>
        </w:rPr>
        <w:t xml:space="preserve">imporcie </w:t>
      </w:r>
      <w:r w:rsidR="00226D54" w:rsidRPr="001651EA">
        <w:rPr>
          <w:rFonts w:cs="Arial"/>
          <w:spacing w:val="-3"/>
        </w:rPr>
        <w:t>7,9</w:t>
      </w:r>
      <w:r w:rsidR="00185BAA" w:rsidRPr="001651EA">
        <w:rPr>
          <w:rFonts w:cs="Arial"/>
          <w:spacing w:val="-3"/>
        </w:rPr>
        <w:t>%</w:t>
      </w:r>
      <w:r w:rsidR="00701D51" w:rsidRPr="001651EA">
        <w:rPr>
          <w:rFonts w:cs="Arial"/>
          <w:spacing w:val="-3"/>
        </w:rPr>
        <w:t xml:space="preserve">, wobec odpowiednio </w:t>
      </w:r>
      <w:r w:rsidR="00226D54" w:rsidRPr="001651EA">
        <w:rPr>
          <w:rFonts w:cs="Arial"/>
          <w:spacing w:val="-3"/>
        </w:rPr>
        <w:t>5</w:t>
      </w:r>
      <w:r w:rsidR="0008639F" w:rsidRPr="001651EA">
        <w:rPr>
          <w:rFonts w:cs="Arial"/>
          <w:spacing w:val="-3"/>
        </w:rPr>
        <w:t>,</w:t>
      </w:r>
      <w:r w:rsidR="00226D54" w:rsidRPr="001651EA">
        <w:rPr>
          <w:rFonts w:cs="Arial"/>
          <w:spacing w:val="-3"/>
        </w:rPr>
        <w:t>2</w:t>
      </w:r>
      <w:r w:rsidR="00185BAA" w:rsidRPr="001651EA">
        <w:rPr>
          <w:rFonts w:cs="Arial"/>
          <w:spacing w:val="-3"/>
        </w:rPr>
        <w:t xml:space="preserve">% i </w:t>
      </w:r>
      <w:r w:rsidR="00771315" w:rsidRPr="001651EA">
        <w:rPr>
          <w:rFonts w:cs="Arial"/>
          <w:spacing w:val="-3"/>
        </w:rPr>
        <w:t>7</w:t>
      </w:r>
      <w:r w:rsidR="00036E65" w:rsidRPr="001651EA">
        <w:rPr>
          <w:rFonts w:cs="Arial"/>
          <w:spacing w:val="-3"/>
        </w:rPr>
        <w:t>,</w:t>
      </w:r>
      <w:r w:rsidR="00226D54" w:rsidRPr="001651EA">
        <w:rPr>
          <w:rFonts w:cs="Arial"/>
          <w:spacing w:val="-3"/>
        </w:rPr>
        <w:t>6</w:t>
      </w:r>
      <w:r w:rsidR="00185BAA" w:rsidRPr="001651EA">
        <w:rPr>
          <w:rFonts w:cs="Arial"/>
          <w:spacing w:val="-3"/>
        </w:rPr>
        <w:t>%</w:t>
      </w:r>
      <w:r w:rsidR="00701D51" w:rsidRPr="001651EA">
        <w:rPr>
          <w:rFonts w:cs="Arial"/>
          <w:spacing w:val="-3"/>
        </w:rPr>
        <w:t xml:space="preserve"> </w:t>
      </w:r>
      <w:r w:rsidR="00771315" w:rsidRPr="001651EA">
        <w:t>w analogicznym okresie ub.r</w:t>
      </w:r>
      <w:r w:rsidR="00771315" w:rsidRPr="001651EA">
        <w:rPr>
          <w:rFonts w:cs="Arial"/>
          <w:szCs w:val="19"/>
        </w:rPr>
        <w:t>.</w:t>
      </w:r>
    </w:p>
    <w:p w:rsidR="00345F7C" w:rsidRPr="001651EA" w:rsidRDefault="008720A0" w:rsidP="002D45CF">
      <w:pPr>
        <w:rPr>
          <w:rFonts w:cs="Arial"/>
          <w:spacing w:val="-3"/>
        </w:rPr>
      </w:pPr>
      <w:r w:rsidRPr="001651EA">
        <w:rPr>
          <w:rFonts w:cs="Arial"/>
          <w:spacing w:val="-3"/>
        </w:rPr>
        <w:t xml:space="preserve">Ujemne salda odnotowano z krajami rozwijającymi się – minus </w:t>
      </w:r>
      <w:r w:rsidR="005123CC" w:rsidRPr="001651EA">
        <w:rPr>
          <w:rFonts w:cs="Arial"/>
          <w:spacing w:val="-3"/>
        </w:rPr>
        <w:t>32</w:t>
      </w:r>
      <w:r w:rsidR="00771315" w:rsidRPr="001651EA">
        <w:rPr>
          <w:rFonts w:cs="Arial"/>
          <w:spacing w:val="-3"/>
        </w:rPr>
        <w:t>,</w:t>
      </w:r>
      <w:r w:rsidR="005123CC" w:rsidRPr="001651EA">
        <w:rPr>
          <w:rFonts w:cs="Arial"/>
          <w:spacing w:val="-3"/>
        </w:rPr>
        <w:t>4</w:t>
      </w:r>
      <w:r w:rsidR="00F70DA2" w:rsidRPr="001651EA">
        <w:rPr>
          <w:rFonts w:cs="Arial"/>
        </w:rPr>
        <w:t xml:space="preserve"> </w:t>
      </w:r>
      <w:r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Pr="001651EA">
        <w:rPr>
          <w:rFonts w:cs="Arial"/>
          <w:spacing w:val="-3"/>
        </w:rPr>
        <w:t xml:space="preserve"> (minus </w:t>
      </w:r>
      <w:r w:rsidR="005123CC" w:rsidRPr="001651EA">
        <w:rPr>
          <w:rFonts w:cs="Arial"/>
          <w:spacing w:val="-3"/>
        </w:rPr>
        <w:t>8</w:t>
      </w:r>
      <w:r w:rsidR="00771315" w:rsidRPr="001651EA">
        <w:rPr>
          <w:rFonts w:cs="Arial"/>
          <w:spacing w:val="-3"/>
        </w:rPr>
        <w:t>,</w:t>
      </w:r>
      <w:r w:rsidR="005123CC" w:rsidRPr="001651EA">
        <w:rPr>
          <w:rFonts w:cs="Arial"/>
          <w:spacing w:val="-3"/>
        </w:rPr>
        <w:t>4</w:t>
      </w:r>
      <w:r w:rsidR="001651EA" w:rsidRPr="001651EA">
        <w:rPr>
          <w:rFonts w:cs="Arial"/>
          <w:spacing w:val="-3"/>
        </w:rPr>
        <w:t xml:space="preserve"> </w:t>
      </w:r>
      <w:r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Pr="001651EA">
        <w:rPr>
          <w:rFonts w:cs="Arial"/>
          <w:spacing w:val="-3"/>
        </w:rPr>
        <w:t xml:space="preserve"> USD, minus </w:t>
      </w:r>
      <w:r w:rsidR="005123CC" w:rsidRPr="001651EA">
        <w:rPr>
          <w:rFonts w:cs="Arial"/>
          <w:spacing w:val="-3"/>
        </w:rPr>
        <w:t>7</w:t>
      </w:r>
      <w:r w:rsidR="006058C1" w:rsidRPr="001651EA">
        <w:rPr>
          <w:rFonts w:cs="Arial"/>
          <w:spacing w:val="-3"/>
        </w:rPr>
        <w:t>,</w:t>
      </w:r>
      <w:r w:rsidR="005123CC" w:rsidRPr="001651EA">
        <w:rPr>
          <w:rFonts w:cs="Arial"/>
          <w:spacing w:val="-3"/>
        </w:rPr>
        <w:t>7</w:t>
      </w:r>
      <w:r w:rsidRPr="001651EA">
        <w:rPr>
          <w:rFonts w:cs="Arial"/>
        </w:rPr>
        <w:t xml:space="preserve"> </w:t>
      </w:r>
      <w:r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Pr="001651EA">
        <w:rPr>
          <w:rFonts w:cs="Arial"/>
          <w:spacing w:val="-3"/>
        </w:rPr>
        <w:t xml:space="preserve"> EUR) i z krajami Europy Środkowo-Wschodniej – minus </w:t>
      </w:r>
      <w:r w:rsidR="005123CC" w:rsidRPr="001651EA">
        <w:rPr>
          <w:rFonts w:cs="Arial"/>
          <w:spacing w:val="-3"/>
        </w:rPr>
        <w:t>3</w:t>
      </w:r>
      <w:r w:rsidR="00771315" w:rsidRPr="001651EA">
        <w:rPr>
          <w:rFonts w:cs="Arial"/>
          <w:spacing w:val="-3"/>
        </w:rPr>
        <w:t>,</w:t>
      </w:r>
      <w:r w:rsidR="005123CC" w:rsidRPr="001651EA">
        <w:rPr>
          <w:rFonts w:cs="Arial"/>
          <w:spacing w:val="-3"/>
        </w:rPr>
        <w:t>3</w:t>
      </w:r>
      <w:r w:rsidR="0008639F" w:rsidRPr="001651EA">
        <w:rPr>
          <w:rFonts w:cs="Arial"/>
          <w:spacing w:val="-3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Pr="001651EA">
        <w:rPr>
          <w:rFonts w:cs="Arial"/>
          <w:spacing w:val="-3"/>
        </w:rPr>
        <w:t xml:space="preserve"> (minus </w:t>
      </w:r>
      <w:r w:rsidR="00771315" w:rsidRPr="001651EA">
        <w:rPr>
          <w:rFonts w:cs="Arial"/>
          <w:spacing w:val="-3"/>
        </w:rPr>
        <w:t>0</w:t>
      </w:r>
      <w:r w:rsidR="00BC4ED9" w:rsidRPr="001651EA">
        <w:rPr>
          <w:rFonts w:cs="Arial"/>
          <w:spacing w:val="-3"/>
        </w:rPr>
        <w:t>,</w:t>
      </w:r>
      <w:r w:rsidR="005123CC" w:rsidRPr="001651EA">
        <w:rPr>
          <w:rFonts w:cs="Arial"/>
          <w:spacing w:val="-3"/>
        </w:rPr>
        <w:t>9</w:t>
      </w:r>
      <w:r w:rsidRPr="001651EA">
        <w:rPr>
          <w:rFonts w:cs="Arial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USD, minus </w:t>
      </w:r>
      <w:r w:rsidR="005123CC" w:rsidRPr="001651EA">
        <w:rPr>
          <w:rFonts w:cs="Arial"/>
          <w:spacing w:val="-3"/>
        </w:rPr>
        <w:t>0,7</w:t>
      </w:r>
      <w:r w:rsidRPr="001651EA">
        <w:rPr>
          <w:rFonts w:cs="Arial"/>
        </w:rPr>
        <w:t xml:space="preserve"> </w:t>
      </w:r>
      <w:r w:rsidR="00FC0B7D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EUR). Dodatnie saldo uzyskano w obrotach z  krajami rozwiniętymi </w:t>
      </w:r>
      <w:r w:rsidR="005123CC" w:rsidRPr="001651EA">
        <w:rPr>
          <w:rFonts w:cs="Arial"/>
        </w:rPr>
        <w:t>41,0</w:t>
      </w:r>
      <w:r w:rsidRPr="001651EA">
        <w:rPr>
          <w:rFonts w:cs="Arial"/>
          <w:spacing w:val="-3"/>
        </w:rPr>
        <w:t xml:space="preserve"> ml</w:t>
      </w:r>
      <w:r w:rsidR="00F70DA2" w:rsidRPr="001651EA">
        <w:rPr>
          <w:rFonts w:cs="Arial"/>
          <w:spacing w:val="-3"/>
        </w:rPr>
        <w:t>d</w:t>
      </w:r>
      <w:r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Pr="001651EA">
        <w:rPr>
          <w:rFonts w:cs="Arial"/>
          <w:spacing w:val="-3"/>
        </w:rPr>
        <w:t xml:space="preserve"> (</w:t>
      </w:r>
      <w:r w:rsidR="005123CC" w:rsidRPr="001651EA">
        <w:rPr>
          <w:rFonts w:cs="Arial"/>
          <w:spacing w:val="-3"/>
        </w:rPr>
        <w:t>10,7</w:t>
      </w:r>
      <w:r w:rsidRPr="001651EA">
        <w:rPr>
          <w:rFonts w:cs="Arial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USD, </w:t>
      </w:r>
      <w:r w:rsidR="005123CC" w:rsidRPr="001651EA">
        <w:rPr>
          <w:rFonts w:cs="Arial"/>
          <w:spacing w:val="-3"/>
        </w:rPr>
        <w:t>9,7</w:t>
      </w:r>
      <w:r w:rsidRPr="001651EA">
        <w:rPr>
          <w:rFonts w:cs="Arial"/>
          <w:spacing w:val="-3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EUR), w tym z krajami UE saldo osiągnęło poziom </w:t>
      </w:r>
      <w:r w:rsidR="005123CC" w:rsidRPr="001651EA">
        <w:rPr>
          <w:rFonts w:cs="Arial"/>
          <w:spacing w:val="-3"/>
        </w:rPr>
        <w:t>36</w:t>
      </w:r>
      <w:r w:rsidR="006058C1" w:rsidRPr="001651EA">
        <w:rPr>
          <w:rFonts w:cs="Arial"/>
        </w:rPr>
        <w:t>,</w:t>
      </w:r>
      <w:r w:rsidR="005123CC" w:rsidRPr="001651EA">
        <w:rPr>
          <w:rFonts w:cs="Arial"/>
        </w:rPr>
        <w:t>4</w:t>
      </w:r>
      <w:r w:rsidRPr="001651EA">
        <w:rPr>
          <w:rFonts w:cs="Arial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Pr="001651EA">
        <w:rPr>
          <w:rFonts w:cs="Arial"/>
          <w:spacing w:val="-3"/>
        </w:rPr>
        <w:t xml:space="preserve"> (</w:t>
      </w:r>
      <w:r w:rsidR="005123CC" w:rsidRPr="001651EA">
        <w:rPr>
          <w:rFonts w:cs="Arial"/>
          <w:spacing w:val="-3"/>
        </w:rPr>
        <w:t>9</w:t>
      </w:r>
      <w:r w:rsidR="008E7391" w:rsidRPr="001651EA">
        <w:rPr>
          <w:rFonts w:cs="Arial"/>
          <w:spacing w:val="-3"/>
        </w:rPr>
        <w:t>,</w:t>
      </w:r>
      <w:r w:rsidR="005123CC" w:rsidRPr="001651EA">
        <w:rPr>
          <w:rFonts w:cs="Arial"/>
          <w:spacing w:val="-3"/>
        </w:rPr>
        <w:t>6</w:t>
      </w:r>
      <w:r w:rsidR="00CC587A" w:rsidRPr="001651EA">
        <w:rPr>
          <w:rFonts w:cs="Arial"/>
          <w:spacing w:val="-3"/>
        </w:rPr>
        <w:t xml:space="preserve"> </w:t>
      </w:r>
      <w:r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Pr="001651EA">
        <w:rPr>
          <w:rFonts w:cs="Arial"/>
          <w:spacing w:val="-3"/>
        </w:rPr>
        <w:t xml:space="preserve"> USD, </w:t>
      </w:r>
      <w:r w:rsidR="005123CC" w:rsidRPr="001651EA">
        <w:rPr>
          <w:rFonts w:cs="Arial"/>
          <w:spacing w:val="-3"/>
        </w:rPr>
        <w:t>8</w:t>
      </w:r>
      <w:r w:rsidR="008E7391" w:rsidRPr="001651EA">
        <w:rPr>
          <w:rFonts w:cs="Arial"/>
          <w:spacing w:val="-3"/>
        </w:rPr>
        <w:t>,</w:t>
      </w:r>
      <w:r w:rsidR="005123CC" w:rsidRPr="001651EA">
        <w:rPr>
          <w:rFonts w:cs="Arial"/>
          <w:spacing w:val="-3"/>
        </w:rPr>
        <w:t>6</w:t>
      </w:r>
      <w:r w:rsidRPr="001651EA">
        <w:rPr>
          <w:rFonts w:cs="Arial"/>
        </w:rPr>
        <w:t> ml</w:t>
      </w:r>
      <w:r w:rsidR="00F70DA2" w:rsidRPr="001651EA">
        <w:rPr>
          <w:rFonts w:cs="Arial"/>
        </w:rPr>
        <w:t>d</w:t>
      </w:r>
      <w:r w:rsidRPr="001651EA">
        <w:rPr>
          <w:rFonts w:cs="Arial"/>
        </w:rPr>
        <w:t> EUR</w:t>
      </w:r>
      <w:r w:rsidRPr="001651EA">
        <w:rPr>
          <w:rFonts w:cs="Arial"/>
          <w:spacing w:val="-3"/>
        </w:rPr>
        <w:t>).</w:t>
      </w:r>
    </w:p>
    <w:p w:rsidR="00FD5DDE" w:rsidRDefault="00FD5DDE" w:rsidP="002D45CF">
      <w:pPr>
        <w:rPr>
          <w:rFonts w:cs="Arial"/>
          <w:spacing w:val="-3"/>
        </w:rPr>
      </w:pPr>
    </w:p>
    <w:p w:rsidR="00FD5DDE" w:rsidRDefault="00FD5DDE" w:rsidP="002D45CF">
      <w:pPr>
        <w:rPr>
          <w:rFonts w:cs="Arial"/>
          <w:spacing w:val="-3"/>
        </w:rPr>
      </w:pPr>
    </w:p>
    <w:p w:rsidR="0032506F" w:rsidRDefault="0032506F" w:rsidP="002D45CF">
      <w:pPr>
        <w:rPr>
          <w:rFonts w:cs="Arial"/>
          <w:b/>
          <w:spacing w:val="-3"/>
          <w:sz w:val="18"/>
          <w:szCs w:val="18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26"/>
        <w:gridCol w:w="717"/>
        <w:gridCol w:w="717"/>
        <w:gridCol w:w="717"/>
        <w:gridCol w:w="666"/>
        <w:gridCol w:w="656"/>
        <w:gridCol w:w="648"/>
      </w:tblGrid>
      <w:tr w:rsidR="0043023F" w:rsidRPr="00673305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4A171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4A1717">
              <w:rPr>
                <w:rFonts w:cs="Arial"/>
                <w:sz w:val="16"/>
                <w:szCs w:val="16"/>
              </w:rPr>
              <w:t xml:space="preserve"> – II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>20</w:t>
            </w:r>
            <w:r w:rsidR="00113D59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01</w:t>
            </w:r>
            <w:r w:rsidR="00113D5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113D59">
              <w:rPr>
                <w:rFonts w:cs="Arial"/>
                <w:sz w:val="16"/>
                <w:szCs w:val="16"/>
              </w:rPr>
              <w:t>20</w:t>
            </w:r>
          </w:p>
        </w:tc>
      </w:tr>
      <w:tr w:rsidR="0043023F" w:rsidRPr="00673305" w:rsidTr="00FE08D1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6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4A171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4A1717">
              <w:rPr>
                <w:rFonts w:cs="Arial"/>
                <w:sz w:val="16"/>
                <w:szCs w:val="16"/>
              </w:rPr>
              <w:t xml:space="preserve"> – II </w:t>
            </w:r>
            <w:r w:rsidRPr="00673305">
              <w:rPr>
                <w:rFonts w:cs="Arial"/>
                <w:sz w:val="16"/>
                <w:szCs w:val="16"/>
              </w:rPr>
              <w:t>201</w:t>
            </w:r>
            <w:r w:rsidR="00113D59">
              <w:rPr>
                <w:rFonts w:cs="Arial"/>
                <w:sz w:val="16"/>
                <w:szCs w:val="16"/>
              </w:rPr>
              <w:t>9</w:t>
            </w:r>
            <w:r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4A1717">
              <w:rPr>
                <w:rFonts w:cs="Arial"/>
                <w:sz w:val="16"/>
                <w:szCs w:val="16"/>
              </w:rPr>
              <w:t xml:space="preserve"> – II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3023F" w:rsidRPr="00673305" w:rsidTr="00FE08D1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4A1717" w:rsidRPr="00EC43AB" w:rsidTr="00E931C8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4A1717" w:rsidRPr="00E33A76" w:rsidRDefault="004A1717" w:rsidP="004A1717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169,5</w:t>
            </w:r>
          </w:p>
        </w:tc>
        <w:tc>
          <w:tcPr>
            <w:tcW w:w="72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44,3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39,9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A1717" w:rsidRPr="001651EA" w:rsidRDefault="004A1717" w:rsidP="004A1717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A1717" w:rsidRPr="001651EA" w:rsidRDefault="004A1717" w:rsidP="004A1717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4A1717" w:rsidRPr="00EC43AB" w:rsidTr="00E931C8">
        <w:trPr>
          <w:trHeight w:val="352"/>
        </w:trPr>
        <w:tc>
          <w:tcPr>
            <w:tcW w:w="2552" w:type="dxa"/>
            <w:vAlign w:val="center"/>
          </w:tcPr>
          <w:p w:rsidR="004A1717" w:rsidRPr="00E33A76" w:rsidRDefault="004A1717" w:rsidP="004A1717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147,0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38,4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88,4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A1717" w:rsidRPr="001651EA" w:rsidRDefault="004A1717" w:rsidP="0037178F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86,8</w:t>
            </w:r>
          </w:p>
        </w:tc>
      </w:tr>
      <w:tr w:rsidR="004A1717" w:rsidRPr="00EC43AB" w:rsidTr="00E931C8">
        <w:trPr>
          <w:trHeight w:val="342"/>
        </w:trPr>
        <w:tc>
          <w:tcPr>
            <w:tcW w:w="2552" w:type="dxa"/>
            <w:vAlign w:val="center"/>
          </w:tcPr>
          <w:p w:rsidR="004A1717" w:rsidRPr="00E33A76" w:rsidRDefault="004A1717" w:rsidP="004A1717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126,0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29,7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75,3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74,4</w:t>
            </w:r>
          </w:p>
        </w:tc>
      </w:tr>
      <w:tr w:rsidR="004A1717" w:rsidRPr="00EC43AB" w:rsidTr="00E931C8">
        <w:trPr>
          <w:trHeight w:val="270"/>
        </w:trPr>
        <w:tc>
          <w:tcPr>
            <w:tcW w:w="2552" w:type="dxa"/>
            <w:vAlign w:val="center"/>
          </w:tcPr>
          <w:p w:rsidR="004A1717" w:rsidRPr="00E33A76" w:rsidRDefault="004A1717" w:rsidP="004A1717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58,7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57,9</w:t>
            </w:r>
          </w:p>
        </w:tc>
      </w:tr>
      <w:tr w:rsidR="004A1717" w:rsidTr="00E931C8">
        <w:trPr>
          <w:trHeight w:val="342"/>
        </w:trPr>
        <w:tc>
          <w:tcPr>
            <w:tcW w:w="2552" w:type="dxa"/>
            <w:vAlign w:val="center"/>
          </w:tcPr>
          <w:p w:rsidR="004A1717" w:rsidRPr="00E33A76" w:rsidRDefault="004A1717" w:rsidP="004A1717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121,5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119,7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122,5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7,6</w:t>
            </w:r>
          </w:p>
        </w:tc>
      </w:tr>
      <w:tr w:rsidR="004A1717" w:rsidRPr="00E046E3" w:rsidTr="00E931C8">
        <w:trPr>
          <w:trHeight w:val="308"/>
        </w:trPr>
        <w:tc>
          <w:tcPr>
            <w:tcW w:w="2552" w:type="dxa"/>
            <w:vAlign w:val="center"/>
          </w:tcPr>
          <w:p w:rsidR="004A1717" w:rsidRPr="00E33A76" w:rsidRDefault="004A1717" w:rsidP="004A1717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112,7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111,0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113,6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A1717" w:rsidRPr="001651EA" w:rsidRDefault="004A1717" w:rsidP="004A1717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5,6</w:t>
            </w:r>
          </w:p>
        </w:tc>
      </w:tr>
      <w:tr w:rsidR="00C841A8" w:rsidRPr="00E33A76" w:rsidTr="00EB7EE9">
        <w:trPr>
          <w:trHeight w:val="342"/>
        </w:trPr>
        <w:tc>
          <w:tcPr>
            <w:tcW w:w="2552" w:type="dxa"/>
            <w:vAlign w:val="center"/>
          </w:tcPr>
          <w:p w:rsidR="00C841A8" w:rsidRPr="00A00ADB" w:rsidRDefault="00C841A8" w:rsidP="00C841A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164,2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38,6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41A8" w:rsidRPr="001651EA" w:rsidRDefault="00C841A8" w:rsidP="00C841A8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C841A8" w:rsidRPr="001651EA" w:rsidRDefault="00C841A8" w:rsidP="00C841A8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841A8" w:rsidRPr="002041C7" w:rsidTr="00EB7EE9">
        <w:trPr>
          <w:trHeight w:val="352"/>
        </w:trPr>
        <w:tc>
          <w:tcPr>
            <w:tcW w:w="2552" w:type="dxa"/>
            <w:vAlign w:val="center"/>
          </w:tcPr>
          <w:p w:rsidR="00C841A8" w:rsidRPr="00E33A76" w:rsidRDefault="00C841A8" w:rsidP="00C841A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27,7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24,9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66,2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841A8" w:rsidRPr="001651EA" w:rsidRDefault="00C841A8" w:rsidP="0037178F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64,5</w:t>
            </w:r>
            <w:r w:rsidR="002041C7" w:rsidRPr="001651EA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C841A8" w:rsidRPr="002041C7" w:rsidTr="00EB7EE9">
        <w:trPr>
          <w:trHeight w:val="342"/>
        </w:trPr>
        <w:tc>
          <w:tcPr>
            <w:tcW w:w="2552" w:type="dxa"/>
            <w:vAlign w:val="center"/>
          </w:tcPr>
          <w:p w:rsidR="00C841A8" w:rsidRPr="00E33A76" w:rsidRDefault="00C841A8" w:rsidP="00C841A8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89,6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56,4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54,6</w:t>
            </w:r>
          </w:p>
        </w:tc>
      </w:tr>
      <w:tr w:rsidR="00C841A8" w:rsidTr="00EB7EE9">
        <w:trPr>
          <w:trHeight w:val="352"/>
        </w:trPr>
        <w:tc>
          <w:tcPr>
            <w:tcW w:w="2552" w:type="dxa"/>
            <w:vAlign w:val="center"/>
          </w:tcPr>
          <w:p w:rsidR="00C841A8" w:rsidRPr="00E33A76" w:rsidRDefault="00C841A8" w:rsidP="00C841A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841A8" w:rsidRPr="001651EA" w:rsidRDefault="00C841A8" w:rsidP="0037178F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45,0</w:t>
            </w:r>
            <w:r w:rsidR="002041C7" w:rsidRPr="001651EA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C841A8" w:rsidRPr="002041C7" w:rsidTr="00EB7EE9">
        <w:trPr>
          <w:trHeight w:val="342"/>
        </w:trPr>
        <w:tc>
          <w:tcPr>
            <w:tcW w:w="2552" w:type="dxa"/>
            <w:vAlign w:val="center"/>
          </w:tcPr>
          <w:p w:rsidR="00C841A8" w:rsidRPr="00E33A76" w:rsidRDefault="00C841A8" w:rsidP="00C841A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26,2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27,6</w:t>
            </w:r>
          </w:p>
        </w:tc>
      </w:tr>
      <w:tr w:rsidR="00C841A8" w:rsidTr="00EB7EE9">
        <w:trPr>
          <w:trHeight w:val="355"/>
        </w:trPr>
        <w:tc>
          <w:tcPr>
            <w:tcW w:w="2552" w:type="dxa"/>
            <w:vAlign w:val="center"/>
          </w:tcPr>
          <w:p w:rsidR="00C841A8" w:rsidRPr="00E33A76" w:rsidRDefault="00C841A8" w:rsidP="00C841A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7,9</w:t>
            </w:r>
          </w:p>
        </w:tc>
      </w:tr>
      <w:tr w:rsidR="00C841A8" w:rsidRPr="00E33A76" w:rsidTr="00EB7EE9">
        <w:trPr>
          <w:trHeight w:val="342"/>
        </w:trPr>
        <w:tc>
          <w:tcPr>
            <w:tcW w:w="2552" w:type="dxa"/>
            <w:vAlign w:val="center"/>
          </w:tcPr>
          <w:p w:rsidR="00C841A8" w:rsidRPr="00E33A76" w:rsidRDefault="00C841A8" w:rsidP="00C841A8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b/>
                <w:bCs/>
                <w:color w:val="000000"/>
                <w:sz w:val="16"/>
                <w:szCs w:val="16"/>
              </w:rPr>
              <w:t>1,3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41A8" w:rsidRPr="001651EA" w:rsidRDefault="00CB0186" w:rsidP="00C841A8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41A8" w:rsidRPr="001651EA" w:rsidRDefault="00CB0186" w:rsidP="00C841A8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41A8" w:rsidRPr="001651EA" w:rsidRDefault="00CB0186" w:rsidP="00C841A8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41A8" w:rsidRPr="001651EA" w:rsidRDefault="00CB0186" w:rsidP="00C841A8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C841A8" w:rsidRPr="001651EA" w:rsidRDefault="00CB0186" w:rsidP="00C841A8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C841A8" w:rsidRPr="00E33A76" w:rsidTr="00EB7EE9">
        <w:trPr>
          <w:trHeight w:val="352"/>
        </w:trPr>
        <w:tc>
          <w:tcPr>
            <w:tcW w:w="2552" w:type="dxa"/>
            <w:vAlign w:val="center"/>
          </w:tcPr>
          <w:p w:rsidR="00C841A8" w:rsidRPr="00E33A76" w:rsidRDefault="00C841A8" w:rsidP="00C841A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1651EA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41,0</w:t>
            </w:r>
            <w:r w:rsidR="0037178F" w:rsidRPr="001651EA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41A8" w:rsidRPr="001651EA" w:rsidRDefault="00CB0186" w:rsidP="00C841A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41A8" w:rsidRPr="001651EA" w:rsidRDefault="00CB0186" w:rsidP="00C841A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41A8" w:rsidRPr="001651EA" w:rsidRDefault="00CB0186" w:rsidP="00C841A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41A8" w:rsidRPr="001651EA" w:rsidRDefault="00CB0186" w:rsidP="00C841A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C841A8" w:rsidRPr="001651EA" w:rsidRDefault="00CB0186" w:rsidP="00C841A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C841A8" w:rsidRPr="00E33A76" w:rsidTr="00EB7EE9">
        <w:trPr>
          <w:trHeight w:val="342"/>
        </w:trPr>
        <w:tc>
          <w:tcPr>
            <w:tcW w:w="2552" w:type="dxa"/>
            <w:vAlign w:val="center"/>
          </w:tcPr>
          <w:p w:rsidR="00C841A8" w:rsidRPr="00E33A76" w:rsidRDefault="00C841A8" w:rsidP="00C841A8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1651EA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9,6</w:t>
            </w:r>
            <w:r w:rsidR="00312B00" w:rsidRPr="001651EA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41A8" w:rsidRPr="001651EA" w:rsidRDefault="00CB0186" w:rsidP="00C841A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41A8" w:rsidRPr="001651EA" w:rsidRDefault="00CB0186" w:rsidP="00C841A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41A8" w:rsidRPr="001651EA" w:rsidRDefault="00CB0186" w:rsidP="00C841A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41A8" w:rsidRPr="001651EA" w:rsidRDefault="00CB0186" w:rsidP="00C841A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C841A8" w:rsidRPr="001651EA" w:rsidRDefault="00CB0186" w:rsidP="00C841A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C841A8" w:rsidRPr="00E33A76" w:rsidTr="00EB7EE9">
        <w:trPr>
          <w:trHeight w:val="352"/>
        </w:trPr>
        <w:tc>
          <w:tcPr>
            <w:tcW w:w="2552" w:type="dxa"/>
            <w:vAlign w:val="center"/>
          </w:tcPr>
          <w:p w:rsidR="00C841A8" w:rsidRPr="00E33A76" w:rsidRDefault="00C841A8" w:rsidP="00C841A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1651EA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24,2</w:t>
            </w:r>
            <w:r w:rsidR="0037178F" w:rsidRPr="001651EA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1651EA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41A8" w:rsidRPr="001651EA" w:rsidRDefault="00CB0186" w:rsidP="00C841A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41A8" w:rsidRPr="001651EA" w:rsidRDefault="00CB0186" w:rsidP="00C841A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41A8" w:rsidRPr="001651EA" w:rsidRDefault="00CB0186" w:rsidP="00C841A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41A8" w:rsidRPr="001651EA" w:rsidRDefault="00CB0186" w:rsidP="00C841A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C841A8" w:rsidRPr="001651EA" w:rsidRDefault="00CB0186" w:rsidP="00C841A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C841A8" w:rsidRPr="00E33A76" w:rsidTr="00EB7EE9">
        <w:trPr>
          <w:trHeight w:val="342"/>
        </w:trPr>
        <w:tc>
          <w:tcPr>
            <w:tcW w:w="2552" w:type="dxa"/>
            <w:vAlign w:val="center"/>
          </w:tcPr>
          <w:p w:rsidR="00C841A8" w:rsidRPr="00E33A76" w:rsidRDefault="00C841A8" w:rsidP="00C841A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-32,4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1651EA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-8,4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1651EA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-7,7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41A8" w:rsidRPr="001651EA" w:rsidRDefault="00CB0186" w:rsidP="00C841A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41A8" w:rsidRPr="001651EA" w:rsidRDefault="00CB0186" w:rsidP="00C841A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41A8" w:rsidRPr="001651EA" w:rsidRDefault="00CB0186" w:rsidP="00C841A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841A8" w:rsidRPr="001651EA" w:rsidRDefault="00CB0186" w:rsidP="00C841A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C841A8" w:rsidRPr="001651EA" w:rsidRDefault="00CB0186" w:rsidP="00C841A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C841A8" w:rsidRPr="00E33A76" w:rsidTr="00EB7EE9">
        <w:trPr>
          <w:trHeight w:val="258"/>
        </w:trPr>
        <w:tc>
          <w:tcPr>
            <w:tcW w:w="2552" w:type="dxa"/>
            <w:vAlign w:val="center"/>
          </w:tcPr>
          <w:p w:rsidR="00C841A8" w:rsidRPr="00E33A76" w:rsidRDefault="00C841A8" w:rsidP="00C841A8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-3,3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C841A8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-0,9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C841A8" w:rsidRPr="001651EA" w:rsidRDefault="00C841A8" w:rsidP="001651EA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1EA">
              <w:rPr>
                <w:rFonts w:cs="Arial"/>
                <w:color w:val="000000"/>
                <w:sz w:val="16"/>
                <w:szCs w:val="16"/>
              </w:rPr>
              <w:t>-0,7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C841A8" w:rsidRPr="001651EA" w:rsidRDefault="00CB0186" w:rsidP="00C841A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C841A8" w:rsidRPr="001651EA" w:rsidRDefault="00CB0186" w:rsidP="00C841A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C841A8" w:rsidRPr="001651EA" w:rsidRDefault="00CB0186" w:rsidP="00C841A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C841A8" w:rsidRPr="001651EA" w:rsidRDefault="00CB0186" w:rsidP="00C841A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41A8" w:rsidRPr="001651EA" w:rsidRDefault="00CB0186" w:rsidP="00C841A8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7D86B06F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1EA" w:rsidRDefault="001651EA" w:rsidP="00345F7C">
                            <w:pPr>
                              <w:pStyle w:val="tekstzboku"/>
                            </w:pPr>
                          </w:p>
                          <w:p w:rsidR="001651EA" w:rsidRDefault="001651EA" w:rsidP="00345F7C">
                            <w:pPr>
                              <w:pStyle w:val="tekstzboku"/>
                            </w:pPr>
                          </w:p>
                          <w:p w:rsidR="001651EA" w:rsidRDefault="001651EA" w:rsidP="00345F7C">
                            <w:pPr>
                              <w:pStyle w:val="tekstzboku"/>
                            </w:pPr>
                          </w:p>
                          <w:p w:rsidR="001651EA" w:rsidRDefault="001651EA" w:rsidP="00345F7C">
                            <w:pPr>
                              <w:pStyle w:val="tekstzboku"/>
                            </w:pPr>
                          </w:p>
                          <w:p w:rsidR="001651EA" w:rsidRDefault="001651EA" w:rsidP="00345F7C">
                            <w:pPr>
                              <w:pStyle w:val="tekstzboku"/>
                            </w:pPr>
                          </w:p>
                          <w:p w:rsidR="001651EA" w:rsidRDefault="001651EA" w:rsidP="00345F7C">
                            <w:pPr>
                              <w:pStyle w:val="tekstzboku"/>
                            </w:pPr>
                          </w:p>
                          <w:p w:rsidR="001651EA" w:rsidRDefault="001651EA" w:rsidP="00345F7C">
                            <w:pPr>
                              <w:pStyle w:val="tekstzboku"/>
                            </w:pPr>
                          </w:p>
                          <w:p w:rsidR="001651EA" w:rsidRDefault="001651EA" w:rsidP="00345F7C">
                            <w:pPr>
                              <w:pStyle w:val="tekstzboku"/>
                            </w:pPr>
                          </w:p>
                          <w:p w:rsidR="001651EA" w:rsidRDefault="001651EA" w:rsidP="00345F7C">
                            <w:pPr>
                              <w:pStyle w:val="tekstzboku"/>
                            </w:pPr>
                          </w:p>
                          <w:p w:rsidR="001651EA" w:rsidRDefault="001651EA" w:rsidP="00345F7C">
                            <w:pPr>
                              <w:pStyle w:val="tekstzboku"/>
                            </w:pPr>
                          </w:p>
                          <w:p w:rsidR="001651EA" w:rsidRDefault="001651EA" w:rsidP="00345F7C">
                            <w:pPr>
                              <w:pStyle w:val="tekstzboku"/>
                            </w:pPr>
                          </w:p>
                          <w:p w:rsidR="001651EA" w:rsidRDefault="001651EA" w:rsidP="00345F7C">
                            <w:pPr>
                              <w:pStyle w:val="tekstzboku"/>
                            </w:pPr>
                          </w:p>
                          <w:p w:rsidR="001651EA" w:rsidRDefault="001651EA" w:rsidP="00345F7C">
                            <w:pPr>
                              <w:pStyle w:val="tekstzboku"/>
                            </w:pPr>
                          </w:p>
                          <w:p w:rsidR="001651EA" w:rsidRDefault="001651EA" w:rsidP="00345F7C">
                            <w:pPr>
                              <w:pStyle w:val="tekstzboku"/>
                            </w:pPr>
                          </w:p>
                          <w:p w:rsidR="001651EA" w:rsidRDefault="001651EA" w:rsidP="00345F7C">
                            <w:pPr>
                              <w:pStyle w:val="tekstzboku"/>
                            </w:pPr>
                          </w:p>
                          <w:p w:rsidR="001651EA" w:rsidRDefault="001651EA" w:rsidP="00345F7C">
                            <w:pPr>
                              <w:pStyle w:val="tekstzboku"/>
                            </w:pPr>
                          </w:p>
                          <w:p w:rsidR="001651EA" w:rsidRDefault="001651EA" w:rsidP="00345F7C">
                            <w:pPr>
                              <w:pStyle w:val="tekstzboku"/>
                            </w:pPr>
                          </w:p>
                          <w:p w:rsidR="001651EA" w:rsidRDefault="001651EA" w:rsidP="00345F7C">
                            <w:pPr>
                              <w:pStyle w:val="tekstzboku"/>
                            </w:pPr>
                          </w:p>
                          <w:p w:rsidR="001651EA" w:rsidRDefault="001651EA" w:rsidP="00345F7C">
                            <w:pPr>
                              <w:pStyle w:val="tekstzboku"/>
                            </w:pPr>
                          </w:p>
                          <w:p w:rsidR="001651EA" w:rsidRDefault="001651EA" w:rsidP="00345F7C">
                            <w:pPr>
                              <w:pStyle w:val="tekstzboku"/>
                            </w:pPr>
                          </w:p>
                          <w:p w:rsidR="001651EA" w:rsidRDefault="001651EA" w:rsidP="00345F7C">
                            <w:pPr>
                              <w:pStyle w:val="tekstzboku"/>
                            </w:pPr>
                          </w:p>
                          <w:p w:rsidR="001651EA" w:rsidRDefault="001651EA" w:rsidP="00345F7C">
                            <w:pPr>
                              <w:pStyle w:val="tekstzboku"/>
                            </w:pPr>
                          </w:p>
                          <w:p w:rsidR="001651EA" w:rsidRDefault="001651EA" w:rsidP="00345F7C">
                            <w:pPr>
                              <w:pStyle w:val="tekstzboku"/>
                            </w:pPr>
                          </w:p>
                          <w:p w:rsidR="001651EA" w:rsidRDefault="001651EA" w:rsidP="00345F7C">
                            <w:pPr>
                              <w:pStyle w:val="tekstzboku"/>
                            </w:pPr>
                          </w:p>
                          <w:p w:rsidR="001651EA" w:rsidRDefault="001651EA" w:rsidP="00345F7C">
                            <w:pPr>
                              <w:pStyle w:val="tekstzboku"/>
                            </w:pPr>
                          </w:p>
                          <w:p w:rsidR="001651EA" w:rsidRDefault="001651EA" w:rsidP="00345F7C">
                            <w:pPr>
                              <w:pStyle w:val="tekstzboku"/>
                            </w:pPr>
                          </w:p>
                          <w:p w:rsidR="001651EA" w:rsidRDefault="001651EA" w:rsidP="00345F7C">
                            <w:pPr>
                              <w:pStyle w:val="tekstzboku"/>
                            </w:pPr>
                          </w:p>
                          <w:p w:rsidR="001651EA" w:rsidRPr="00074DD8" w:rsidRDefault="001651EA" w:rsidP="00345F7C">
                            <w:pPr>
                              <w:pStyle w:val="tekstzboku"/>
                            </w:pPr>
                          </w:p>
                          <w:p w:rsidR="001651EA" w:rsidRPr="00D616D2" w:rsidRDefault="001651EA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1651EA" w:rsidRDefault="001651EA" w:rsidP="00345F7C">
                      <w:pPr>
                        <w:pStyle w:val="tekstzboku"/>
                      </w:pPr>
                    </w:p>
                    <w:p w:rsidR="001651EA" w:rsidRDefault="001651EA" w:rsidP="00345F7C">
                      <w:pPr>
                        <w:pStyle w:val="tekstzboku"/>
                      </w:pPr>
                    </w:p>
                    <w:p w:rsidR="001651EA" w:rsidRDefault="001651EA" w:rsidP="00345F7C">
                      <w:pPr>
                        <w:pStyle w:val="tekstzboku"/>
                      </w:pPr>
                    </w:p>
                    <w:p w:rsidR="001651EA" w:rsidRDefault="001651EA" w:rsidP="00345F7C">
                      <w:pPr>
                        <w:pStyle w:val="tekstzboku"/>
                      </w:pPr>
                    </w:p>
                    <w:p w:rsidR="001651EA" w:rsidRDefault="001651EA" w:rsidP="00345F7C">
                      <w:pPr>
                        <w:pStyle w:val="tekstzboku"/>
                      </w:pPr>
                    </w:p>
                    <w:p w:rsidR="001651EA" w:rsidRDefault="001651EA" w:rsidP="00345F7C">
                      <w:pPr>
                        <w:pStyle w:val="tekstzboku"/>
                      </w:pPr>
                    </w:p>
                    <w:p w:rsidR="001651EA" w:rsidRDefault="001651EA" w:rsidP="00345F7C">
                      <w:pPr>
                        <w:pStyle w:val="tekstzboku"/>
                      </w:pPr>
                    </w:p>
                    <w:p w:rsidR="001651EA" w:rsidRDefault="001651EA" w:rsidP="00345F7C">
                      <w:pPr>
                        <w:pStyle w:val="tekstzboku"/>
                      </w:pPr>
                    </w:p>
                    <w:p w:rsidR="001651EA" w:rsidRDefault="001651EA" w:rsidP="00345F7C">
                      <w:pPr>
                        <w:pStyle w:val="tekstzboku"/>
                      </w:pPr>
                    </w:p>
                    <w:p w:rsidR="001651EA" w:rsidRDefault="001651EA" w:rsidP="00345F7C">
                      <w:pPr>
                        <w:pStyle w:val="tekstzboku"/>
                      </w:pPr>
                    </w:p>
                    <w:p w:rsidR="001651EA" w:rsidRDefault="001651EA" w:rsidP="00345F7C">
                      <w:pPr>
                        <w:pStyle w:val="tekstzboku"/>
                      </w:pPr>
                    </w:p>
                    <w:p w:rsidR="001651EA" w:rsidRDefault="001651EA" w:rsidP="00345F7C">
                      <w:pPr>
                        <w:pStyle w:val="tekstzboku"/>
                      </w:pPr>
                    </w:p>
                    <w:p w:rsidR="001651EA" w:rsidRDefault="001651EA" w:rsidP="00345F7C">
                      <w:pPr>
                        <w:pStyle w:val="tekstzboku"/>
                      </w:pPr>
                    </w:p>
                    <w:p w:rsidR="001651EA" w:rsidRDefault="001651EA" w:rsidP="00345F7C">
                      <w:pPr>
                        <w:pStyle w:val="tekstzboku"/>
                      </w:pPr>
                    </w:p>
                    <w:p w:rsidR="001651EA" w:rsidRDefault="001651EA" w:rsidP="00345F7C">
                      <w:pPr>
                        <w:pStyle w:val="tekstzboku"/>
                      </w:pPr>
                    </w:p>
                    <w:p w:rsidR="001651EA" w:rsidRDefault="001651EA" w:rsidP="00345F7C">
                      <w:pPr>
                        <w:pStyle w:val="tekstzboku"/>
                      </w:pPr>
                    </w:p>
                    <w:p w:rsidR="001651EA" w:rsidRDefault="001651EA" w:rsidP="00345F7C">
                      <w:pPr>
                        <w:pStyle w:val="tekstzboku"/>
                      </w:pPr>
                    </w:p>
                    <w:p w:rsidR="001651EA" w:rsidRDefault="001651EA" w:rsidP="00345F7C">
                      <w:pPr>
                        <w:pStyle w:val="tekstzboku"/>
                      </w:pPr>
                    </w:p>
                    <w:p w:rsidR="001651EA" w:rsidRDefault="001651EA" w:rsidP="00345F7C">
                      <w:pPr>
                        <w:pStyle w:val="tekstzboku"/>
                      </w:pPr>
                    </w:p>
                    <w:p w:rsidR="001651EA" w:rsidRDefault="001651EA" w:rsidP="00345F7C">
                      <w:pPr>
                        <w:pStyle w:val="tekstzboku"/>
                      </w:pPr>
                    </w:p>
                    <w:p w:rsidR="001651EA" w:rsidRDefault="001651EA" w:rsidP="00345F7C">
                      <w:pPr>
                        <w:pStyle w:val="tekstzboku"/>
                      </w:pPr>
                    </w:p>
                    <w:p w:rsidR="001651EA" w:rsidRDefault="001651EA" w:rsidP="00345F7C">
                      <w:pPr>
                        <w:pStyle w:val="tekstzboku"/>
                      </w:pPr>
                    </w:p>
                    <w:p w:rsidR="001651EA" w:rsidRDefault="001651EA" w:rsidP="00345F7C">
                      <w:pPr>
                        <w:pStyle w:val="tekstzboku"/>
                      </w:pPr>
                    </w:p>
                    <w:p w:rsidR="001651EA" w:rsidRDefault="001651EA" w:rsidP="00345F7C">
                      <w:pPr>
                        <w:pStyle w:val="tekstzboku"/>
                      </w:pPr>
                    </w:p>
                    <w:p w:rsidR="001651EA" w:rsidRDefault="001651EA" w:rsidP="00345F7C">
                      <w:pPr>
                        <w:pStyle w:val="tekstzboku"/>
                      </w:pPr>
                    </w:p>
                    <w:p w:rsidR="001651EA" w:rsidRDefault="001651EA" w:rsidP="00345F7C">
                      <w:pPr>
                        <w:pStyle w:val="tekstzboku"/>
                      </w:pPr>
                    </w:p>
                    <w:p w:rsidR="001651EA" w:rsidRDefault="001651EA" w:rsidP="00345F7C">
                      <w:pPr>
                        <w:pStyle w:val="tekstzboku"/>
                      </w:pPr>
                    </w:p>
                    <w:p w:rsidR="001651EA" w:rsidRPr="00074DD8" w:rsidRDefault="001651EA" w:rsidP="00345F7C">
                      <w:pPr>
                        <w:pStyle w:val="tekstzboku"/>
                      </w:pPr>
                    </w:p>
                    <w:p w:rsidR="001651EA" w:rsidRPr="00D616D2" w:rsidRDefault="001651EA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951F4F" w:rsidRDefault="0000469F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 w:rsidRPr="001651EA">
        <w:rPr>
          <w:rFonts w:cs="Arial"/>
        </w:rPr>
        <w:t>W</w:t>
      </w:r>
      <w:r w:rsidR="00A76427" w:rsidRPr="001651EA">
        <w:rPr>
          <w:rFonts w:cs="Arial"/>
        </w:rPr>
        <w:t xml:space="preserve"> okresie </w:t>
      </w:r>
      <w:r w:rsidRPr="001651EA">
        <w:rPr>
          <w:rFonts w:cs="Arial"/>
          <w:szCs w:val="19"/>
        </w:rPr>
        <w:t>stycz</w:t>
      </w:r>
      <w:r w:rsidR="00A76427" w:rsidRPr="001651EA">
        <w:rPr>
          <w:rFonts w:cs="Arial"/>
          <w:szCs w:val="19"/>
        </w:rPr>
        <w:t>eń - luty</w:t>
      </w:r>
      <w:r w:rsidRPr="001651EA">
        <w:rPr>
          <w:rFonts w:cs="Arial"/>
          <w:szCs w:val="19"/>
        </w:rPr>
        <w:t xml:space="preserve"> br. wśród głównych partnerów handlowych Polski odnotowano wzrost eksportu do Francji</w:t>
      </w:r>
      <w:r w:rsidR="00A76427" w:rsidRPr="001651EA">
        <w:rPr>
          <w:rFonts w:cs="Arial"/>
          <w:szCs w:val="19"/>
        </w:rPr>
        <w:t>,</w:t>
      </w:r>
      <w:r w:rsidRPr="001651EA">
        <w:rPr>
          <w:rFonts w:cs="Arial"/>
          <w:szCs w:val="19"/>
        </w:rPr>
        <w:t xml:space="preserve"> </w:t>
      </w:r>
      <w:r w:rsidR="00A76427" w:rsidRPr="001651EA">
        <w:rPr>
          <w:rFonts w:cs="Arial"/>
          <w:szCs w:val="19"/>
        </w:rPr>
        <w:t xml:space="preserve">Hiszpanii, Rosji, Włoch, Czech </w:t>
      </w:r>
      <w:r w:rsidRPr="001651EA">
        <w:rPr>
          <w:rFonts w:cs="Arial"/>
          <w:szCs w:val="19"/>
        </w:rPr>
        <w:t xml:space="preserve">i Stanów Zjednoczonych, a importu – </w:t>
      </w:r>
      <w:r w:rsidR="00A76427" w:rsidRPr="001651EA">
        <w:rPr>
          <w:rFonts w:cs="Arial"/>
          <w:szCs w:val="19"/>
        </w:rPr>
        <w:t xml:space="preserve">z Korei Południowej, </w:t>
      </w:r>
      <w:r w:rsidRPr="001651EA">
        <w:rPr>
          <w:rFonts w:cs="Arial"/>
          <w:szCs w:val="19"/>
        </w:rPr>
        <w:t xml:space="preserve">ze Stanów Zjednoczonych, </w:t>
      </w:r>
      <w:r w:rsidR="00B61CA8" w:rsidRPr="001651EA">
        <w:rPr>
          <w:rFonts w:cs="Arial"/>
          <w:szCs w:val="19"/>
        </w:rPr>
        <w:t xml:space="preserve">z Rosji </w:t>
      </w:r>
      <w:r w:rsidRPr="001651EA">
        <w:rPr>
          <w:rFonts w:cs="Arial"/>
          <w:szCs w:val="19"/>
        </w:rPr>
        <w:t>oraz</w:t>
      </w:r>
      <w:r w:rsidR="00B61CA8" w:rsidRPr="001651EA">
        <w:rPr>
          <w:rFonts w:cs="Arial"/>
          <w:szCs w:val="19"/>
        </w:rPr>
        <w:t xml:space="preserve"> Chin</w:t>
      </w:r>
      <w:r w:rsidRPr="001651EA">
        <w:rPr>
          <w:rFonts w:cs="Arial"/>
          <w:szCs w:val="19"/>
        </w:rPr>
        <w:t>.</w:t>
      </w:r>
    </w:p>
    <w:p w:rsidR="00345F7C" w:rsidRPr="001651EA" w:rsidRDefault="00E64E91" w:rsidP="00366025">
      <w:pPr>
        <w:rPr>
          <w:rFonts w:cs="Arial"/>
        </w:rPr>
      </w:pPr>
      <w:r w:rsidRPr="00483835">
        <w:rPr>
          <w:rFonts w:cs="Arial"/>
        </w:rPr>
        <w:t xml:space="preserve">Obroty z pierwszą dziesiątką naszych partnerów handlowych </w:t>
      </w:r>
      <w:r w:rsidRPr="001651EA">
        <w:rPr>
          <w:rFonts w:cs="Arial"/>
        </w:rPr>
        <w:t>stanowiły 6</w:t>
      </w:r>
      <w:r w:rsidR="00857C7E" w:rsidRPr="001651EA">
        <w:rPr>
          <w:rFonts w:cs="Arial"/>
        </w:rPr>
        <w:t>5</w:t>
      </w:r>
      <w:r w:rsidRPr="001651EA">
        <w:rPr>
          <w:rFonts w:cs="Arial"/>
        </w:rPr>
        <w:t>,</w:t>
      </w:r>
      <w:r w:rsidR="00857C7E" w:rsidRPr="001651EA">
        <w:rPr>
          <w:rFonts w:cs="Arial"/>
        </w:rPr>
        <w:t>8</w:t>
      </w:r>
      <w:r w:rsidRPr="001651EA">
        <w:rPr>
          <w:rFonts w:cs="Arial"/>
        </w:rPr>
        <w:t>% eksportu (w </w:t>
      </w:r>
      <w:r w:rsidR="00225101" w:rsidRPr="001651EA">
        <w:rPr>
          <w:rFonts w:cs="Arial"/>
        </w:rPr>
        <w:t>analogicznym okresie ub.</w:t>
      </w:r>
      <w:r w:rsidRPr="001651EA">
        <w:rPr>
          <w:rFonts w:cs="Arial"/>
        </w:rPr>
        <w:t xml:space="preserve"> r. 6</w:t>
      </w:r>
      <w:r w:rsidR="00857C7E" w:rsidRPr="001651EA">
        <w:rPr>
          <w:rFonts w:cs="Arial"/>
        </w:rPr>
        <w:t>7</w:t>
      </w:r>
      <w:r w:rsidRPr="001651EA">
        <w:rPr>
          <w:rFonts w:cs="Arial"/>
        </w:rPr>
        <w:t>,</w:t>
      </w:r>
      <w:r w:rsidR="00857C7E" w:rsidRPr="001651EA">
        <w:rPr>
          <w:rFonts w:cs="Arial"/>
        </w:rPr>
        <w:t>6</w:t>
      </w:r>
      <w:r w:rsidRPr="001651EA">
        <w:rPr>
          <w:rFonts w:cs="Arial"/>
        </w:rPr>
        <w:t xml:space="preserve">%), a importu ogółem – </w:t>
      </w:r>
      <w:r w:rsidR="004260F2" w:rsidRPr="001651EA">
        <w:rPr>
          <w:rFonts w:cs="Arial"/>
        </w:rPr>
        <w:t>6</w:t>
      </w:r>
      <w:r w:rsidR="00225101" w:rsidRPr="001651EA">
        <w:rPr>
          <w:rFonts w:cs="Arial"/>
        </w:rPr>
        <w:t>4</w:t>
      </w:r>
      <w:r w:rsidRPr="001651EA">
        <w:rPr>
          <w:rFonts w:cs="Arial"/>
        </w:rPr>
        <w:t>,</w:t>
      </w:r>
      <w:r w:rsidR="00857C7E" w:rsidRPr="001651EA">
        <w:rPr>
          <w:rFonts w:cs="Arial"/>
        </w:rPr>
        <w:t>7</w:t>
      </w:r>
      <w:r w:rsidRPr="001651EA">
        <w:rPr>
          <w:rFonts w:cs="Arial"/>
        </w:rPr>
        <w:t xml:space="preserve">% (wobec </w:t>
      </w:r>
      <w:r w:rsidR="00672129" w:rsidRPr="001651EA">
        <w:rPr>
          <w:rFonts w:cs="Arial"/>
        </w:rPr>
        <w:t>64,</w:t>
      </w:r>
      <w:r w:rsidR="00857C7E" w:rsidRPr="001651EA">
        <w:rPr>
          <w:rFonts w:cs="Arial"/>
        </w:rPr>
        <w:t>2</w:t>
      </w:r>
      <w:r w:rsidRPr="001651EA">
        <w:rPr>
          <w:rFonts w:cs="Arial"/>
        </w:rPr>
        <w:t xml:space="preserve">% w </w:t>
      </w:r>
      <w:r w:rsidR="00225101" w:rsidRPr="001651EA">
        <w:rPr>
          <w:rFonts w:cs="Arial"/>
        </w:rPr>
        <w:t xml:space="preserve">styczniu </w:t>
      </w:r>
      <w:r w:rsidR="00857C7E" w:rsidRPr="001651EA">
        <w:rPr>
          <w:rFonts w:cs="Arial"/>
        </w:rPr>
        <w:t xml:space="preserve">– lutym </w:t>
      </w:r>
      <w:r w:rsidRPr="001651EA">
        <w:rPr>
          <w:rFonts w:cs="Arial"/>
        </w:rPr>
        <w:t>201</w:t>
      </w:r>
      <w:r w:rsidR="00225101" w:rsidRPr="001651EA">
        <w:rPr>
          <w:rFonts w:cs="Arial"/>
        </w:rPr>
        <w:t>9</w:t>
      </w:r>
      <w:r w:rsidRPr="001651EA">
        <w:rPr>
          <w:rFonts w:cs="Arial"/>
        </w:rPr>
        <w:t xml:space="preserve"> r.).</w:t>
      </w:r>
    </w:p>
    <w:p w:rsidR="0043023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1651EA">
        <w:rPr>
          <w:rFonts w:cs="Arial"/>
          <w:szCs w:val="19"/>
        </w:rPr>
        <w:t xml:space="preserve">Udział Niemiec w eksporcie </w:t>
      </w:r>
      <w:r w:rsidR="00483835" w:rsidRPr="001651EA">
        <w:rPr>
          <w:rFonts w:cs="Arial"/>
          <w:szCs w:val="19"/>
        </w:rPr>
        <w:t>obniżył się w porównaniu z</w:t>
      </w:r>
      <w:r w:rsidR="00225101" w:rsidRPr="001651EA">
        <w:rPr>
          <w:rFonts w:cs="Arial"/>
          <w:szCs w:val="19"/>
        </w:rPr>
        <w:t xml:space="preserve"> </w:t>
      </w:r>
      <w:r w:rsidR="00CF7E1E" w:rsidRPr="001651EA">
        <w:rPr>
          <w:rFonts w:cs="Arial"/>
          <w:szCs w:val="19"/>
        </w:rPr>
        <w:t>analogicznym okresem ub. r.</w:t>
      </w:r>
      <w:r w:rsidR="00483835" w:rsidRPr="001651EA">
        <w:rPr>
          <w:rFonts w:cs="Arial"/>
          <w:szCs w:val="19"/>
        </w:rPr>
        <w:t xml:space="preserve"> </w:t>
      </w:r>
      <w:r w:rsidR="00483835" w:rsidRPr="001651EA">
        <w:rPr>
          <w:szCs w:val="19"/>
        </w:rPr>
        <w:t>o </w:t>
      </w:r>
      <w:r w:rsidR="005F30EE" w:rsidRPr="001651EA">
        <w:rPr>
          <w:szCs w:val="19"/>
        </w:rPr>
        <w:t>1,</w:t>
      </w:r>
      <w:r w:rsidR="00CF7E1E" w:rsidRPr="001651EA">
        <w:rPr>
          <w:szCs w:val="19"/>
        </w:rPr>
        <w:t>3</w:t>
      </w:r>
      <w:r w:rsidR="00483835" w:rsidRPr="001651EA">
        <w:rPr>
          <w:rFonts w:cs="Arial"/>
          <w:szCs w:val="19"/>
        </w:rPr>
        <w:t xml:space="preserve"> p. proc. i wyniósł </w:t>
      </w:r>
      <w:r w:rsidR="00B62719" w:rsidRPr="001651EA">
        <w:rPr>
          <w:rFonts w:cs="Arial"/>
          <w:szCs w:val="19"/>
        </w:rPr>
        <w:t>2</w:t>
      </w:r>
      <w:r w:rsidR="00CF7E1E" w:rsidRPr="001651EA">
        <w:rPr>
          <w:rFonts w:cs="Arial"/>
          <w:szCs w:val="19"/>
        </w:rPr>
        <w:t>7</w:t>
      </w:r>
      <w:r w:rsidR="00B62719" w:rsidRPr="001651EA">
        <w:rPr>
          <w:rFonts w:cs="Arial"/>
          <w:szCs w:val="19"/>
        </w:rPr>
        <w:t>,</w:t>
      </w:r>
      <w:r w:rsidR="00CF7E1E" w:rsidRPr="001651EA">
        <w:rPr>
          <w:rFonts w:cs="Arial"/>
          <w:szCs w:val="19"/>
        </w:rPr>
        <w:t>0</w:t>
      </w:r>
      <w:r w:rsidR="00483835" w:rsidRPr="001651EA">
        <w:rPr>
          <w:rFonts w:cs="Arial"/>
          <w:szCs w:val="19"/>
        </w:rPr>
        <w:t>%</w:t>
      </w:r>
      <w:r w:rsidRPr="001651EA">
        <w:rPr>
          <w:rFonts w:cs="Arial"/>
          <w:szCs w:val="19"/>
        </w:rPr>
        <w:t xml:space="preserve">, a w imporcie o </w:t>
      </w:r>
      <w:r w:rsidR="00CF7E1E" w:rsidRPr="001651EA">
        <w:rPr>
          <w:rFonts w:cs="Arial"/>
          <w:szCs w:val="19"/>
        </w:rPr>
        <w:t>0,9</w:t>
      </w:r>
      <w:r w:rsidRPr="001651EA">
        <w:rPr>
          <w:rFonts w:cs="Arial"/>
          <w:szCs w:val="19"/>
        </w:rPr>
        <w:t xml:space="preserve"> p. proc</w:t>
      </w:r>
      <w:r w:rsidR="00772D14" w:rsidRPr="001651EA">
        <w:rPr>
          <w:rFonts w:cs="Arial"/>
          <w:szCs w:val="19"/>
        </w:rPr>
        <w:t>.</w:t>
      </w:r>
      <w:r w:rsidRPr="001651EA">
        <w:rPr>
          <w:rFonts w:cs="Arial"/>
          <w:szCs w:val="19"/>
        </w:rPr>
        <w:t xml:space="preserve"> i stanowił </w:t>
      </w:r>
      <w:r w:rsidR="00672129" w:rsidRPr="001651EA">
        <w:rPr>
          <w:rFonts w:cs="Arial"/>
          <w:szCs w:val="19"/>
        </w:rPr>
        <w:t>2</w:t>
      </w:r>
      <w:r w:rsidR="00CF7E1E" w:rsidRPr="001651EA">
        <w:rPr>
          <w:rFonts w:cs="Arial"/>
          <w:szCs w:val="19"/>
        </w:rPr>
        <w:t>1</w:t>
      </w:r>
      <w:r w:rsidR="00672129" w:rsidRPr="001651EA">
        <w:rPr>
          <w:rFonts w:cs="Arial"/>
          <w:szCs w:val="19"/>
        </w:rPr>
        <w:t>,</w:t>
      </w:r>
      <w:r w:rsidR="00CF7E1E" w:rsidRPr="001651EA">
        <w:rPr>
          <w:rFonts w:cs="Arial"/>
          <w:szCs w:val="19"/>
        </w:rPr>
        <w:t>7</w:t>
      </w:r>
      <w:r w:rsidRPr="001651EA">
        <w:rPr>
          <w:rFonts w:cs="Arial"/>
          <w:szCs w:val="19"/>
        </w:rPr>
        <w:t xml:space="preserve">%. Dodatnie saldo wyniosło </w:t>
      </w:r>
      <w:r w:rsidR="00CF7E1E" w:rsidRPr="001651EA">
        <w:rPr>
          <w:rFonts w:cs="Arial"/>
          <w:szCs w:val="19"/>
        </w:rPr>
        <w:t>10,2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</w:t>
      </w:r>
      <w:r w:rsidR="00A52A97" w:rsidRPr="001651EA">
        <w:rPr>
          <w:rFonts w:cs="Arial"/>
          <w:szCs w:val="19"/>
        </w:rPr>
        <w:t>PLN</w:t>
      </w:r>
      <w:r w:rsidRPr="001651EA">
        <w:rPr>
          <w:rFonts w:cs="Arial"/>
          <w:szCs w:val="19"/>
        </w:rPr>
        <w:t xml:space="preserve"> (</w:t>
      </w:r>
      <w:r w:rsidR="00CF7E1E" w:rsidRPr="001651EA">
        <w:rPr>
          <w:rFonts w:cs="Arial"/>
          <w:szCs w:val="19"/>
        </w:rPr>
        <w:t>2,7</w:t>
      </w:r>
      <w:r w:rsidR="00F70DA2" w:rsidRPr="001651EA">
        <w:rPr>
          <w:rFonts w:cs="Arial"/>
          <w:szCs w:val="19"/>
        </w:rPr>
        <w:t xml:space="preserve"> mld</w:t>
      </w:r>
      <w:r w:rsidRPr="001651EA">
        <w:rPr>
          <w:rFonts w:cs="Arial"/>
          <w:szCs w:val="19"/>
        </w:rPr>
        <w:t xml:space="preserve"> USD, </w:t>
      </w:r>
      <w:r w:rsidR="00CF7E1E" w:rsidRPr="001651EA">
        <w:rPr>
          <w:rFonts w:cs="Arial"/>
          <w:szCs w:val="19"/>
        </w:rPr>
        <w:t>2</w:t>
      </w:r>
      <w:r w:rsidR="00225101" w:rsidRPr="001651EA">
        <w:rPr>
          <w:rFonts w:cs="Arial"/>
          <w:szCs w:val="19"/>
        </w:rPr>
        <w:t>,</w:t>
      </w:r>
      <w:r w:rsidR="003A4268" w:rsidRPr="001651EA">
        <w:rPr>
          <w:rFonts w:cs="Arial"/>
          <w:szCs w:val="19"/>
        </w:rPr>
        <w:t>4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EUR) wobec </w:t>
      </w:r>
      <w:r w:rsidR="00CF7E1E" w:rsidRPr="001651EA">
        <w:rPr>
          <w:rFonts w:cs="Arial"/>
          <w:szCs w:val="19"/>
        </w:rPr>
        <w:t>9</w:t>
      </w:r>
      <w:r w:rsidR="00E86389" w:rsidRPr="001651EA">
        <w:rPr>
          <w:rFonts w:cs="Arial"/>
          <w:szCs w:val="19"/>
        </w:rPr>
        <w:t>,0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</w:t>
      </w:r>
      <w:r w:rsidR="00A52A97" w:rsidRPr="001651EA">
        <w:rPr>
          <w:rFonts w:cs="Arial"/>
          <w:szCs w:val="19"/>
        </w:rPr>
        <w:t>PLN</w:t>
      </w:r>
      <w:r w:rsidRPr="001651EA">
        <w:rPr>
          <w:rFonts w:cs="Arial"/>
          <w:szCs w:val="19"/>
        </w:rPr>
        <w:t xml:space="preserve"> (</w:t>
      </w:r>
      <w:r w:rsidR="00CF7E1E" w:rsidRPr="001651EA">
        <w:rPr>
          <w:rFonts w:cs="Arial"/>
          <w:szCs w:val="19"/>
        </w:rPr>
        <w:t>2</w:t>
      </w:r>
      <w:r w:rsidR="00ED0F5C" w:rsidRPr="001651EA">
        <w:rPr>
          <w:rFonts w:cs="Arial"/>
          <w:szCs w:val="19"/>
        </w:rPr>
        <w:t>,</w:t>
      </w:r>
      <w:r w:rsidR="00E86389" w:rsidRPr="001651EA">
        <w:rPr>
          <w:rFonts w:cs="Arial"/>
          <w:szCs w:val="19"/>
        </w:rPr>
        <w:t>4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USD, </w:t>
      </w:r>
      <w:r w:rsidR="00CF7E1E" w:rsidRPr="001651EA">
        <w:rPr>
          <w:rFonts w:cs="Arial"/>
          <w:szCs w:val="19"/>
        </w:rPr>
        <w:t>2</w:t>
      </w:r>
      <w:r w:rsidR="00ED0F5C" w:rsidRPr="001651EA">
        <w:rPr>
          <w:rFonts w:cs="Arial"/>
          <w:szCs w:val="19"/>
        </w:rPr>
        <w:t>,</w:t>
      </w:r>
      <w:r w:rsidR="00CF7E1E" w:rsidRPr="001651EA">
        <w:rPr>
          <w:rFonts w:cs="Arial"/>
          <w:szCs w:val="19"/>
        </w:rPr>
        <w:t>1</w:t>
      </w:r>
      <w:r w:rsidR="00F70DA2" w:rsidRPr="001651EA">
        <w:rPr>
          <w:rFonts w:cs="Arial"/>
          <w:szCs w:val="19"/>
        </w:rPr>
        <w:t xml:space="preserve"> </w:t>
      </w:r>
      <w:r w:rsidRPr="001651EA">
        <w:rPr>
          <w:rFonts w:cs="Arial"/>
          <w:szCs w:val="19"/>
        </w:rPr>
        <w:t>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EUR) </w:t>
      </w:r>
      <w:r w:rsidR="00483835" w:rsidRPr="001651EA">
        <w:rPr>
          <w:rFonts w:cs="Arial"/>
          <w:spacing w:val="-3"/>
          <w:szCs w:val="19"/>
        </w:rPr>
        <w:t xml:space="preserve">w </w:t>
      </w:r>
      <w:r w:rsidR="00ED0F5C" w:rsidRPr="001651EA">
        <w:rPr>
          <w:rFonts w:cs="Arial"/>
          <w:spacing w:val="-3"/>
          <w:szCs w:val="19"/>
        </w:rPr>
        <w:t>styczniu</w:t>
      </w:r>
      <w:r w:rsidR="00857C7E" w:rsidRPr="001651EA">
        <w:rPr>
          <w:rFonts w:cs="Arial"/>
          <w:spacing w:val="-3"/>
          <w:szCs w:val="19"/>
        </w:rPr>
        <w:t xml:space="preserve"> - lutym</w:t>
      </w:r>
      <w:r w:rsidR="00ED0F5C" w:rsidRPr="001651EA">
        <w:rPr>
          <w:rFonts w:cs="Arial"/>
          <w:spacing w:val="-3"/>
          <w:szCs w:val="19"/>
        </w:rPr>
        <w:t xml:space="preserve"> 2019</w:t>
      </w:r>
      <w:r w:rsidR="00483835" w:rsidRPr="001651EA">
        <w:rPr>
          <w:rFonts w:cs="Arial"/>
          <w:spacing w:val="-3"/>
          <w:szCs w:val="19"/>
        </w:rPr>
        <w:t xml:space="preserve"> r.</w:t>
      </w:r>
    </w:p>
    <w:p w:rsidR="00366025" w:rsidRPr="00E25E36" w:rsidRDefault="00AE4B6E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191C262F">
                <wp:simplePos x="0" y="0"/>
                <wp:positionH relativeFrom="column">
                  <wp:posOffset>5272405</wp:posOffset>
                </wp:positionH>
                <wp:positionV relativeFrom="paragraph">
                  <wp:posOffset>4438507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1EA" w:rsidRPr="00FF1498" w:rsidRDefault="001651EA" w:rsidP="00A00ADB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 xml:space="preserve">Import z Wielkiej Brytanii po dwóch miesiącach br. wyniósł </w:t>
                            </w:r>
                            <w:r w:rsidRPr="001651EA">
                              <w:rPr>
                                <w:rFonts w:cs="Arial"/>
                              </w:rPr>
                              <w:t>3,6 mld PLN, 1,0 mld USD oraz 0,9 mld EUR</w:t>
                            </w:r>
                          </w:p>
                          <w:p w:rsidR="001651EA" w:rsidRPr="00666F55" w:rsidRDefault="001651EA" w:rsidP="00A00ADB">
                            <w:pPr>
                              <w:pStyle w:val="tekstzboku"/>
                            </w:pPr>
                          </w:p>
                          <w:p w:rsidR="001651EA" w:rsidRPr="00666F55" w:rsidRDefault="001651EA" w:rsidP="00A00ADB">
                            <w:pPr>
                              <w:pStyle w:val="tekstzboku"/>
                            </w:pPr>
                          </w:p>
                          <w:p w:rsidR="001651EA" w:rsidRPr="00666F55" w:rsidRDefault="001651EA" w:rsidP="00A00ADB">
                            <w:pPr>
                              <w:pStyle w:val="tekstzboku"/>
                            </w:pPr>
                          </w:p>
                          <w:p w:rsidR="001651EA" w:rsidRPr="00666F55" w:rsidRDefault="001651EA" w:rsidP="00A00ADB">
                            <w:pPr>
                              <w:pStyle w:val="tekstzboku"/>
                            </w:pPr>
                          </w:p>
                          <w:p w:rsidR="001651EA" w:rsidRPr="00666F55" w:rsidRDefault="001651EA" w:rsidP="00A00ADB">
                            <w:pPr>
                              <w:pStyle w:val="tekstzboku"/>
                            </w:pPr>
                          </w:p>
                          <w:p w:rsidR="001651EA" w:rsidRPr="00666F55" w:rsidRDefault="001651EA" w:rsidP="00A00ADB">
                            <w:pPr>
                              <w:pStyle w:val="tekstzboku"/>
                            </w:pPr>
                          </w:p>
                          <w:p w:rsidR="001651EA" w:rsidRPr="00666F55" w:rsidRDefault="001651EA" w:rsidP="00A00ADB">
                            <w:pPr>
                              <w:pStyle w:val="tekstzboku"/>
                            </w:pPr>
                          </w:p>
                          <w:p w:rsidR="001651EA" w:rsidRPr="00666F55" w:rsidRDefault="001651EA" w:rsidP="00A00ADB">
                            <w:pPr>
                              <w:pStyle w:val="tekstzboku"/>
                            </w:pPr>
                          </w:p>
                          <w:p w:rsidR="001651EA" w:rsidRPr="00666F55" w:rsidRDefault="001651EA" w:rsidP="00A00ADB">
                            <w:pPr>
                              <w:pStyle w:val="tekstzboku"/>
                            </w:pPr>
                          </w:p>
                          <w:p w:rsidR="001651EA" w:rsidRPr="00666F55" w:rsidRDefault="001651EA" w:rsidP="00A00ADB">
                            <w:pPr>
                              <w:pStyle w:val="tekstzboku"/>
                            </w:pPr>
                          </w:p>
                          <w:p w:rsidR="001651EA" w:rsidRPr="00666F55" w:rsidRDefault="001651EA" w:rsidP="00A00ADB">
                            <w:pPr>
                              <w:pStyle w:val="tekstzboku"/>
                            </w:pPr>
                          </w:p>
                          <w:p w:rsidR="001651EA" w:rsidRPr="00666F55" w:rsidRDefault="001651EA" w:rsidP="00A00ADB">
                            <w:pPr>
                              <w:pStyle w:val="tekstzboku"/>
                            </w:pPr>
                          </w:p>
                          <w:p w:rsidR="001651EA" w:rsidRPr="00666F55" w:rsidRDefault="001651EA" w:rsidP="00A00ADB">
                            <w:pPr>
                              <w:pStyle w:val="tekstzboku"/>
                            </w:pPr>
                          </w:p>
                          <w:p w:rsidR="001651EA" w:rsidRPr="00666F55" w:rsidRDefault="001651EA" w:rsidP="00A00ADB">
                            <w:pPr>
                              <w:pStyle w:val="tekstzboku"/>
                            </w:pPr>
                          </w:p>
                          <w:p w:rsidR="001651EA" w:rsidRPr="00666F55" w:rsidRDefault="001651EA" w:rsidP="00A00ADB">
                            <w:pPr>
                              <w:pStyle w:val="tekstzboku"/>
                            </w:pPr>
                          </w:p>
                          <w:p w:rsidR="001651EA" w:rsidRPr="00666F55" w:rsidRDefault="001651EA" w:rsidP="00A00ADB">
                            <w:pPr>
                              <w:pStyle w:val="tekstzboku"/>
                            </w:pPr>
                          </w:p>
                          <w:p w:rsidR="001651EA" w:rsidRPr="00666F55" w:rsidRDefault="001651EA" w:rsidP="00A00ADB">
                            <w:pPr>
                              <w:pStyle w:val="tekstzboku"/>
                            </w:pPr>
                          </w:p>
                          <w:p w:rsidR="001651EA" w:rsidRPr="00666F55" w:rsidRDefault="001651EA" w:rsidP="00A00ADB">
                            <w:pPr>
                              <w:pStyle w:val="tekstzboku"/>
                            </w:pPr>
                          </w:p>
                          <w:p w:rsidR="001651EA" w:rsidRPr="00666F55" w:rsidRDefault="001651EA" w:rsidP="00A00ADB">
                            <w:pPr>
                              <w:pStyle w:val="tekstzboku"/>
                            </w:pPr>
                          </w:p>
                          <w:p w:rsidR="001651EA" w:rsidRPr="00666F55" w:rsidRDefault="001651EA" w:rsidP="00A00ADB">
                            <w:pPr>
                              <w:pStyle w:val="tekstzboku"/>
                            </w:pPr>
                          </w:p>
                          <w:p w:rsidR="001651EA" w:rsidRPr="00666F55" w:rsidRDefault="001651EA" w:rsidP="00A00ADB">
                            <w:pPr>
                              <w:pStyle w:val="tekstzboku"/>
                            </w:pPr>
                          </w:p>
                          <w:p w:rsidR="001651EA" w:rsidRPr="00666F55" w:rsidRDefault="001651EA" w:rsidP="00A00ADB">
                            <w:pPr>
                              <w:pStyle w:val="tekstzboku"/>
                            </w:pPr>
                          </w:p>
                          <w:p w:rsidR="001651EA" w:rsidRPr="00666F55" w:rsidRDefault="001651EA" w:rsidP="00A00ADB">
                            <w:pPr>
                              <w:pStyle w:val="tekstzboku"/>
                            </w:pPr>
                          </w:p>
                          <w:p w:rsidR="001651EA" w:rsidRPr="00666F55" w:rsidRDefault="001651EA" w:rsidP="00A00ADB">
                            <w:pPr>
                              <w:pStyle w:val="tekstzboku"/>
                            </w:pPr>
                          </w:p>
                          <w:p w:rsidR="001651EA" w:rsidRPr="00666F55" w:rsidRDefault="001651EA" w:rsidP="00A00ADB">
                            <w:pPr>
                              <w:pStyle w:val="tekstzboku"/>
                            </w:pPr>
                          </w:p>
                          <w:p w:rsidR="001651EA" w:rsidRPr="00666F55" w:rsidRDefault="001651EA" w:rsidP="00A00ADB">
                            <w:pPr>
                              <w:pStyle w:val="tekstzboku"/>
                            </w:pPr>
                          </w:p>
                          <w:p w:rsidR="001651EA" w:rsidRPr="00666F55" w:rsidRDefault="001651EA" w:rsidP="00A00ADB">
                            <w:pPr>
                              <w:pStyle w:val="tekstzboku"/>
                            </w:pPr>
                          </w:p>
                          <w:p w:rsidR="001651EA" w:rsidRPr="00666F55" w:rsidRDefault="001651EA" w:rsidP="00A00ADB">
                            <w:pPr>
                              <w:pStyle w:val="tekstzboku"/>
                            </w:pPr>
                          </w:p>
                          <w:p w:rsidR="001651EA" w:rsidRPr="00666F55" w:rsidRDefault="001651EA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C981A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1" type="#_x0000_t202" style="position:absolute;margin-left:415.15pt;margin-top:349.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" filled="f" stroked="f">
                <v:textbox>
                  <w:txbxContent>
                    <w:p w:rsidR="001651EA" w:rsidRPr="00FF1498" w:rsidRDefault="001651EA" w:rsidP="00A00ADB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 xml:space="preserve">Import z Wielkiej Brytanii po dwóch miesiącach br. wyniósł </w:t>
                      </w:r>
                      <w:r w:rsidRPr="001651EA">
                        <w:rPr>
                          <w:rFonts w:cs="Arial"/>
                        </w:rPr>
                        <w:t>3,6 mld PLN, 1,0 mld USD oraz 0,9 mld EUR</w:t>
                      </w:r>
                    </w:p>
                    <w:p w:rsidR="001651EA" w:rsidRPr="00666F55" w:rsidRDefault="001651EA" w:rsidP="00A00ADB">
                      <w:pPr>
                        <w:pStyle w:val="tekstzboku"/>
                      </w:pPr>
                    </w:p>
                    <w:p w:rsidR="001651EA" w:rsidRPr="00666F55" w:rsidRDefault="001651EA" w:rsidP="00A00ADB">
                      <w:pPr>
                        <w:pStyle w:val="tekstzboku"/>
                      </w:pPr>
                    </w:p>
                    <w:p w:rsidR="001651EA" w:rsidRPr="00666F55" w:rsidRDefault="001651EA" w:rsidP="00A00ADB">
                      <w:pPr>
                        <w:pStyle w:val="tekstzboku"/>
                      </w:pPr>
                    </w:p>
                    <w:p w:rsidR="001651EA" w:rsidRPr="00666F55" w:rsidRDefault="001651EA" w:rsidP="00A00ADB">
                      <w:pPr>
                        <w:pStyle w:val="tekstzboku"/>
                      </w:pPr>
                    </w:p>
                    <w:p w:rsidR="001651EA" w:rsidRPr="00666F55" w:rsidRDefault="001651EA" w:rsidP="00A00ADB">
                      <w:pPr>
                        <w:pStyle w:val="tekstzboku"/>
                      </w:pPr>
                    </w:p>
                    <w:p w:rsidR="001651EA" w:rsidRPr="00666F55" w:rsidRDefault="001651EA" w:rsidP="00A00ADB">
                      <w:pPr>
                        <w:pStyle w:val="tekstzboku"/>
                      </w:pPr>
                    </w:p>
                    <w:p w:rsidR="001651EA" w:rsidRPr="00666F55" w:rsidRDefault="001651EA" w:rsidP="00A00ADB">
                      <w:pPr>
                        <w:pStyle w:val="tekstzboku"/>
                      </w:pPr>
                    </w:p>
                    <w:p w:rsidR="001651EA" w:rsidRPr="00666F55" w:rsidRDefault="001651EA" w:rsidP="00A00ADB">
                      <w:pPr>
                        <w:pStyle w:val="tekstzboku"/>
                      </w:pPr>
                    </w:p>
                    <w:p w:rsidR="001651EA" w:rsidRPr="00666F55" w:rsidRDefault="001651EA" w:rsidP="00A00ADB">
                      <w:pPr>
                        <w:pStyle w:val="tekstzboku"/>
                      </w:pPr>
                    </w:p>
                    <w:p w:rsidR="001651EA" w:rsidRPr="00666F55" w:rsidRDefault="001651EA" w:rsidP="00A00ADB">
                      <w:pPr>
                        <w:pStyle w:val="tekstzboku"/>
                      </w:pPr>
                    </w:p>
                    <w:p w:rsidR="001651EA" w:rsidRPr="00666F55" w:rsidRDefault="001651EA" w:rsidP="00A00ADB">
                      <w:pPr>
                        <w:pStyle w:val="tekstzboku"/>
                      </w:pPr>
                    </w:p>
                    <w:p w:rsidR="001651EA" w:rsidRPr="00666F55" w:rsidRDefault="001651EA" w:rsidP="00A00ADB">
                      <w:pPr>
                        <w:pStyle w:val="tekstzboku"/>
                      </w:pPr>
                    </w:p>
                    <w:p w:rsidR="001651EA" w:rsidRPr="00666F55" w:rsidRDefault="001651EA" w:rsidP="00A00ADB">
                      <w:pPr>
                        <w:pStyle w:val="tekstzboku"/>
                      </w:pPr>
                    </w:p>
                    <w:p w:rsidR="001651EA" w:rsidRPr="00666F55" w:rsidRDefault="001651EA" w:rsidP="00A00ADB">
                      <w:pPr>
                        <w:pStyle w:val="tekstzboku"/>
                      </w:pPr>
                    </w:p>
                    <w:p w:rsidR="001651EA" w:rsidRPr="00666F55" w:rsidRDefault="001651EA" w:rsidP="00A00ADB">
                      <w:pPr>
                        <w:pStyle w:val="tekstzboku"/>
                      </w:pPr>
                    </w:p>
                    <w:p w:rsidR="001651EA" w:rsidRPr="00666F55" w:rsidRDefault="001651EA" w:rsidP="00A00ADB">
                      <w:pPr>
                        <w:pStyle w:val="tekstzboku"/>
                      </w:pPr>
                    </w:p>
                    <w:p w:rsidR="001651EA" w:rsidRPr="00666F55" w:rsidRDefault="001651EA" w:rsidP="00A00ADB">
                      <w:pPr>
                        <w:pStyle w:val="tekstzboku"/>
                      </w:pPr>
                    </w:p>
                    <w:p w:rsidR="001651EA" w:rsidRPr="00666F55" w:rsidRDefault="001651EA" w:rsidP="00A00ADB">
                      <w:pPr>
                        <w:pStyle w:val="tekstzboku"/>
                      </w:pPr>
                    </w:p>
                    <w:p w:rsidR="001651EA" w:rsidRPr="00666F55" w:rsidRDefault="001651EA" w:rsidP="00A00ADB">
                      <w:pPr>
                        <w:pStyle w:val="tekstzboku"/>
                      </w:pPr>
                    </w:p>
                    <w:p w:rsidR="001651EA" w:rsidRPr="00666F55" w:rsidRDefault="001651EA" w:rsidP="00A00ADB">
                      <w:pPr>
                        <w:pStyle w:val="tekstzboku"/>
                      </w:pPr>
                    </w:p>
                    <w:p w:rsidR="001651EA" w:rsidRPr="00666F55" w:rsidRDefault="001651EA" w:rsidP="00A00ADB">
                      <w:pPr>
                        <w:pStyle w:val="tekstzboku"/>
                      </w:pPr>
                    </w:p>
                    <w:p w:rsidR="001651EA" w:rsidRPr="00666F55" w:rsidRDefault="001651EA" w:rsidP="00A00ADB">
                      <w:pPr>
                        <w:pStyle w:val="tekstzboku"/>
                      </w:pPr>
                    </w:p>
                    <w:p w:rsidR="001651EA" w:rsidRPr="00666F55" w:rsidRDefault="001651EA" w:rsidP="00A00ADB">
                      <w:pPr>
                        <w:pStyle w:val="tekstzboku"/>
                      </w:pPr>
                    </w:p>
                    <w:p w:rsidR="001651EA" w:rsidRPr="00666F55" w:rsidRDefault="001651EA" w:rsidP="00A00ADB">
                      <w:pPr>
                        <w:pStyle w:val="tekstzboku"/>
                      </w:pPr>
                    </w:p>
                    <w:p w:rsidR="001651EA" w:rsidRPr="00666F55" w:rsidRDefault="001651EA" w:rsidP="00A00ADB">
                      <w:pPr>
                        <w:pStyle w:val="tekstzboku"/>
                      </w:pPr>
                    </w:p>
                    <w:p w:rsidR="001651EA" w:rsidRPr="00666F55" w:rsidRDefault="001651EA" w:rsidP="00A00ADB">
                      <w:pPr>
                        <w:pStyle w:val="tekstzboku"/>
                      </w:pPr>
                    </w:p>
                    <w:p w:rsidR="001651EA" w:rsidRPr="00666F55" w:rsidRDefault="001651EA" w:rsidP="00A00ADB">
                      <w:pPr>
                        <w:pStyle w:val="tekstzboku"/>
                      </w:pPr>
                    </w:p>
                    <w:p w:rsidR="001651EA" w:rsidRPr="00666F55" w:rsidRDefault="001651EA" w:rsidP="00A00ADB">
                      <w:pPr>
                        <w:pStyle w:val="tekstzboku"/>
                      </w:pPr>
                    </w:p>
                    <w:p w:rsidR="001651EA" w:rsidRPr="00666F55" w:rsidRDefault="001651EA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>
        <w:rPr>
          <w:rFonts w:cs="Arial"/>
          <w:b/>
          <w:spacing w:val="-3"/>
          <w:sz w:val="18"/>
          <w:szCs w:val="18"/>
        </w:rPr>
        <w:t>Tablica 2</w:t>
      </w:r>
      <w:r w:rsidR="002D45CF" w:rsidRPr="00C30406">
        <w:rPr>
          <w:rFonts w:cs="Arial"/>
          <w:b/>
          <w:spacing w:val="-3"/>
          <w:sz w:val="18"/>
          <w:szCs w:val="18"/>
        </w:rPr>
        <w:t xml:space="preserve">. </w:t>
      </w:r>
      <w:r w:rsidR="002D45CF">
        <w:rPr>
          <w:rFonts w:cs="Arial"/>
          <w:b/>
          <w:spacing w:val="-3"/>
          <w:sz w:val="18"/>
          <w:szCs w:val="18"/>
        </w:rPr>
        <w:t>Obroty towarowe według ważniejszych krajów</w:t>
      </w:r>
      <w:r w:rsidR="002D45CF"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366025" w:rsidP="004138DD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 – II </w:t>
            </w:r>
            <w:r w:rsidRPr="005F3D74">
              <w:rPr>
                <w:rFonts w:cs="Arial"/>
                <w:sz w:val="16"/>
                <w:szCs w:val="16"/>
              </w:rPr>
              <w:t>20</w:t>
            </w:r>
            <w:r w:rsidR="008A6B2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8A6B2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8A6B2A">
              <w:rPr>
                <w:rFonts w:cs="Arial"/>
                <w:sz w:val="16"/>
                <w:szCs w:val="16"/>
              </w:rPr>
              <w:t>20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4138DD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 – II </w:t>
            </w:r>
            <w:r w:rsidR="008A6B2A">
              <w:rPr>
                <w:rFonts w:cs="Arial"/>
                <w:sz w:val="16"/>
                <w:szCs w:val="16"/>
              </w:rPr>
              <w:t>2</w:t>
            </w:r>
            <w:r w:rsidRPr="005F3D74">
              <w:rPr>
                <w:rFonts w:cs="Arial"/>
                <w:sz w:val="16"/>
                <w:szCs w:val="16"/>
              </w:rPr>
              <w:t>01</w:t>
            </w:r>
            <w:r w:rsidR="008A6B2A">
              <w:rPr>
                <w:rFonts w:cs="Arial"/>
                <w:sz w:val="16"/>
                <w:szCs w:val="16"/>
              </w:rPr>
              <w:t>9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 – II </w:t>
            </w:r>
            <w:r w:rsidR="0080296F">
              <w:rPr>
                <w:rFonts w:cs="Arial"/>
                <w:sz w:val="16"/>
                <w:szCs w:val="16"/>
              </w:rPr>
              <w:t xml:space="preserve"> 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724845" w:rsidRPr="00206A18" w:rsidTr="00724845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206A18" w:rsidRDefault="00724845" w:rsidP="0072484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45,8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12,0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98,7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97,2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99,5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28,3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27,0</w:t>
            </w:r>
          </w:p>
        </w:tc>
      </w:tr>
      <w:tr w:rsidR="00724845" w:rsidRPr="00206A18" w:rsidTr="00724845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206A18" w:rsidRDefault="00724845" w:rsidP="0072484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11,2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111,8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110,2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112,8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6,6</w:t>
            </w:r>
          </w:p>
        </w:tc>
      </w:tr>
      <w:tr w:rsidR="00724845" w:rsidRPr="00206A18" w:rsidTr="00724845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206A18" w:rsidRDefault="00724845" w:rsidP="0072484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102,3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100,7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103,1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6,1</w:t>
            </w:r>
          </w:p>
        </w:tc>
      </w:tr>
      <w:tr w:rsidR="00724845" w:rsidRPr="001B6C72" w:rsidTr="00724845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206A18" w:rsidRDefault="00724845" w:rsidP="0072484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4. W. Brytania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92,1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90,7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6,6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5,9</w:t>
            </w:r>
          </w:p>
        </w:tc>
      </w:tr>
      <w:tr w:rsidR="00724845" w:rsidRPr="001B6C72" w:rsidTr="00724845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206A18" w:rsidRDefault="00724845" w:rsidP="0072484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Włochy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7,8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103,1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101,6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104,0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4,6</w:t>
            </w:r>
          </w:p>
        </w:tc>
      </w:tr>
      <w:tr w:rsidR="00724845" w:rsidRPr="001B6C72" w:rsidTr="00724845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206A18" w:rsidRDefault="00724845" w:rsidP="0072484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6. Holandia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7,5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95,7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94,3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96,5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4,4</w:t>
            </w:r>
          </w:p>
        </w:tc>
      </w:tr>
      <w:tr w:rsidR="00724845" w:rsidRPr="001B6C72" w:rsidTr="00724845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206A18" w:rsidRDefault="00724845" w:rsidP="0072484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>Szwecja</w:t>
            </w:r>
            <w:r w:rsidRPr="00206A1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98,7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97,3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99,5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2,9</w:t>
            </w:r>
          </w:p>
        </w:tc>
      </w:tr>
      <w:tr w:rsidR="00724845" w:rsidRPr="00206A18" w:rsidTr="00724845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206A18" w:rsidRDefault="00724845" w:rsidP="0072484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Stany Zjednoczone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101,1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99,6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101,9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2,8</w:t>
            </w:r>
          </w:p>
        </w:tc>
      </w:tr>
      <w:tr w:rsidR="00724845" w:rsidRPr="00206A18" w:rsidTr="00724845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206A18" w:rsidRDefault="00724845" w:rsidP="0072484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106,0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104,4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106,9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2,8</w:t>
            </w:r>
          </w:p>
        </w:tc>
      </w:tr>
      <w:tr w:rsidR="00724845" w:rsidRPr="00206A18" w:rsidTr="00724845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206A18" w:rsidRDefault="00724845" w:rsidP="0072484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106,9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105,3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107,8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724845" w:rsidRPr="001651EA" w:rsidRDefault="00724845" w:rsidP="007248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2,7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311663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206A18" w:rsidRDefault="00311663" w:rsidP="003116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35,6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8,4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95,2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93,8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96,0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22,6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21,7</w:t>
            </w:r>
          </w:p>
        </w:tc>
      </w:tr>
      <w:tr w:rsidR="00311663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206A18" w:rsidRDefault="00311663" w:rsidP="003116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21,8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103,7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102,2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104,5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12,7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13,3</w:t>
            </w:r>
          </w:p>
        </w:tc>
      </w:tr>
      <w:tr w:rsidR="00311663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206A18" w:rsidRDefault="00311663" w:rsidP="003116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106,3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104,7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107,2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6,3</w:t>
            </w:r>
          </w:p>
        </w:tc>
      </w:tr>
      <w:tr w:rsidR="00311663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206A18" w:rsidRDefault="00311663" w:rsidP="003116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Włochy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7,8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97,3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95,8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98,1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4,8</w:t>
            </w:r>
          </w:p>
        </w:tc>
      </w:tr>
      <w:tr w:rsidR="00311663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206A18" w:rsidRDefault="00311663" w:rsidP="003116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Stany Zjednoczone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111,4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109,8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112,3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3,6</w:t>
            </w:r>
          </w:p>
        </w:tc>
      </w:tr>
      <w:tr w:rsidR="00311663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206A18" w:rsidRDefault="00311663" w:rsidP="003116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6. Francja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97,5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96,0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98,3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3,6</w:t>
            </w:r>
          </w:p>
        </w:tc>
      </w:tr>
      <w:tr w:rsidR="00311663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206A18" w:rsidRDefault="00311663" w:rsidP="003116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94,8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93,4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95,6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3,3</w:t>
            </w:r>
          </w:p>
        </w:tc>
      </w:tr>
      <w:tr w:rsidR="00311663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206A18" w:rsidRDefault="00311663" w:rsidP="003116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Holandia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90,2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88,8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90,9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3,2</w:t>
            </w:r>
          </w:p>
        </w:tc>
      </w:tr>
      <w:tr w:rsidR="00311663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206A18" w:rsidRDefault="00311663" w:rsidP="003116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121,6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119,8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122,6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2,5</w:t>
            </w:r>
          </w:p>
        </w:tc>
      </w:tr>
      <w:tr w:rsidR="00311663" w:rsidRPr="00206A18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206A18" w:rsidRDefault="00311663" w:rsidP="003116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Hiszpania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1,0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0,9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97,3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95,9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98,1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311663" w:rsidRPr="001651EA" w:rsidRDefault="00311663" w:rsidP="0031166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9575EC" w:rsidRDefault="009575EC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A60E0A" w:rsidRDefault="00A60E0A" w:rsidP="00366025">
      <w:pPr>
        <w:rPr>
          <w:b/>
          <w:sz w:val="18"/>
          <w:szCs w:val="18"/>
        </w:rPr>
      </w:pPr>
    </w:p>
    <w:p w:rsidR="00AD34B4" w:rsidRDefault="00AD34B4" w:rsidP="00AD34B4">
      <w:pPr>
        <w:pStyle w:val="Nagwek1"/>
      </w:pPr>
      <w:r>
        <w:t>Import według kraju wysyłki</w:t>
      </w:r>
      <w:r w:rsidRPr="003C6B82">
        <w:t xml:space="preserve"> ogółem i według grup krajów</w:t>
      </w:r>
    </w:p>
    <w:p w:rsidR="0048231B" w:rsidRPr="005B60E0" w:rsidRDefault="0048231B" w:rsidP="0048231B">
      <w:pPr>
        <w:rPr>
          <w:shd w:val="clear" w:color="auto" w:fill="FFFFFF"/>
        </w:rPr>
      </w:pPr>
      <w:r w:rsidRPr="005B60E0">
        <w:rPr>
          <w:rFonts w:cs="Arial"/>
          <w:spacing w:val="-3"/>
        </w:rPr>
        <w:t xml:space="preserve">Największy obrót towarowy w imporcie według kraju wysyłki Polska odnotowała z krajami </w:t>
      </w:r>
      <w:r w:rsidRPr="005B60E0">
        <w:rPr>
          <w:rFonts w:cs="Arial"/>
          <w:spacing w:val="-3"/>
          <w:szCs w:val="19"/>
        </w:rPr>
        <w:t xml:space="preserve">rozwiniętymi </w:t>
      </w:r>
      <w:r w:rsidRPr="004E1325">
        <w:rPr>
          <w:rFonts w:cs="Arial"/>
          <w:szCs w:val="19"/>
        </w:rPr>
        <w:t>–</w:t>
      </w:r>
      <w:r w:rsidRPr="004E1325">
        <w:rPr>
          <w:rFonts w:cs="Arial"/>
          <w:spacing w:val="-3"/>
          <w:szCs w:val="19"/>
        </w:rPr>
        <w:t xml:space="preserve"> </w:t>
      </w:r>
      <w:r w:rsidR="00564715" w:rsidRPr="004E1325">
        <w:rPr>
          <w:rFonts w:cs="Arial"/>
          <w:spacing w:val="-3"/>
          <w:szCs w:val="19"/>
        </w:rPr>
        <w:t>120,0</w:t>
      </w:r>
      <w:r w:rsidR="006362E4" w:rsidRPr="004E1325">
        <w:rPr>
          <w:rFonts w:cs="Arial"/>
          <w:color w:val="000000"/>
          <w:szCs w:val="19"/>
        </w:rPr>
        <w:t xml:space="preserve"> </w:t>
      </w:r>
      <w:r w:rsidRPr="004E1325">
        <w:rPr>
          <w:rFonts w:cs="Arial"/>
          <w:spacing w:val="-3"/>
          <w:szCs w:val="19"/>
        </w:rPr>
        <w:t>mld</w:t>
      </w:r>
      <w:r w:rsidR="004921B7" w:rsidRPr="004E1325">
        <w:rPr>
          <w:rFonts w:cs="Arial"/>
          <w:spacing w:val="-3"/>
          <w:szCs w:val="19"/>
        </w:rPr>
        <w:t xml:space="preserve"> </w:t>
      </w:r>
      <w:r w:rsidR="00A52A97" w:rsidRPr="004E1325">
        <w:rPr>
          <w:rFonts w:cs="Arial"/>
          <w:spacing w:val="-3"/>
          <w:szCs w:val="19"/>
        </w:rPr>
        <w:t>PLN</w:t>
      </w:r>
      <w:r w:rsidRPr="004E1325">
        <w:rPr>
          <w:rFonts w:cs="Arial"/>
          <w:spacing w:val="-3"/>
          <w:szCs w:val="19"/>
        </w:rPr>
        <w:t xml:space="preserve">, w tym z UE – </w:t>
      </w:r>
      <w:r w:rsidR="00564715" w:rsidRPr="004E1325">
        <w:rPr>
          <w:rFonts w:cs="Arial"/>
          <w:spacing w:val="-3"/>
          <w:szCs w:val="19"/>
        </w:rPr>
        <w:t>108,5</w:t>
      </w:r>
      <w:r w:rsidR="0067455E" w:rsidRPr="004E1325">
        <w:rPr>
          <w:rFonts w:cs="Arial"/>
          <w:spacing w:val="-3"/>
          <w:szCs w:val="19"/>
        </w:rPr>
        <w:t xml:space="preserve"> </w:t>
      </w:r>
      <w:r w:rsidRPr="004E1325">
        <w:rPr>
          <w:rFonts w:cs="Arial"/>
          <w:spacing w:val="-3"/>
          <w:szCs w:val="19"/>
        </w:rPr>
        <w:t>mld</w:t>
      </w:r>
      <w:r w:rsidR="004921B7" w:rsidRPr="004E1325">
        <w:rPr>
          <w:rFonts w:cs="Arial"/>
          <w:spacing w:val="-3"/>
          <w:szCs w:val="19"/>
        </w:rPr>
        <w:t xml:space="preserve"> </w:t>
      </w:r>
      <w:r w:rsidR="00A52A97" w:rsidRPr="004E1325">
        <w:rPr>
          <w:rFonts w:cs="Arial"/>
          <w:spacing w:val="-3"/>
          <w:szCs w:val="19"/>
        </w:rPr>
        <w:t>PLN</w:t>
      </w:r>
      <w:r w:rsidRPr="004E1325">
        <w:rPr>
          <w:rFonts w:cs="Arial"/>
          <w:spacing w:val="-3"/>
          <w:szCs w:val="19"/>
        </w:rPr>
        <w:t xml:space="preserve">, wobec odpowiednio </w:t>
      </w:r>
      <w:r w:rsidR="00564715" w:rsidRPr="004E1325">
        <w:rPr>
          <w:color w:val="000000"/>
          <w:szCs w:val="19"/>
          <w:shd w:val="clear" w:color="auto" w:fill="FFFFFF"/>
        </w:rPr>
        <w:t>122,2</w:t>
      </w:r>
      <w:r w:rsidRPr="004E1325">
        <w:rPr>
          <w:rFonts w:cs="Arial"/>
          <w:spacing w:val="-3"/>
          <w:szCs w:val="19"/>
        </w:rPr>
        <w:t xml:space="preserve"> mld</w:t>
      </w:r>
      <w:r w:rsidR="004921B7" w:rsidRPr="004E1325">
        <w:rPr>
          <w:rFonts w:cs="Arial"/>
          <w:spacing w:val="-3"/>
          <w:szCs w:val="19"/>
        </w:rPr>
        <w:t xml:space="preserve"> </w:t>
      </w:r>
      <w:r w:rsidR="00A52A97" w:rsidRPr="004E1325">
        <w:rPr>
          <w:rFonts w:cs="Arial"/>
          <w:spacing w:val="-3"/>
          <w:szCs w:val="19"/>
        </w:rPr>
        <w:t>PLN</w:t>
      </w:r>
      <w:r w:rsidRPr="004E1325">
        <w:rPr>
          <w:rFonts w:cs="Arial"/>
          <w:spacing w:val="-3"/>
          <w:szCs w:val="19"/>
        </w:rPr>
        <w:t xml:space="preserve">, w tym z </w:t>
      </w:r>
      <w:r w:rsidR="00F657FD" w:rsidRPr="004E1325">
        <w:rPr>
          <w:rFonts w:cs="Arial"/>
          <w:spacing w:val="-3"/>
          <w:szCs w:val="19"/>
        </w:rPr>
        <w:t xml:space="preserve">UE </w:t>
      </w:r>
      <w:r w:rsidR="00564715" w:rsidRPr="004E1325">
        <w:rPr>
          <w:rFonts w:cs="Arial"/>
          <w:spacing w:val="-3"/>
          <w:szCs w:val="19"/>
        </w:rPr>
        <w:t>110,3</w:t>
      </w:r>
      <w:r w:rsidRPr="00564715">
        <w:rPr>
          <w:rFonts w:cs="Arial"/>
          <w:spacing w:val="-3"/>
          <w:szCs w:val="19"/>
        </w:rPr>
        <w:t xml:space="preserve"> mld</w:t>
      </w:r>
      <w:r w:rsidR="004921B7" w:rsidRPr="00564715">
        <w:rPr>
          <w:rFonts w:cs="Arial"/>
          <w:spacing w:val="-3"/>
        </w:rPr>
        <w:t xml:space="preserve"> </w:t>
      </w:r>
      <w:r w:rsidR="00A52A97" w:rsidRPr="00564715">
        <w:rPr>
          <w:rFonts w:cs="Arial"/>
          <w:spacing w:val="-3"/>
        </w:rPr>
        <w:t>PLN</w:t>
      </w:r>
      <w:r w:rsidRPr="00564715">
        <w:rPr>
          <w:rFonts w:cs="Arial"/>
          <w:spacing w:val="-3"/>
        </w:rPr>
        <w:t> w </w:t>
      </w:r>
      <w:r w:rsidR="00AE2E4D" w:rsidRPr="00564715">
        <w:rPr>
          <w:rFonts w:cs="Arial"/>
          <w:spacing w:val="-3"/>
        </w:rPr>
        <w:t xml:space="preserve">analogicznym okresie </w:t>
      </w:r>
      <w:r w:rsidRPr="00564715">
        <w:rPr>
          <w:rFonts w:cs="Arial"/>
          <w:spacing w:val="-3"/>
        </w:rPr>
        <w:t>201</w:t>
      </w:r>
      <w:r w:rsidR="00AE2E4D" w:rsidRPr="00564715">
        <w:rPr>
          <w:rFonts w:cs="Arial"/>
          <w:spacing w:val="-3"/>
        </w:rPr>
        <w:t>9</w:t>
      </w:r>
      <w:r w:rsidRPr="00564715">
        <w:rPr>
          <w:rFonts w:cs="Arial"/>
          <w:spacing w:val="-3"/>
        </w:rPr>
        <w:t xml:space="preserve"> roku</w:t>
      </w:r>
      <w:r w:rsidRPr="00564715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A60E0A" w:rsidRDefault="00A60E0A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8F20EF" w:rsidRDefault="008F20EF" w:rsidP="00366025">
      <w:pPr>
        <w:rPr>
          <w:rFonts w:cs="Arial"/>
          <w:b/>
          <w:spacing w:val="-3"/>
          <w:sz w:val="18"/>
          <w:szCs w:val="18"/>
        </w:rPr>
      </w:pPr>
    </w:p>
    <w:p w:rsidR="00AE636C" w:rsidRPr="001521EB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Pr="001521EB">
        <w:rPr>
          <w:b/>
          <w:sz w:val="18"/>
          <w:szCs w:val="18"/>
        </w:rPr>
        <w:t xml:space="preserve">Import według kraju wysyłki ogółem </w:t>
      </w:r>
      <w:r w:rsidR="00E44BC0" w:rsidRPr="001521EB">
        <w:rPr>
          <w:b/>
          <w:sz w:val="18"/>
          <w:szCs w:val="18"/>
        </w:rPr>
        <w:t>i według grup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– II </w:t>
            </w:r>
            <w:r w:rsidRPr="004E1325">
              <w:rPr>
                <w:rFonts w:cs="Arial"/>
                <w:sz w:val="16"/>
                <w:szCs w:val="16"/>
              </w:rPr>
              <w:t>20</w:t>
            </w:r>
            <w:r w:rsidR="006E7D35" w:rsidRPr="004E1325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201</w:t>
            </w:r>
            <w:r w:rsidR="006E7D35" w:rsidRPr="004E132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6E7D35" w:rsidRPr="004E1325">
              <w:rPr>
                <w:rFonts w:cs="Arial"/>
                <w:sz w:val="16"/>
                <w:szCs w:val="16"/>
              </w:rPr>
              <w:t>20</w:t>
            </w:r>
          </w:p>
        </w:tc>
      </w:tr>
      <w:tr w:rsidR="00FF29C2" w:rsidRPr="004E1325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– II </w:t>
            </w:r>
            <w:r w:rsidRPr="004E1325">
              <w:rPr>
                <w:rFonts w:cs="Arial"/>
                <w:sz w:val="16"/>
                <w:szCs w:val="16"/>
              </w:rPr>
              <w:t>201</w:t>
            </w:r>
            <w:r w:rsidR="006E7D35" w:rsidRPr="004E1325">
              <w:rPr>
                <w:rFonts w:cs="Arial"/>
                <w:sz w:val="16"/>
                <w:szCs w:val="16"/>
              </w:rPr>
              <w:t>9</w:t>
            </w:r>
            <w:r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– II </w:t>
            </w:r>
            <w:r w:rsidRPr="004E1325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4E1325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A60E0A" w:rsidRPr="004E1325" w:rsidTr="00B72C49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:rsidR="00A60E0A" w:rsidRPr="004E1325" w:rsidRDefault="00A60E0A" w:rsidP="00A60E0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4E1325">
              <w:rPr>
                <w:rFonts w:cs="Arial"/>
                <w:sz w:val="16"/>
                <w:szCs w:val="16"/>
              </w:rPr>
              <w:t>(wg kraju wysyłki)</w:t>
            </w:r>
            <w:r w:rsidRPr="004E1325">
              <w:rPr>
                <w:rStyle w:val="Odwoanieprzypisudolnego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728" w:type="dxa"/>
            <w:tcBorders>
              <w:top w:val="single" w:sz="12" w:space="0" w:color="001D77"/>
            </w:tcBorders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1325">
              <w:rPr>
                <w:rFonts w:cs="Arial"/>
                <w:b/>
                <w:bCs/>
                <w:sz w:val="16"/>
                <w:szCs w:val="16"/>
              </w:rPr>
              <w:t>164,2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1325">
              <w:rPr>
                <w:rFonts w:cs="Arial"/>
                <w:b/>
                <w:bCs/>
                <w:sz w:val="16"/>
                <w:szCs w:val="16"/>
              </w:rPr>
              <w:t>42,9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1325">
              <w:rPr>
                <w:rFonts w:cs="Arial"/>
                <w:b/>
                <w:bCs/>
                <w:sz w:val="16"/>
                <w:szCs w:val="16"/>
              </w:rPr>
              <w:t>38,6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1325">
              <w:rPr>
                <w:rFonts w:cs="Arial"/>
                <w:b/>
                <w:bCs/>
                <w:sz w:val="16"/>
                <w:szCs w:val="16"/>
              </w:rPr>
              <w:t>99,2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1325">
              <w:rPr>
                <w:rFonts w:cs="Arial"/>
                <w:b/>
                <w:bCs/>
                <w:sz w:val="16"/>
                <w:szCs w:val="16"/>
              </w:rPr>
              <w:t>97,7</w:t>
            </w:r>
          </w:p>
        </w:tc>
        <w:tc>
          <w:tcPr>
            <w:tcW w:w="729" w:type="dxa"/>
            <w:tcBorders>
              <w:top w:val="single" w:sz="12" w:space="0" w:color="001D77"/>
            </w:tcBorders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1325">
              <w:rPr>
                <w:rFonts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A60E0A" w:rsidRPr="004E1325" w:rsidRDefault="00A60E0A" w:rsidP="00A60E0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A60E0A" w:rsidRPr="004E1325" w:rsidRDefault="00A60E0A" w:rsidP="00A60E0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100,0</w:t>
            </w:r>
          </w:p>
        </w:tc>
      </w:tr>
      <w:tr w:rsidR="00A60E0A" w:rsidRPr="004E1325" w:rsidTr="007C094B">
        <w:trPr>
          <w:trHeight w:val="352"/>
        </w:trPr>
        <w:tc>
          <w:tcPr>
            <w:tcW w:w="2268" w:type="dxa"/>
            <w:vAlign w:val="center"/>
          </w:tcPr>
          <w:p w:rsidR="00A60E0A" w:rsidRPr="004E1325" w:rsidRDefault="00A60E0A" w:rsidP="00A60E0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120,0</w:t>
            </w:r>
          </w:p>
        </w:tc>
        <w:tc>
          <w:tcPr>
            <w:tcW w:w="727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31,4</w:t>
            </w:r>
          </w:p>
        </w:tc>
        <w:tc>
          <w:tcPr>
            <w:tcW w:w="727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28,2</w:t>
            </w:r>
          </w:p>
        </w:tc>
        <w:tc>
          <w:tcPr>
            <w:tcW w:w="727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98,2</w:t>
            </w:r>
          </w:p>
        </w:tc>
        <w:tc>
          <w:tcPr>
            <w:tcW w:w="727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96,8</w:t>
            </w:r>
          </w:p>
        </w:tc>
        <w:tc>
          <w:tcPr>
            <w:tcW w:w="729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99,0</w:t>
            </w:r>
          </w:p>
        </w:tc>
        <w:tc>
          <w:tcPr>
            <w:tcW w:w="727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73,8</w:t>
            </w:r>
          </w:p>
        </w:tc>
        <w:tc>
          <w:tcPr>
            <w:tcW w:w="727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73,1</w:t>
            </w:r>
          </w:p>
        </w:tc>
      </w:tr>
      <w:tr w:rsidR="00A60E0A" w:rsidRPr="004E1325" w:rsidTr="007C094B">
        <w:trPr>
          <w:trHeight w:val="342"/>
        </w:trPr>
        <w:tc>
          <w:tcPr>
            <w:tcW w:w="2268" w:type="dxa"/>
            <w:vAlign w:val="center"/>
          </w:tcPr>
          <w:p w:rsidR="00A60E0A" w:rsidRPr="004E1325" w:rsidRDefault="00A60E0A" w:rsidP="00A60E0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108,5</w:t>
            </w:r>
          </w:p>
        </w:tc>
        <w:tc>
          <w:tcPr>
            <w:tcW w:w="727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28,4</w:t>
            </w:r>
          </w:p>
        </w:tc>
        <w:tc>
          <w:tcPr>
            <w:tcW w:w="727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25,5</w:t>
            </w:r>
          </w:p>
        </w:tc>
        <w:tc>
          <w:tcPr>
            <w:tcW w:w="727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98,4</w:t>
            </w:r>
          </w:p>
        </w:tc>
        <w:tc>
          <w:tcPr>
            <w:tcW w:w="727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96,9</w:t>
            </w:r>
          </w:p>
        </w:tc>
        <w:tc>
          <w:tcPr>
            <w:tcW w:w="729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99,2</w:t>
            </w:r>
          </w:p>
        </w:tc>
        <w:tc>
          <w:tcPr>
            <w:tcW w:w="727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66,6</w:t>
            </w:r>
          </w:p>
        </w:tc>
        <w:tc>
          <w:tcPr>
            <w:tcW w:w="727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66,1</w:t>
            </w:r>
          </w:p>
        </w:tc>
      </w:tr>
      <w:tr w:rsidR="00A60E0A" w:rsidRPr="004E1325" w:rsidTr="007C094B">
        <w:trPr>
          <w:trHeight w:val="352"/>
        </w:trPr>
        <w:tc>
          <w:tcPr>
            <w:tcW w:w="2268" w:type="dxa"/>
            <w:vAlign w:val="center"/>
          </w:tcPr>
          <w:p w:rsidR="00A60E0A" w:rsidRPr="004E1325" w:rsidRDefault="00A60E0A" w:rsidP="00A60E0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91,1</w:t>
            </w:r>
          </w:p>
        </w:tc>
        <w:tc>
          <w:tcPr>
            <w:tcW w:w="727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23,8</w:t>
            </w:r>
          </w:p>
        </w:tc>
        <w:tc>
          <w:tcPr>
            <w:tcW w:w="727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21,4</w:t>
            </w:r>
          </w:p>
        </w:tc>
        <w:tc>
          <w:tcPr>
            <w:tcW w:w="727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98,7</w:t>
            </w:r>
          </w:p>
        </w:tc>
        <w:tc>
          <w:tcPr>
            <w:tcW w:w="727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97,2</w:t>
            </w:r>
          </w:p>
        </w:tc>
        <w:tc>
          <w:tcPr>
            <w:tcW w:w="729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99,5</w:t>
            </w:r>
          </w:p>
        </w:tc>
        <w:tc>
          <w:tcPr>
            <w:tcW w:w="727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55,8</w:t>
            </w:r>
          </w:p>
        </w:tc>
        <w:tc>
          <w:tcPr>
            <w:tcW w:w="727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55,5</w:t>
            </w:r>
          </w:p>
        </w:tc>
      </w:tr>
      <w:tr w:rsidR="00A60E0A" w:rsidRPr="004E1325" w:rsidTr="007C094B">
        <w:trPr>
          <w:trHeight w:val="342"/>
        </w:trPr>
        <w:tc>
          <w:tcPr>
            <w:tcW w:w="2268" w:type="dxa"/>
            <w:vAlign w:val="center"/>
          </w:tcPr>
          <w:p w:rsidR="00A60E0A" w:rsidRPr="004E1325" w:rsidRDefault="00A60E0A" w:rsidP="00A60E0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29,9</w:t>
            </w:r>
          </w:p>
        </w:tc>
        <w:tc>
          <w:tcPr>
            <w:tcW w:w="727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7,8</w:t>
            </w:r>
          </w:p>
        </w:tc>
        <w:tc>
          <w:tcPr>
            <w:tcW w:w="727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727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100,8</w:t>
            </w:r>
          </w:p>
        </w:tc>
        <w:tc>
          <w:tcPr>
            <w:tcW w:w="727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99,3</w:t>
            </w:r>
          </w:p>
        </w:tc>
        <w:tc>
          <w:tcPr>
            <w:tcW w:w="729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101,6</w:t>
            </w:r>
          </w:p>
        </w:tc>
        <w:tc>
          <w:tcPr>
            <w:tcW w:w="727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17,9</w:t>
            </w:r>
          </w:p>
        </w:tc>
        <w:tc>
          <w:tcPr>
            <w:tcW w:w="727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18,2</w:t>
            </w:r>
          </w:p>
        </w:tc>
      </w:tr>
      <w:tr w:rsidR="00A60E0A" w:rsidRPr="004E1325" w:rsidTr="007C094B">
        <w:trPr>
          <w:trHeight w:val="355"/>
        </w:trPr>
        <w:tc>
          <w:tcPr>
            <w:tcW w:w="2268" w:type="dxa"/>
            <w:vAlign w:val="center"/>
          </w:tcPr>
          <w:p w:rsidR="00A60E0A" w:rsidRPr="004E1325" w:rsidRDefault="00A60E0A" w:rsidP="00A60E0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14,3</w:t>
            </w:r>
          </w:p>
        </w:tc>
        <w:tc>
          <w:tcPr>
            <w:tcW w:w="727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727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727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104,2</w:t>
            </w:r>
          </w:p>
        </w:tc>
        <w:tc>
          <w:tcPr>
            <w:tcW w:w="727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102,6</w:t>
            </w:r>
          </w:p>
        </w:tc>
        <w:tc>
          <w:tcPr>
            <w:tcW w:w="729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105,0</w:t>
            </w:r>
          </w:p>
        </w:tc>
        <w:tc>
          <w:tcPr>
            <w:tcW w:w="727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8,3</w:t>
            </w:r>
          </w:p>
        </w:tc>
        <w:tc>
          <w:tcPr>
            <w:tcW w:w="727" w:type="dxa"/>
            <w:vAlign w:val="bottom"/>
          </w:tcPr>
          <w:p w:rsidR="00A60E0A" w:rsidRPr="004E1325" w:rsidRDefault="00A60E0A" w:rsidP="00A60E0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8,7</w:t>
            </w:r>
          </w:p>
        </w:tc>
      </w:tr>
      <w:tr w:rsidR="00E642A0" w:rsidRPr="004E1325" w:rsidTr="00055BA7">
        <w:trPr>
          <w:trHeight w:val="342"/>
        </w:trPr>
        <w:tc>
          <w:tcPr>
            <w:tcW w:w="2268" w:type="dxa"/>
            <w:vAlign w:val="center"/>
          </w:tcPr>
          <w:p w:rsidR="00E642A0" w:rsidRPr="004E1325" w:rsidRDefault="00E642A0" w:rsidP="00E642A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vAlign w:val="bottom"/>
          </w:tcPr>
          <w:p w:rsidR="00E642A0" w:rsidRPr="004E1325" w:rsidRDefault="00E642A0" w:rsidP="00E642A0">
            <w:pPr>
              <w:spacing w:before="0"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1325">
              <w:rPr>
                <w:rFonts w:cs="Arial"/>
                <w:b/>
                <w:bCs/>
                <w:sz w:val="16"/>
                <w:szCs w:val="16"/>
              </w:rPr>
              <w:t>5,3</w:t>
            </w:r>
          </w:p>
        </w:tc>
        <w:tc>
          <w:tcPr>
            <w:tcW w:w="727" w:type="dxa"/>
            <w:vAlign w:val="bottom"/>
          </w:tcPr>
          <w:p w:rsidR="00E642A0" w:rsidRPr="004E1325" w:rsidRDefault="00E642A0" w:rsidP="00E642A0">
            <w:pPr>
              <w:spacing w:before="0"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1325">
              <w:rPr>
                <w:rFonts w:cs="Arial"/>
                <w:b/>
                <w:bCs/>
                <w:sz w:val="16"/>
                <w:szCs w:val="16"/>
              </w:rPr>
              <w:t>1,4</w:t>
            </w:r>
          </w:p>
        </w:tc>
        <w:tc>
          <w:tcPr>
            <w:tcW w:w="727" w:type="dxa"/>
            <w:vAlign w:val="bottom"/>
          </w:tcPr>
          <w:p w:rsidR="00E642A0" w:rsidRPr="004E1325" w:rsidRDefault="00E642A0" w:rsidP="00E642A0">
            <w:pPr>
              <w:spacing w:before="0"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E1325">
              <w:rPr>
                <w:rFonts w:cs="Arial"/>
                <w:b/>
                <w:bCs/>
                <w:sz w:val="16"/>
                <w:szCs w:val="16"/>
              </w:rPr>
              <w:t>1,3</w:t>
            </w:r>
          </w:p>
        </w:tc>
        <w:tc>
          <w:tcPr>
            <w:tcW w:w="727" w:type="dxa"/>
          </w:tcPr>
          <w:p w:rsidR="00E642A0" w:rsidRPr="004E1325" w:rsidRDefault="00CB0186" w:rsidP="00E642A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E642A0" w:rsidRPr="004E1325" w:rsidRDefault="00CB0186" w:rsidP="00E642A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E642A0" w:rsidRPr="004E1325" w:rsidRDefault="00CB0186" w:rsidP="00E642A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E642A0" w:rsidRPr="004E1325" w:rsidRDefault="00CB0186" w:rsidP="00E642A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E642A0" w:rsidRPr="004E1325" w:rsidRDefault="00CB0186" w:rsidP="00E642A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E642A0" w:rsidRPr="004E1325" w:rsidTr="00055BA7">
        <w:trPr>
          <w:trHeight w:val="352"/>
        </w:trPr>
        <w:tc>
          <w:tcPr>
            <w:tcW w:w="2268" w:type="dxa"/>
            <w:vAlign w:val="center"/>
          </w:tcPr>
          <w:p w:rsidR="00E642A0" w:rsidRPr="004E1325" w:rsidRDefault="00E642A0" w:rsidP="00E642A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E642A0" w:rsidRPr="004E1325" w:rsidRDefault="00E642A0" w:rsidP="00E642A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27,0</w:t>
            </w:r>
          </w:p>
        </w:tc>
        <w:tc>
          <w:tcPr>
            <w:tcW w:w="727" w:type="dxa"/>
            <w:vAlign w:val="bottom"/>
          </w:tcPr>
          <w:p w:rsidR="00E642A0" w:rsidRPr="004E1325" w:rsidRDefault="00E642A0" w:rsidP="00E642A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727" w:type="dxa"/>
            <w:vAlign w:val="bottom"/>
          </w:tcPr>
          <w:p w:rsidR="00E642A0" w:rsidRPr="004E1325" w:rsidRDefault="00E642A0" w:rsidP="00E642A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727" w:type="dxa"/>
          </w:tcPr>
          <w:p w:rsidR="00E642A0" w:rsidRPr="004E1325" w:rsidRDefault="00CB0186" w:rsidP="00E642A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E642A0" w:rsidRPr="004E1325" w:rsidRDefault="00CB0186" w:rsidP="00E642A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E642A0" w:rsidRPr="004E1325" w:rsidRDefault="00CB0186" w:rsidP="00E642A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E642A0" w:rsidRPr="004E1325" w:rsidRDefault="00CB0186" w:rsidP="00E642A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E642A0" w:rsidRPr="004E1325" w:rsidRDefault="00CB0186" w:rsidP="00E642A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E642A0" w:rsidRPr="004E1325" w:rsidTr="00055BA7">
        <w:trPr>
          <w:trHeight w:val="342"/>
        </w:trPr>
        <w:tc>
          <w:tcPr>
            <w:tcW w:w="2268" w:type="dxa"/>
            <w:vAlign w:val="center"/>
          </w:tcPr>
          <w:p w:rsidR="00E642A0" w:rsidRPr="004E1325" w:rsidRDefault="00E642A0" w:rsidP="00E642A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E642A0" w:rsidRPr="004E1325" w:rsidRDefault="00E642A0" w:rsidP="00E642A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17,5</w:t>
            </w:r>
          </w:p>
        </w:tc>
        <w:tc>
          <w:tcPr>
            <w:tcW w:w="727" w:type="dxa"/>
            <w:vAlign w:val="bottom"/>
          </w:tcPr>
          <w:p w:rsidR="00E642A0" w:rsidRPr="004E1325" w:rsidRDefault="00E642A0" w:rsidP="00E642A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727" w:type="dxa"/>
            <w:vAlign w:val="bottom"/>
          </w:tcPr>
          <w:p w:rsidR="00E642A0" w:rsidRPr="004E1325" w:rsidRDefault="00E642A0" w:rsidP="00E642A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727" w:type="dxa"/>
          </w:tcPr>
          <w:p w:rsidR="00E642A0" w:rsidRPr="004E1325" w:rsidRDefault="00CB0186" w:rsidP="00E642A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E642A0" w:rsidRPr="004E1325" w:rsidRDefault="00CB0186" w:rsidP="00E642A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E642A0" w:rsidRPr="004E1325" w:rsidRDefault="00CB0186" w:rsidP="00E642A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E642A0" w:rsidRPr="004E1325" w:rsidRDefault="00CB0186" w:rsidP="00E642A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E642A0" w:rsidRPr="004E1325" w:rsidRDefault="00CB0186" w:rsidP="00E642A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E642A0" w:rsidRPr="004E1325" w:rsidTr="00055BA7">
        <w:trPr>
          <w:trHeight w:val="313"/>
        </w:trPr>
        <w:tc>
          <w:tcPr>
            <w:tcW w:w="2268" w:type="dxa"/>
            <w:vAlign w:val="center"/>
          </w:tcPr>
          <w:p w:rsidR="00E642A0" w:rsidRPr="004E1325" w:rsidRDefault="00E642A0" w:rsidP="00E642A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E642A0" w:rsidRPr="004E1325" w:rsidRDefault="00E642A0" w:rsidP="00E642A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727" w:type="dxa"/>
            <w:vAlign w:val="bottom"/>
          </w:tcPr>
          <w:p w:rsidR="00E642A0" w:rsidRPr="004E1325" w:rsidRDefault="00E642A0" w:rsidP="00E642A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1,9</w:t>
            </w:r>
          </w:p>
        </w:tc>
        <w:tc>
          <w:tcPr>
            <w:tcW w:w="727" w:type="dxa"/>
            <w:vAlign w:val="bottom"/>
          </w:tcPr>
          <w:p w:rsidR="00E642A0" w:rsidRPr="004E1325" w:rsidRDefault="00E642A0" w:rsidP="00E642A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1,7</w:t>
            </w:r>
          </w:p>
        </w:tc>
        <w:tc>
          <w:tcPr>
            <w:tcW w:w="727" w:type="dxa"/>
          </w:tcPr>
          <w:p w:rsidR="00E642A0" w:rsidRPr="004E1325" w:rsidRDefault="00CB0186" w:rsidP="00E642A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E642A0" w:rsidRPr="004E1325" w:rsidRDefault="00CB0186" w:rsidP="00E642A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E642A0" w:rsidRPr="004E1325" w:rsidRDefault="00CB0186" w:rsidP="00E642A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E642A0" w:rsidRPr="004E1325" w:rsidRDefault="00CB0186" w:rsidP="00E642A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E642A0" w:rsidRPr="004E1325" w:rsidRDefault="00CB0186" w:rsidP="00E642A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E642A0" w:rsidRPr="004E1325" w:rsidTr="00055BA7">
        <w:trPr>
          <w:trHeight w:val="405"/>
        </w:trPr>
        <w:tc>
          <w:tcPr>
            <w:tcW w:w="2268" w:type="dxa"/>
            <w:vAlign w:val="center"/>
          </w:tcPr>
          <w:p w:rsidR="00E642A0" w:rsidRPr="004E1325" w:rsidRDefault="00E642A0" w:rsidP="00E642A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E642A0" w:rsidRPr="004E1325" w:rsidRDefault="00E642A0" w:rsidP="00E642A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-17,0</w:t>
            </w:r>
          </w:p>
        </w:tc>
        <w:tc>
          <w:tcPr>
            <w:tcW w:w="727" w:type="dxa"/>
            <w:vAlign w:val="bottom"/>
          </w:tcPr>
          <w:p w:rsidR="00E642A0" w:rsidRPr="004E1325" w:rsidRDefault="00E642A0" w:rsidP="00E642A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-4,4</w:t>
            </w:r>
          </w:p>
        </w:tc>
        <w:tc>
          <w:tcPr>
            <w:tcW w:w="727" w:type="dxa"/>
            <w:vAlign w:val="bottom"/>
          </w:tcPr>
          <w:p w:rsidR="00E642A0" w:rsidRPr="004E1325" w:rsidRDefault="00E642A0" w:rsidP="00E642A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-4,0</w:t>
            </w:r>
          </w:p>
        </w:tc>
        <w:tc>
          <w:tcPr>
            <w:tcW w:w="727" w:type="dxa"/>
          </w:tcPr>
          <w:p w:rsidR="00E642A0" w:rsidRPr="004E1325" w:rsidRDefault="00CB0186" w:rsidP="00E642A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E642A0" w:rsidRPr="004E1325" w:rsidRDefault="00CB0186" w:rsidP="00E642A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E642A0" w:rsidRPr="004E1325" w:rsidRDefault="00CB0186" w:rsidP="00E642A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E642A0" w:rsidRPr="004E1325" w:rsidRDefault="00CB0186" w:rsidP="00E642A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E642A0" w:rsidRPr="004E1325" w:rsidRDefault="00CB0186" w:rsidP="00E642A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E642A0" w:rsidRPr="004E1325" w:rsidTr="00055BA7">
        <w:trPr>
          <w:trHeight w:val="258"/>
        </w:trPr>
        <w:tc>
          <w:tcPr>
            <w:tcW w:w="2268" w:type="dxa"/>
            <w:vAlign w:val="center"/>
          </w:tcPr>
          <w:p w:rsidR="00E642A0" w:rsidRPr="004E1325" w:rsidRDefault="00E642A0" w:rsidP="00E642A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E642A0" w:rsidRPr="004E1325" w:rsidRDefault="00E642A0" w:rsidP="00E642A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-4,7</w:t>
            </w:r>
          </w:p>
        </w:tc>
        <w:tc>
          <w:tcPr>
            <w:tcW w:w="727" w:type="dxa"/>
            <w:vAlign w:val="bottom"/>
          </w:tcPr>
          <w:p w:rsidR="00E642A0" w:rsidRPr="004E1325" w:rsidRDefault="00E642A0" w:rsidP="00E642A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-1,2</w:t>
            </w:r>
          </w:p>
        </w:tc>
        <w:tc>
          <w:tcPr>
            <w:tcW w:w="727" w:type="dxa"/>
            <w:vAlign w:val="bottom"/>
          </w:tcPr>
          <w:p w:rsidR="00E642A0" w:rsidRPr="004E1325" w:rsidRDefault="00E642A0" w:rsidP="00E642A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-1,1</w:t>
            </w:r>
          </w:p>
        </w:tc>
        <w:tc>
          <w:tcPr>
            <w:tcW w:w="727" w:type="dxa"/>
          </w:tcPr>
          <w:p w:rsidR="00E642A0" w:rsidRPr="004E1325" w:rsidRDefault="00CB0186" w:rsidP="00E642A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E642A0" w:rsidRPr="004E1325" w:rsidRDefault="00CB0186" w:rsidP="00E642A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E642A0" w:rsidRPr="004E1325" w:rsidRDefault="00CB0186" w:rsidP="00E642A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E642A0" w:rsidRPr="004E1325" w:rsidRDefault="00CB0186" w:rsidP="00E642A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E642A0" w:rsidRPr="004E1325" w:rsidRDefault="00CB0186" w:rsidP="00E642A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</w:tbl>
    <w:p w:rsidR="008F20EF" w:rsidRDefault="008F20EF" w:rsidP="0038490F">
      <w:pPr>
        <w:pStyle w:val="Nagwek1"/>
        <w:rPr>
          <w:sz w:val="18"/>
          <w:szCs w:val="18"/>
        </w:rPr>
      </w:pPr>
    </w:p>
    <w:p w:rsidR="00F71623" w:rsidRPr="001521EB" w:rsidRDefault="00F71623" w:rsidP="00F71623">
      <w:pPr>
        <w:pStyle w:val="Nagwek1"/>
        <w:rPr>
          <w:sz w:val="18"/>
          <w:szCs w:val="18"/>
        </w:rPr>
      </w:pPr>
      <w:r w:rsidRPr="001521EB">
        <w:rPr>
          <w:sz w:val="18"/>
          <w:szCs w:val="18"/>
        </w:rPr>
        <w:t>Import według kraju wysyłki – według krajów</w:t>
      </w:r>
    </w:p>
    <w:p w:rsidR="008935C5" w:rsidRDefault="009C17B6" w:rsidP="00366025">
      <w:pPr>
        <w:rPr>
          <w:b/>
          <w:noProof/>
          <w:spacing w:val="-2"/>
          <w:sz w:val="18"/>
          <w:szCs w:val="18"/>
          <w:lang w:eastAsia="pl-PL"/>
        </w:rPr>
      </w:pPr>
      <w:r w:rsidRPr="007E3795">
        <w:rPr>
          <w:sz w:val="18"/>
          <w:szCs w:val="18"/>
        </w:rPr>
        <w:t xml:space="preserve">Udział </w:t>
      </w:r>
      <w:r w:rsidR="00FC1401">
        <w:rPr>
          <w:sz w:val="18"/>
          <w:szCs w:val="18"/>
        </w:rPr>
        <w:t>Holandii</w:t>
      </w:r>
      <w:r w:rsidRPr="007E3795">
        <w:rPr>
          <w:sz w:val="18"/>
          <w:szCs w:val="18"/>
        </w:rPr>
        <w:t xml:space="preserve"> w imporcie według  </w:t>
      </w:r>
      <w:r w:rsidRPr="007E3795">
        <w:rPr>
          <w:rFonts w:cs="Arial"/>
          <w:sz w:val="18"/>
          <w:szCs w:val="18"/>
        </w:rPr>
        <w:t>kraju wysyłki</w:t>
      </w:r>
      <w:r w:rsidR="001866D5" w:rsidRPr="007E3795">
        <w:rPr>
          <w:rFonts w:cs="Arial"/>
          <w:sz w:val="18"/>
          <w:szCs w:val="18"/>
        </w:rPr>
        <w:t>,</w:t>
      </w:r>
      <w:r w:rsidRPr="007E3795">
        <w:rPr>
          <w:rFonts w:cs="Arial"/>
          <w:sz w:val="18"/>
          <w:szCs w:val="18"/>
        </w:rPr>
        <w:t xml:space="preserve"> </w:t>
      </w:r>
      <w:r w:rsidR="001866D5" w:rsidRPr="007E3795">
        <w:rPr>
          <w:rFonts w:cs="Arial"/>
          <w:sz w:val="18"/>
          <w:szCs w:val="18"/>
        </w:rPr>
        <w:t xml:space="preserve">w porównaniu z </w:t>
      </w:r>
      <w:r w:rsidRPr="007E3795">
        <w:rPr>
          <w:rFonts w:cs="Arial"/>
          <w:sz w:val="18"/>
          <w:szCs w:val="18"/>
        </w:rPr>
        <w:t>import</w:t>
      </w:r>
      <w:r w:rsidR="001866D5" w:rsidRPr="007E3795">
        <w:rPr>
          <w:rFonts w:cs="Arial"/>
          <w:sz w:val="18"/>
          <w:szCs w:val="18"/>
        </w:rPr>
        <w:t>em</w:t>
      </w:r>
      <w:r w:rsidRPr="007E3795">
        <w:rPr>
          <w:rFonts w:cs="Arial"/>
          <w:sz w:val="18"/>
          <w:szCs w:val="18"/>
        </w:rPr>
        <w:t xml:space="preserve"> według kraju pochodzenia</w:t>
      </w:r>
      <w:r w:rsidR="001866D5" w:rsidRPr="007E3795">
        <w:rPr>
          <w:rFonts w:cs="Arial"/>
          <w:sz w:val="18"/>
          <w:szCs w:val="18"/>
        </w:rPr>
        <w:t>,</w:t>
      </w:r>
      <w:r w:rsidRPr="001521EB">
        <w:rPr>
          <w:rFonts w:cs="Arial"/>
          <w:sz w:val="18"/>
          <w:szCs w:val="18"/>
        </w:rPr>
        <w:t xml:space="preserve"> </w:t>
      </w:r>
      <w:r w:rsidR="008C317D" w:rsidRPr="001521EB">
        <w:rPr>
          <w:rFonts w:cs="Arial"/>
          <w:sz w:val="18"/>
          <w:szCs w:val="18"/>
        </w:rPr>
        <w:t>był większy</w:t>
      </w:r>
      <w:r w:rsidRPr="001521EB">
        <w:rPr>
          <w:rFonts w:cs="Arial"/>
          <w:sz w:val="18"/>
          <w:szCs w:val="18"/>
        </w:rPr>
        <w:t xml:space="preserve"> </w:t>
      </w:r>
      <w:r w:rsidRPr="004E1325">
        <w:rPr>
          <w:rFonts w:cs="Arial"/>
          <w:sz w:val="18"/>
          <w:szCs w:val="18"/>
        </w:rPr>
        <w:t xml:space="preserve">o </w:t>
      </w:r>
      <w:r w:rsidR="00471416" w:rsidRPr="004E1325">
        <w:rPr>
          <w:rFonts w:cs="Arial"/>
          <w:sz w:val="18"/>
          <w:szCs w:val="18"/>
        </w:rPr>
        <w:t>1,</w:t>
      </w:r>
      <w:r w:rsidR="00BC04E5" w:rsidRPr="004E1325">
        <w:rPr>
          <w:rFonts w:cs="Arial"/>
          <w:sz w:val="18"/>
          <w:szCs w:val="18"/>
        </w:rPr>
        <w:t>9</w:t>
      </w:r>
      <w:r w:rsidR="0099454C" w:rsidRPr="004E1325">
        <w:rPr>
          <w:rFonts w:cs="Arial"/>
          <w:sz w:val="18"/>
          <w:szCs w:val="18"/>
        </w:rPr>
        <w:t xml:space="preserve"> p. proc., </w:t>
      </w:r>
      <w:r w:rsidR="00487646" w:rsidRPr="004E1325">
        <w:rPr>
          <w:rFonts w:cs="Arial"/>
          <w:sz w:val="18"/>
          <w:szCs w:val="18"/>
        </w:rPr>
        <w:t>Belgii o 1,</w:t>
      </w:r>
      <w:r w:rsidR="00231730" w:rsidRPr="004E1325">
        <w:rPr>
          <w:rFonts w:cs="Arial"/>
          <w:sz w:val="18"/>
          <w:szCs w:val="18"/>
        </w:rPr>
        <w:t>3</w:t>
      </w:r>
      <w:r w:rsidR="00487646" w:rsidRPr="004E1325">
        <w:rPr>
          <w:rFonts w:cs="Arial"/>
          <w:sz w:val="18"/>
          <w:szCs w:val="18"/>
        </w:rPr>
        <w:t xml:space="preserve"> </w:t>
      </w:r>
      <w:r w:rsidR="00FD2E48" w:rsidRPr="004E1325">
        <w:rPr>
          <w:rFonts w:cs="Arial"/>
          <w:sz w:val="18"/>
          <w:szCs w:val="18"/>
        </w:rPr>
        <w:t xml:space="preserve">p. proc., </w:t>
      </w:r>
      <w:r w:rsidR="00293800" w:rsidRPr="004E1325">
        <w:rPr>
          <w:rFonts w:cs="Arial"/>
          <w:sz w:val="18"/>
          <w:szCs w:val="18"/>
        </w:rPr>
        <w:t>Czech o 0,</w:t>
      </w:r>
      <w:r w:rsidR="00231730" w:rsidRPr="004E1325">
        <w:rPr>
          <w:rFonts w:cs="Arial"/>
          <w:sz w:val="18"/>
          <w:szCs w:val="18"/>
        </w:rPr>
        <w:t>7</w:t>
      </w:r>
      <w:r w:rsidR="00293800" w:rsidRPr="004E1325">
        <w:rPr>
          <w:rFonts w:cs="Arial"/>
          <w:sz w:val="18"/>
          <w:szCs w:val="18"/>
        </w:rPr>
        <w:t xml:space="preserve"> p. proc.</w:t>
      </w:r>
      <w:r w:rsidR="00316AB5" w:rsidRPr="004E1325">
        <w:rPr>
          <w:rFonts w:cs="Arial"/>
          <w:sz w:val="18"/>
          <w:szCs w:val="18"/>
        </w:rPr>
        <w:t xml:space="preserve">, </w:t>
      </w:r>
      <w:r w:rsidR="0012536F" w:rsidRPr="004E1325">
        <w:rPr>
          <w:rFonts w:cs="Arial"/>
          <w:sz w:val="18"/>
          <w:szCs w:val="18"/>
        </w:rPr>
        <w:t>a</w:t>
      </w:r>
      <w:r w:rsidR="00231730" w:rsidRPr="004E1325">
        <w:rPr>
          <w:rFonts w:cs="Arial"/>
          <w:sz w:val="18"/>
          <w:szCs w:val="18"/>
        </w:rPr>
        <w:t xml:space="preserve"> Rosji i </w:t>
      </w:r>
      <w:r w:rsidR="0012536F" w:rsidRPr="004E1325">
        <w:rPr>
          <w:rFonts w:cs="Arial"/>
          <w:sz w:val="18"/>
          <w:szCs w:val="18"/>
        </w:rPr>
        <w:t>Francji o 0,</w:t>
      </w:r>
      <w:r w:rsidR="00A82D0A" w:rsidRPr="004E1325">
        <w:rPr>
          <w:rFonts w:cs="Arial"/>
          <w:sz w:val="18"/>
          <w:szCs w:val="18"/>
        </w:rPr>
        <w:t>5</w:t>
      </w:r>
      <w:r w:rsidR="0012536F" w:rsidRPr="004E1325">
        <w:rPr>
          <w:rFonts w:cs="Arial"/>
          <w:sz w:val="18"/>
          <w:szCs w:val="18"/>
        </w:rPr>
        <w:t xml:space="preserve"> p.</w:t>
      </w:r>
      <w:r w:rsidR="0012536F">
        <w:rPr>
          <w:rFonts w:cs="Arial"/>
          <w:sz w:val="18"/>
          <w:szCs w:val="18"/>
        </w:rPr>
        <w:t xml:space="preserve"> proc.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I </w:t>
            </w:r>
            <w:r w:rsidR="007262F5">
              <w:rPr>
                <w:rFonts w:cs="Arial"/>
                <w:sz w:val="16"/>
                <w:szCs w:val="16"/>
              </w:rPr>
              <w:t xml:space="preserve">– II  </w:t>
            </w:r>
            <w:r w:rsidRPr="005F3D74">
              <w:rPr>
                <w:rFonts w:cs="Arial"/>
                <w:sz w:val="16"/>
                <w:szCs w:val="16"/>
              </w:rPr>
              <w:t>20</w:t>
            </w:r>
            <w:r w:rsidR="00AB37BC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AB37BC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B37BC">
              <w:rPr>
                <w:rFonts w:cs="Arial"/>
                <w:sz w:val="16"/>
                <w:szCs w:val="16"/>
              </w:rPr>
              <w:t>20</w:t>
            </w:r>
          </w:p>
        </w:tc>
      </w:tr>
      <w:tr w:rsidR="008107C8" w:rsidRPr="005F3D74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7262F5">
              <w:rPr>
                <w:rFonts w:cs="Arial"/>
                <w:sz w:val="16"/>
                <w:szCs w:val="16"/>
              </w:rPr>
              <w:t xml:space="preserve"> – II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AB37BC">
              <w:rPr>
                <w:rFonts w:cs="Arial"/>
                <w:sz w:val="16"/>
                <w:szCs w:val="16"/>
              </w:rPr>
              <w:t>9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7262F5">
              <w:rPr>
                <w:rFonts w:cs="Arial"/>
                <w:sz w:val="16"/>
                <w:szCs w:val="16"/>
              </w:rPr>
              <w:t xml:space="preserve"> – II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5F3D74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8107C8" w:rsidRPr="005F3D74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7262F5" w:rsidTr="007262F5">
        <w:trPr>
          <w:trHeight w:val="316"/>
        </w:trPr>
        <w:tc>
          <w:tcPr>
            <w:tcW w:w="2317" w:type="dxa"/>
            <w:vAlign w:val="bottom"/>
          </w:tcPr>
          <w:p w:rsidR="007262F5" w:rsidRPr="0038490F" w:rsidRDefault="007262F5" w:rsidP="007262F5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44,4</w:t>
            </w:r>
          </w:p>
        </w:tc>
        <w:tc>
          <w:tcPr>
            <w:tcW w:w="743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11,6</w:t>
            </w:r>
          </w:p>
        </w:tc>
        <w:tc>
          <w:tcPr>
            <w:tcW w:w="743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10,5</w:t>
            </w:r>
          </w:p>
        </w:tc>
        <w:tc>
          <w:tcPr>
            <w:tcW w:w="645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97,8</w:t>
            </w:r>
          </w:p>
        </w:tc>
        <w:tc>
          <w:tcPr>
            <w:tcW w:w="645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96,4</w:t>
            </w:r>
          </w:p>
        </w:tc>
        <w:tc>
          <w:tcPr>
            <w:tcW w:w="648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98,6</w:t>
            </w:r>
          </w:p>
        </w:tc>
        <w:tc>
          <w:tcPr>
            <w:tcW w:w="619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27,4</w:t>
            </w:r>
          </w:p>
        </w:tc>
        <w:tc>
          <w:tcPr>
            <w:tcW w:w="622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27,1</w:t>
            </w:r>
          </w:p>
        </w:tc>
      </w:tr>
      <w:tr w:rsidR="007262F5" w:rsidTr="007262F5">
        <w:trPr>
          <w:trHeight w:val="316"/>
        </w:trPr>
        <w:tc>
          <w:tcPr>
            <w:tcW w:w="2317" w:type="dxa"/>
            <w:vAlign w:val="bottom"/>
          </w:tcPr>
          <w:p w:rsidR="007262F5" w:rsidRPr="0038490F" w:rsidRDefault="007262F5" w:rsidP="007262F5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14,7</w:t>
            </w:r>
          </w:p>
        </w:tc>
        <w:tc>
          <w:tcPr>
            <w:tcW w:w="743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743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45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103,0</w:t>
            </w:r>
          </w:p>
        </w:tc>
        <w:tc>
          <w:tcPr>
            <w:tcW w:w="645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101,4</w:t>
            </w:r>
          </w:p>
        </w:tc>
        <w:tc>
          <w:tcPr>
            <w:tcW w:w="648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103,8</w:t>
            </w:r>
          </w:p>
        </w:tc>
        <w:tc>
          <w:tcPr>
            <w:tcW w:w="619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8,6</w:t>
            </w:r>
          </w:p>
        </w:tc>
        <w:tc>
          <w:tcPr>
            <w:tcW w:w="622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8,9</w:t>
            </w:r>
          </w:p>
        </w:tc>
      </w:tr>
      <w:tr w:rsidR="007262F5" w:rsidTr="007262F5">
        <w:trPr>
          <w:trHeight w:val="316"/>
        </w:trPr>
        <w:tc>
          <w:tcPr>
            <w:tcW w:w="2317" w:type="dxa"/>
            <w:vAlign w:val="bottom"/>
          </w:tcPr>
          <w:p w:rsidR="007262F5" w:rsidRPr="0038490F" w:rsidRDefault="007262F5" w:rsidP="007262F5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3. Rosja </w:t>
            </w:r>
          </w:p>
        </w:tc>
        <w:tc>
          <w:tcPr>
            <w:tcW w:w="743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11,2</w:t>
            </w:r>
          </w:p>
        </w:tc>
        <w:tc>
          <w:tcPr>
            <w:tcW w:w="743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743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45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107,7</w:t>
            </w:r>
          </w:p>
        </w:tc>
        <w:tc>
          <w:tcPr>
            <w:tcW w:w="645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106,1</w:t>
            </w:r>
          </w:p>
        </w:tc>
        <w:tc>
          <w:tcPr>
            <w:tcW w:w="648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108,6</w:t>
            </w:r>
          </w:p>
        </w:tc>
        <w:tc>
          <w:tcPr>
            <w:tcW w:w="619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22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6,8</w:t>
            </w:r>
          </w:p>
        </w:tc>
      </w:tr>
      <w:tr w:rsidR="007262F5" w:rsidTr="007262F5">
        <w:trPr>
          <w:trHeight w:val="316"/>
        </w:trPr>
        <w:tc>
          <w:tcPr>
            <w:tcW w:w="2317" w:type="dxa"/>
            <w:vAlign w:val="bottom"/>
          </w:tcPr>
          <w:p w:rsidR="007262F5" w:rsidRPr="0038490F" w:rsidRDefault="007262F5" w:rsidP="007262F5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4. Holandia</w:t>
            </w:r>
          </w:p>
        </w:tc>
        <w:tc>
          <w:tcPr>
            <w:tcW w:w="743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8,4</w:t>
            </w:r>
          </w:p>
        </w:tc>
        <w:tc>
          <w:tcPr>
            <w:tcW w:w="743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2,2</w:t>
            </w:r>
          </w:p>
        </w:tc>
        <w:tc>
          <w:tcPr>
            <w:tcW w:w="743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2,0</w:t>
            </w:r>
          </w:p>
        </w:tc>
        <w:tc>
          <w:tcPr>
            <w:tcW w:w="645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96,6</w:t>
            </w:r>
          </w:p>
        </w:tc>
        <w:tc>
          <w:tcPr>
            <w:tcW w:w="645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95,1</w:t>
            </w:r>
          </w:p>
        </w:tc>
        <w:tc>
          <w:tcPr>
            <w:tcW w:w="648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97,4</w:t>
            </w:r>
          </w:p>
        </w:tc>
        <w:tc>
          <w:tcPr>
            <w:tcW w:w="619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622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5,1</w:t>
            </w:r>
          </w:p>
        </w:tc>
      </w:tr>
      <w:tr w:rsidR="007262F5" w:rsidTr="007262F5">
        <w:trPr>
          <w:trHeight w:val="316"/>
        </w:trPr>
        <w:tc>
          <w:tcPr>
            <w:tcW w:w="2317" w:type="dxa"/>
            <w:vAlign w:val="bottom"/>
          </w:tcPr>
          <w:p w:rsidR="007262F5" w:rsidRPr="0038490F" w:rsidRDefault="007262F5" w:rsidP="007262F5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43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7,8</w:t>
            </w:r>
          </w:p>
        </w:tc>
        <w:tc>
          <w:tcPr>
            <w:tcW w:w="743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2,0</w:t>
            </w:r>
          </w:p>
        </w:tc>
        <w:tc>
          <w:tcPr>
            <w:tcW w:w="743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1,8</w:t>
            </w:r>
          </w:p>
        </w:tc>
        <w:tc>
          <w:tcPr>
            <w:tcW w:w="645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99,7</w:t>
            </w:r>
          </w:p>
        </w:tc>
        <w:tc>
          <w:tcPr>
            <w:tcW w:w="645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98,2</w:t>
            </w:r>
          </w:p>
        </w:tc>
        <w:tc>
          <w:tcPr>
            <w:tcW w:w="648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100,5</w:t>
            </w:r>
          </w:p>
        </w:tc>
        <w:tc>
          <w:tcPr>
            <w:tcW w:w="619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622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4,8</w:t>
            </w:r>
          </w:p>
        </w:tc>
      </w:tr>
      <w:tr w:rsidR="007262F5" w:rsidTr="007262F5">
        <w:trPr>
          <w:trHeight w:val="316"/>
        </w:trPr>
        <w:tc>
          <w:tcPr>
            <w:tcW w:w="2317" w:type="dxa"/>
            <w:vAlign w:val="bottom"/>
          </w:tcPr>
          <w:p w:rsidR="007262F5" w:rsidRPr="0038490F" w:rsidRDefault="007262F5" w:rsidP="007262F5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43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6,7</w:t>
            </w:r>
          </w:p>
        </w:tc>
        <w:tc>
          <w:tcPr>
            <w:tcW w:w="743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1,8</w:t>
            </w:r>
          </w:p>
        </w:tc>
        <w:tc>
          <w:tcPr>
            <w:tcW w:w="743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1,6</w:t>
            </w:r>
          </w:p>
        </w:tc>
        <w:tc>
          <w:tcPr>
            <w:tcW w:w="645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102,8</w:t>
            </w:r>
          </w:p>
        </w:tc>
        <w:tc>
          <w:tcPr>
            <w:tcW w:w="645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101,3</w:t>
            </w:r>
          </w:p>
        </w:tc>
        <w:tc>
          <w:tcPr>
            <w:tcW w:w="648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103,6</w:t>
            </w:r>
          </w:p>
        </w:tc>
        <w:tc>
          <w:tcPr>
            <w:tcW w:w="619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22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4,1</w:t>
            </w:r>
          </w:p>
        </w:tc>
      </w:tr>
      <w:tr w:rsidR="007262F5" w:rsidTr="007262F5">
        <w:trPr>
          <w:trHeight w:val="316"/>
        </w:trPr>
        <w:tc>
          <w:tcPr>
            <w:tcW w:w="2317" w:type="dxa"/>
            <w:vAlign w:val="bottom"/>
          </w:tcPr>
          <w:p w:rsidR="007262F5" w:rsidRPr="0038490F" w:rsidRDefault="007262F5" w:rsidP="007262F5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43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6,5</w:t>
            </w:r>
          </w:p>
        </w:tc>
        <w:tc>
          <w:tcPr>
            <w:tcW w:w="743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1,7</w:t>
            </w:r>
          </w:p>
        </w:tc>
        <w:tc>
          <w:tcPr>
            <w:tcW w:w="743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645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98,6</w:t>
            </w:r>
          </w:p>
        </w:tc>
        <w:tc>
          <w:tcPr>
            <w:tcW w:w="645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97,1</w:t>
            </w:r>
          </w:p>
        </w:tc>
        <w:tc>
          <w:tcPr>
            <w:tcW w:w="648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99,4</w:t>
            </w:r>
          </w:p>
        </w:tc>
        <w:tc>
          <w:tcPr>
            <w:tcW w:w="619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22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4,0</w:t>
            </w:r>
          </w:p>
        </w:tc>
      </w:tr>
      <w:tr w:rsidR="007262F5" w:rsidTr="007262F5">
        <w:trPr>
          <w:trHeight w:val="316"/>
        </w:trPr>
        <w:tc>
          <w:tcPr>
            <w:tcW w:w="2317" w:type="dxa"/>
            <w:vAlign w:val="bottom"/>
          </w:tcPr>
          <w:p w:rsidR="007262F5" w:rsidRPr="0038490F" w:rsidRDefault="007262F5" w:rsidP="007262F5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8. Belgia</w:t>
            </w:r>
          </w:p>
        </w:tc>
        <w:tc>
          <w:tcPr>
            <w:tcW w:w="743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5,8</w:t>
            </w:r>
          </w:p>
        </w:tc>
        <w:tc>
          <w:tcPr>
            <w:tcW w:w="743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743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1,4</w:t>
            </w:r>
          </w:p>
        </w:tc>
        <w:tc>
          <w:tcPr>
            <w:tcW w:w="645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98,3</w:t>
            </w:r>
          </w:p>
        </w:tc>
        <w:tc>
          <w:tcPr>
            <w:tcW w:w="645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96,9</w:t>
            </w:r>
          </w:p>
        </w:tc>
        <w:tc>
          <w:tcPr>
            <w:tcW w:w="648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99,1</w:t>
            </w:r>
          </w:p>
        </w:tc>
        <w:tc>
          <w:tcPr>
            <w:tcW w:w="619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22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3,5</w:t>
            </w:r>
          </w:p>
        </w:tc>
      </w:tr>
      <w:tr w:rsidR="007262F5" w:rsidTr="007262F5">
        <w:trPr>
          <w:trHeight w:val="316"/>
        </w:trPr>
        <w:tc>
          <w:tcPr>
            <w:tcW w:w="2317" w:type="dxa"/>
            <w:vAlign w:val="bottom"/>
          </w:tcPr>
          <w:p w:rsidR="007262F5" w:rsidRPr="0038490F" w:rsidRDefault="007262F5" w:rsidP="007262F5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W. Brytania</w:t>
            </w:r>
          </w:p>
        </w:tc>
        <w:tc>
          <w:tcPr>
            <w:tcW w:w="743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743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1,0</w:t>
            </w:r>
          </w:p>
        </w:tc>
        <w:tc>
          <w:tcPr>
            <w:tcW w:w="743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0,9</w:t>
            </w:r>
          </w:p>
        </w:tc>
        <w:tc>
          <w:tcPr>
            <w:tcW w:w="645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92,3</w:t>
            </w:r>
          </w:p>
        </w:tc>
        <w:tc>
          <w:tcPr>
            <w:tcW w:w="645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90,9</w:t>
            </w:r>
          </w:p>
        </w:tc>
        <w:tc>
          <w:tcPr>
            <w:tcW w:w="648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93,1</w:t>
            </w:r>
          </w:p>
        </w:tc>
        <w:tc>
          <w:tcPr>
            <w:tcW w:w="619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22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2,4</w:t>
            </w:r>
          </w:p>
        </w:tc>
      </w:tr>
      <w:tr w:rsidR="007262F5" w:rsidTr="007262F5">
        <w:trPr>
          <w:trHeight w:val="316"/>
        </w:trPr>
        <w:tc>
          <w:tcPr>
            <w:tcW w:w="2317" w:type="dxa"/>
            <w:vAlign w:val="bottom"/>
          </w:tcPr>
          <w:p w:rsidR="007262F5" w:rsidRPr="0038490F" w:rsidRDefault="007262F5" w:rsidP="007262F5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Hiszpania   </w:t>
            </w:r>
          </w:p>
        </w:tc>
        <w:tc>
          <w:tcPr>
            <w:tcW w:w="743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743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1,0</w:t>
            </w:r>
          </w:p>
        </w:tc>
        <w:tc>
          <w:tcPr>
            <w:tcW w:w="743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0,9</w:t>
            </w:r>
          </w:p>
        </w:tc>
        <w:tc>
          <w:tcPr>
            <w:tcW w:w="645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100,8</w:t>
            </w:r>
          </w:p>
        </w:tc>
        <w:tc>
          <w:tcPr>
            <w:tcW w:w="645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99,3</w:t>
            </w:r>
          </w:p>
        </w:tc>
        <w:tc>
          <w:tcPr>
            <w:tcW w:w="648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101,7</w:t>
            </w:r>
          </w:p>
        </w:tc>
        <w:tc>
          <w:tcPr>
            <w:tcW w:w="619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22" w:type="dxa"/>
            <w:vAlign w:val="bottom"/>
          </w:tcPr>
          <w:p w:rsidR="007262F5" w:rsidRPr="004E1325" w:rsidRDefault="007262F5" w:rsidP="007262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F71623" w:rsidRPr="00F71623" w:rsidRDefault="00F71623" w:rsidP="00F71623">
      <w:pPr>
        <w:pStyle w:val="Nagwek1"/>
        <w:rPr>
          <w:color w:val="auto"/>
          <w:sz w:val="18"/>
          <w:szCs w:val="18"/>
        </w:rPr>
      </w:pPr>
      <w:r w:rsidRPr="00F71623">
        <w:rPr>
          <w:color w:val="auto"/>
          <w:sz w:val="18"/>
          <w:szCs w:val="18"/>
        </w:rPr>
        <w:t>Tablica 4. Import według kraju wysyłki – według krajów</w:t>
      </w:r>
    </w:p>
    <w:p w:rsidR="008F20EF" w:rsidRDefault="00231730" w:rsidP="00032C1F">
      <w:pPr>
        <w:rPr>
          <w:spacing w:val="-3"/>
          <w:szCs w:val="19"/>
        </w:rPr>
      </w:pPr>
      <w:r w:rsidRPr="003718AC">
        <w:rPr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74366AD3" wp14:editId="66AD0714">
                <wp:simplePos x="0" y="0"/>
                <wp:positionH relativeFrom="column">
                  <wp:posOffset>5267325</wp:posOffset>
                </wp:positionH>
                <wp:positionV relativeFrom="paragraph">
                  <wp:posOffset>1340485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1EA" w:rsidRPr="009A5C86" w:rsidRDefault="001651EA" w:rsidP="003718AC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Import z Chin według kraju wysyłki w stosunku do importu według kraju </w:t>
                            </w:r>
                            <w:r w:rsidRPr="004E1325">
                              <w:t>pochodzenia był mniejszy o 4,4%, a z Niem</w:t>
                            </w:r>
                            <w:r w:rsidR="004E1325" w:rsidRPr="004E1325">
                              <w:t>ie</w:t>
                            </w:r>
                            <w:r w:rsidR="00666F55">
                              <w:t>c na tym samym poziomie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66AD3" id="_x0000_s1032" type="#_x0000_t202" style="position:absolute;margin-left:414.75pt;margin-top:105.55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" filled="f" stroked="f">
                <v:textbox>
                  <w:txbxContent>
                    <w:p w:rsidR="001651EA" w:rsidRPr="009A5C86" w:rsidRDefault="001651EA" w:rsidP="003718AC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t xml:space="preserve">Import z Chin według kraju wysyłki w stosunku do importu według kraju </w:t>
                      </w:r>
                      <w:r w:rsidRPr="004E1325">
                        <w:t>pochodzenia był mniejszy o 4,4%, a z Niem</w:t>
                      </w:r>
                      <w:r w:rsidR="004E1325" w:rsidRPr="004E1325">
                        <w:t>ie</w:t>
                      </w:r>
                      <w:r w:rsidR="00666F55">
                        <w:t>c na tym samym poziomie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32C1F" w:rsidRPr="00927398" w:rsidRDefault="00D22E95" w:rsidP="00032C1F">
      <w:pPr>
        <w:rPr>
          <w:spacing w:val="-3"/>
          <w:szCs w:val="19"/>
        </w:rPr>
      </w:pPr>
      <w:r>
        <w:rPr>
          <w:spacing w:val="-3"/>
          <w:szCs w:val="19"/>
        </w:rPr>
        <w:lastRenderedPageBreak/>
        <w:t xml:space="preserve">W </w:t>
      </w:r>
      <w:r w:rsidR="00724F51">
        <w:rPr>
          <w:spacing w:val="-3"/>
          <w:szCs w:val="19"/>
        </w:rPr>
        <w:t xml:space="preserve">okresie </w:t>
      </w:r>
      <w:r>
        <w:rPr>
          <w:spacing w:val="-3"/>
          <w:szCs w:val="19"/>
        </w:rPr>
        <w:t>stycz</w:t>
      </w:r>
      <w:r w:rsidR="00724F51">
        <w:rPr>
          <w:spacing w:val="-3"/>
          <w:szCs w:val="19"/>
        </w:rPr>
        <w:t xml:space="preserve">eń – luty </w:t>
      </w:r>
      <w:r>
        <w:rPr>
          <w:spacing w:val="-3"/>
          <w:szCs w:val="19"/>
        </w:rPr>
        <w:t>br.</w:t>
      </w:r>
      <w:r w:rsidR="00032C1F" w:rsidRPr="003B1303">
        <w:rPr>
          <w:spacing w:val="-3"/>
          <w:szCs w:val="19"/>
        </w:rPr>
        <w:t xml:space="preserve"> w obrotach towarowych wg nomenklatury SITC w porównaniu z </w:t>
      </w:r>
      <w:r>
        <w:rPr>
          <w:spacing w:val="-3"/>
          <w:szCs w:val="19"/>
        </w:rPr>
        <w:t>analogicznym okresem</w:t>
      </w:r>
      <w:r w:rsidR="00032C1F" w:rsidRPr="003B1303">
        <w:rPr>
          <w:spacing w:val="-3"/>
          <w:szCs w:val="19"/>
        </w:rPr>
        <w:t xml:space="preserve"> </w:t>
      </w:r>
      <w:r w:rsidR="0090601C">
        <w:rPr>
          <w:spacing w:val="-3"/>
          <w:szCs w:val="19"/>
        </w:rPr>
        <w:t>201</w:t>
      </w:r>
      <w:r>
        <w:rPr>
          <w:spacing w:val="-3"/>
          <w:szCs w:val="19"/>
        </w:rPr>
        <w:t>9</w:t>
      </w:r>
      <w:r w:rsidR="00032C1F" w:rsidRPr="003B1303">
        <w:rPr>
          <w:spacing w:val="-3"/>
          <w:szCs w:val="19"/>
        </w:rPr>
        <w:t xml:space="preserve"> r. odnotowano wzrost w</w:t>
      </w:r>
      <w:r w:rsidR="009B44D4" w:rsidRPr="003B1303">
        <w:rPr>
          <w:spacing w:val="-3"/>
          <w:szCs w:val="19"/>
        </w:rPr>
        <w:t xml:space="preserve"> większości</w:t>
      </w:r>
      <w:r w:rsidR="00032C1F" w:rsidRPr="003B1303">
        <w:rPr>
          <w:spacing w:val="-3"/>
          <w:szCs w:val="19"/>
        </w:rPr>
        <w:t xml:space="preserve"> sekcj</w:t>
      </w:r>
      <w:r w:rsidR="009B44D4" w:rsidRPr="003B1303">
        <w:rPr>
          <w:spacing w:val="-3"/>
          <w:szCs w:val="19"/>
        </w:rPr>
        <w:t>i</w:t>
      </w:r>
      <w:r w:rsidR="00032C1F" w:rsidRPr="003B1303">
        <w:rPr>
          <w:spacing w:val="-3"/>
          <w:szCs w:val="19"/>
        </w:rPr>
        <w:t xml:space="preserve"> towarowych</w:t>
      </w:r>
      <w:r w:rsidR="00032C1F" w:rsidRPr="00927398">
        <w:rPr>
          <w:spacing w:val="-3"/>
          <w:szCs w:val="19"/>
        </w:rPr>
        <w:t xml:space="preserve">. </w:t>
      </w:r>
    </w:p>
    <w:p w:rsidR="003749BC" w:rsidRPr="004E1325" w:rsidRDefault="00032C1F" w:rsidP="003749BC">
      <w:r w:rsidRPr="003B1303">
        <w:rPr>
          <w:spacing w:val="-3"/>
          <w:szCs w:val="19"/>
        </w:rPr>
        <w:t xml:space="preserve">W eksporcie największy wzrost dotyczył </w:t>
      </w:r>
      <w:r w:rsidR="00F931AB" w:rsidRPr="003B1303">
        <w:rPr>
          <w:spacing w:val="-3"/>
          <w:szCs w:val="19"/>
        </w:rPr>
        <w:t xml:space="preserve">napojów i </w:t>
      </w:r>
      <w:r w:rsidR="00F931AB" w:rsidRPr="004E1325">
        <w:rPr>
          <w:spacing w:val="-3"/>
          <w:szCs w:val="19"/>
        </w:rPr>
        <w:t>tytoniu (o 11,1%),</w:t>
      </w:r>
      <w:r w:rsidR="004E1325" w:rsidRPr="004E1325">
        <w:rPr>
          <w:spacing w:val="-3"/>
          <w:szCs w:val="19"/>
        </w:rPr>
        <w:t xml:space="preserve"> chemii i produktów pokrewnych </w:t>
      </w:r>
      <w:r w:rsidR="00E407A6" w:rsidRPr="004E1325">
        <w:rPr>
          <w:spacing w:val="-3"/>
          <w:szCs w:val="19"/>
        </w:rPr>
        <w:t>(</w:t>
      </w:r>
      <w:r w:rsidR="00560B1F" w:rsidRPr="004E1325">
        <w:rPr>
          <w:spacing w:val="-3"/>
          <w:szCs w:val="19"/>
        </w:rPr>
        <w:t>o 6,5%), żywności i zwierząt żywych</w:t>
      </w:r>
      <w:r w:rsidR="002628DF" w:rsidRPr="004E1325">
        <w:rPr>
          <w:spacing w:val="-3"/>
          <w:szCs w:val="19"/>
        </w:rPr>
        <w:t xml:space="preserve"> oraz różnych wyrobach przemysłowych (o </w:t>
      </w:r>
      <w:r w:rsidR="00560B1F" w:rsidRPr="004E1325">
        <w:rPr>
          <w:spacing w:val="-3"/>
          <w:szCs w:val="19"/>
        </w:rPr>
        <w:t>5</w:t>
      </w:r>
      <w:r w:rsidR="002628DF" w:rsidRPr="004E1325">
        <w:rPr>
          <w:spacing w:val="-3"/>
          <w:szCs w:val="19"/>
        </w:rPr>
        <w:t>,</w:t>
      </w:r>
      <w:r w:rsidR="00560B1F" w:rsidRPr="004E1325">
        <w:rPr>
          <w:spacing w:val="-3"/>
          <w:szCs w:val="19"/>
        </w:rPr>
        <w:t>8</w:t>
      </w:r>
      <w:r w:rsidR="002628DF" w:rsidRPr="004E1325">
        <w:rPr>
          <w:spacing w:val="-3"/>
          <w:szCs w:val="19"/>
        </w:rPr>
        <w:t>%)</w:t>
      </w:r>
      <w:r w:rsidR="003749BC" w:rsidRPr="004E1325">
        <w:rPr>
          <w:spacing w:val="-3"/>
          <w:szCs w:val="19"/>
        </w:rPr>
        <w:t>, n</w:t>
      </w:r>
      <w:r w:rsidR="003E06AE" w:rsidRPr="004E1325">
        <w:rPr>
          <w:spacing w:val="-3"/>
          <w:szCs w:val="19"/>
        </w:rPr>
        <w:t>atomiast</w:t>
      </w:r>
      <w:r w:rsidR="003749BC" w:rsidRPr="004E1325">
        <w:rPr>
          <w:spacing w:val="-3"/>
          <w:szCs w:val="19"/>
        </w:rPr>
        <w:t xml:space="preserve"> </w:t>
      </w:r>
      <w:r w:rsidR="00CA6B4C" w:rsidRPr="004E1325">
        <w:rPr>
          <w:spacing w:val="-3"/>
          <w:szCs w:val="19"/>
        </w:rPr>
        <w:t>spadek</w:t>
      </w:r>
      <w:r w:rsidR="003749BC" w:rsidRPr="004E1325">
        <w:rPr>
          <w:spacing w:val="-3"/>
          <w:szCs w:val="19"/>
        </w:rPr>
        <w:t xml:space="preserve"> odnotowano w paliwach mineralnych, </w:t>
      </w:r>
      <w:r w:rsidR="00B22CE9" w:rsidRPr="004E1325">
        <w:rPr>
          <w:spacing w:val="-3"/>
          <w:szCs w:val="19"/>
        </w:rPr>
        <w:t>smarach i materiałach pochodnych</w:t>
      </w:r>
      <w:r w:rsidR="003E06AE" w:rsidRPr="004E1325">
        <w:rPr>
          <w:spacing w:val="-3"/>
          <w:szCs w:val="19"/>
        </w:rPr>
        <w:t xml:space="preserve"> (o </w:t>
      </w:r>
      <w:r w:rsidR="00D43A88" w:rsidRPr="004E1325">
        <w:rPr>
          <w:spacing w:val="-3"/>
          <w:szCs w:val="19"/>
        </w:rPr>
        <w:t>1</w:t>
      </w:r>
      <w:r w:rsidR="00560B1F" w:rsidRPr="004E1325">
        <w:rPr>
          <w:spacing w:val="-3"/>
          <w:szCs w:val="19"/>
        </w:rPr>
        <w:t>4,3</w:t>
      </w:r>
      <w:r w:rsidR="003E06AE" w:rsidRPr="004E1325">
        <w:rPr>
          <w:spacing w:val="-3"/>
          <w:szCs w:val="19"/>
        </w:rPr>
        <w:t>%)</w:t>
      </w:r>
      <w:r w:rsidR="003749BC" w:rsidRPr="004E1325">
        <w:rPr>
          <w:spacing w:val="-3"/>
          <w:szCs w:val="19"/>
        </w:rPr>
        <w:t xml:space="preserve">. </w:t>
      </w:r>
    </w:p>
    <w:p w:rsidR="00032C1F" w:rsidRDefault="00032C1F" w:rsidP="00032C1F">
      <w:pPr>
        <w:rPr>
          <w:spacing w:val="-3"/>
          <w:szCs w:val="19"/>
        </w:rPr>
      </w:pPr>
      <w:r w:rsidRPr="004E1325">
        <w:rPr>
          <w:spacing w:val="-3"/>
          <w:szCs w:val="19"/>
        </w:rPr>
        <w:t>W imporcie największy wzrost z</w:t>
      </w:r>
      <w:r w:rsidR="00DF0EAD" w:rsidRPr="004E1325">
        <w:rPr>
          <w:spacing w:val="-3"/>
          <w:szCs w:val="19"/>
        </w:rPr>
        <w:t xml:space="preserve">anotowano w </w:t>
      </w:r>
      <w:r w:rsidR="002628DF" w:rsidRPr="004E1325">
        <w:rPr>
          <w:spacing w:val="-3"/>
          <w:szCs w:val="19"/>
        </w:rPr>
        <w:t>olejach, tłuszczach, woskach, zwierzęcych i roślinnych</w:t>
      </w:r>
      <w:r w:rsidR="008C760D" w:rsidRPr="004E1325">
        <w:rPr>
          <w:spacing w:val="-3"/>
          <w:szCs w:val="19"/>
        </w:rPr>
        <w:t xml:space="preserve"> (o 19</w:t>
      </w:r>
      <w:r w:rsidR="002628DF" w:rsidRPr="004E1325">
        <w:rPr>
          <w:spacing w:val="-3"/>
          <w:szCs w:val="19"/>
        </w:rPr>
        <w:t>,</w:t>
      </w:r>
      <w:r w:rsidR="008C760D" w:rsidRPr="004E1325">
        <w:rPr>
          <w:spacing w:val="-3"/>
          <w:szCs w:val="19"/>
        </w:rPr>
        <w:t>5</w:t>
      </w:r>
      <w:r w:rsidR="002628DF" w:rsidRPr="004E1325">
        <w:rPr>
          <w:spacing w:val="-3"/>
          <w:szCs w:val="19"/>
        </w:rPr>
        <w:t xml:space="preserve">%) oraz </w:t>
      </w:r>
      <w:r w:rsidR="008C760D" w:rsidRPr="004E1325">
        <w:rPr>
          <w:spacing w:val="-3"/>
          <w:szCs w:val="19"/>
        </w:rPr>
        <w:t>różnych wyrobach przemysłowych</w:t>
      </w:r>
      <w:r w:rsidR="00DF0EAD" w:rsidRPr="004E1325">
        <w:rPr>
          <w:spacing w:val="-3"/>
          <w:szCs w:val="19"/>
        </w:rPr>
        <w:t xml:space="preserve"> </w:t>
      </w:r>
      <w:r w:rsidR="003E06AE" w:rsidRPr="004E1325">
        <w:rPr>
          <w:spacing w:val="-3"/>
          <w:szCs w:val="19"/>
        </w:rPr>
        <w:t xml:space="preserve">(o </w:t>
      </w:r>
      <w:r w:rsidR="002628DF" w:rsidRPr="004E1325">
        <w:rPr>
          <w:spacing w:val="-3"/>
          <w:szCs w:val="19"/>
        </w:rPr>
        <w:t>7</w:t>
      </w:r>
      <w:r w:rsidR="0090601C" w:rsidRPr="004E1325">
        <w:rPr>
          <w:spacing w:val="-3"/>
          <w:szCs w:val="19"/>
        </w:rPr>
        <w:t>,</w:t>
      </w:r>
      <w:r w:rsidR="008C760D" w:rsidRPr="004E1325">
        <w:rPr>
          <w:spacing w:val="-3"/>
          <w:szCs w:val="19"/>
        </w:rPr>
        <w:t>7</w:t>
      </w:r>
      <w:r w:rsidR="003E06AE" w:rsidRPr="004E1325">
        <w:rPr>
          <w:spacing w:val="-3"/>
          <w:szCs w:val="19"/>
        </w:rPr>
        <w:t>%)</w:t>
      </w:r>
      <w:r w:rsidR="002628DF" w:rsidRPr="004E1325">
        <w:rPr>
          <w:spacing w:val="-3"/>
          <w:szCs w:val="19"/>
        </w:rPr>
        <w:t>,</w:t>
      </w:r>
      <w:r w:rsidR="003E06AE" w:rsidRPr="004E1325">
        <w:rPr>
          <w:spacing w:val="-3"/>
          <w:szCs w:val="19"/>
        </w:rPr>
        <w:t xml:space="preserve"> </w:t>
      </w:r>
      <w:r w:rsidR="00DF0EAD" w:rsidRPr="004E1325">
        <w:rPr>
          <w:spacing w:val="-3"/>
          <w:szCs w:val="19"/>
        </w:rPr>
        <w:t>natomiast spadek obserwowano</w:t>
      </w:r>
      <w:r w:rsidR="008C760D" w:rsidRPr="004E1325">
        <w:rPr>
          <w:spacing w:val="-3"/>
          <w:szCs w:val="19"/>
        </w:rPr>
        <w:t xml:space="preserve"> m.in. </w:t>
      </w:r>
      <w:r w:rsidR="002628DF" w:rsidRPr="004E1325">
        <w:rPr>
          <w:spacing w:val="-3"/>
          <w:szCs w:val="19"/>
        </w:rPr>
        <w:t xml:space="preserve">w towarach i transakcjach niesklasyfikowanych w SITC (o </w:t>
      </w:r>
      <w:r w:rsidR="008C760D" w:rsidRPr="004E1325">
        <w:rPr>
          <w:spacing w:val="-3"/>
          <w:szCs w:val="19"/>
        </w:rPr>
        <w:t>35,3</w:t>
      </w:r>
      <w:r w:rsidR="002628DF" w:rsidRPr="004E1325">
        <w:rPr>
          <w:spacing w:val="-3"/>
          <w:szCs w:val="19"/>
        </w:rPr>
        <w:t>%)</w:t>
      </w:r>
      <w:r w:rsidR="00F31A2C" w:rsidRPr="004E1325">
        <w:rPr>
          <w:spacing w:val="-3"/>
          <w:szCs w:val="19"/>
        </w:rPr>
        <w:t xml:space="preserve"> </w:t>
      </w:r>
      <w:r w:rsidR="00DF0EAD" w:rsidRPr="004E1325">
        <w:rPr>
          <w:spacing w:val="-3"/>
          <w:szCs w:val="19"/>
        </w:rPr>
        <w:t xml:space="preserve">w </w:t>
      </w:r>
      <w:r w:rsidR="002628DF" w:rsidRPr="004E1325">
        <w:rPr>
          <w:spacing w:val="-3"/>
          <w:szCs w:val="19"/>
        </w:rPr>
        <w:t>surowcach niejadalnych z wyjątkiem paliw</w:t>
      </w:r>
      <w:r w:rsidR="003E06AE" w:rsidRPr="004E1325">
        <w:rPr>
          <w:spacing w:val="-3"/>
          <w:szCs w:val="19"/>
        </w:rPr>
        <w:t xml:space="preserve"> (o </w:t>
      </w:r>
      <w:r w:rsidR="002628DF" w:rsidRPr="004E1325">
        <w:rPr>
          <w:spacing w:val="-3"/>
          <w:szCs w:val="19"/>
        </w:rPr>
        <w:t>1</w:t>
      </w:r>
      <w:r w:rsidR="008C760D" w:rsidRPr="004E1325">
        <w:rPr>
          <w:spacing w:val="-3"/>
          <w:szCs w:val="19"/>
        </w:rPr>
        <w:t>0</w:t>
      </w:r>
      <w:r w:rsidR="002628DF" w:rsidRPr="004E1325">
        <w:rPr>
          <w:spacing w:val="-3"/>
          <w:szCs w:val="19"/>
        </w:rPr>
        <w:t>,</w:t>
      </w:r>
      <w:r w:rsidR="008C760D" w:rsidRPr="004E1325">
        <w:rPr>
          <w:spacing w:val="-3"/>
          <w:szCs w:val="19"/>
        </w:rPr>
        <w:t>9</w:t>
      </w:r>
      <w:r w:rsidR="003E06AE" w:rsidRPr="004E1325">
        <w:rPr>
          <w:spacing w:val="-3"/>
          <w:szCs w:val="19"/>
        </w:rPr>
        <w:t>%)</w:t>
      </w:r>
      <w:r w:rsidR="002628DF" w:rsidRPr="004E1325">
        <w:rPr>
          <w:spacing w:val="-3"/>
          <w:szCs w:val="19"/>
        </w:rPr>
        <w:t xml:space="preserve"> oraz </w:t>
      </w:r>
      <w:r w:rsidR="00097DDE" w:rsidRPr="004E1325">
        <w:rPr>
          <w:spacing w:val="-3"/>
          <w:szCs w:val="19"/>
        </w:rPr>
        <w:t xml:space="preserve">w </w:t>
      </w:r>
      <w:r w:rsidR="00D70981" w:rsidRPr="004E1325">
        <w:rPr>
          <w:spacing w:val="-3"/>
          <w:szCs w:val="19"/>
        </w:rPr>
        <w:t>towarach przemysłowych s</w:t>
      </w:r>
      <w:r w:rsidR="007C58B9" w:rsidRPr="004E1325">
        <w:rPr>
          <w:spacing w:val="-3"/>
          <w:szCs w:val="19"/>
        </w:rPr>
        <w:t>klasyfikowanych głównie według surowca</w:t>
      </w:r>
      <w:r w:rsidR="00B22CE9" w:rsidRPr="004E1325">
        <w:rPr>
          <w:spacing w:val="-3"/>
          <w:szCs w:val="19"/>
        </w:rPr>
        <w:t xml:space="preserve"> (o </w:t>
      </w:r>
      <w:r w:rsidR="008C760D" w:rsidRPr="004E1325">
        <w:rPr>
          <w:spacing w:val="-3"/>
          <w:szCs w:val="19"/>
        </w:rPr>
        <w:t>6,7</w:t>
      </w:r>
      <w:r w:rsidR="002628DF" w:rsidRPr="004E1325">
        <w:rPr>
          <w:spacing w:val="-3"/>
          <w:szCs w:val="19"/>
        </w:rPr>
        <w:t>%).</w:t>
      </w:r>
    </w:p>
    <w:p w:rsidR="009B44D4" w:rsidRPr="0037765E" w:rsidRDefault="009B44D4" w:rsidP="00032C1F">
      <w:pPr>
        <w:rPr>
          <w:spacing w:val="-3"/>
          <w:szCs w:val="19"/>
        </w:rPr>
      </w:pPr>
    </w:p>
    <w:p w:rsidR="00FE08D1" w:rsidRDefault="00FE08D1" w:rsidP="004B7A56">
      <w:pPr>
        <w:rPr>
          <w:b/>
          <w:sz w:val="18"/>
          <w:szCs w:val="18"/>
        </w:rPr>
      </w:pPr>
    </w:p>
    <w:p w:rsidR="004B7A56" w:rsidRDefault="004B7A56" w:rsidP="004B7A56">
      <w:pPr>
        <w:rPr>
          <w:b/>
          <w:sz w:val="18"/>
          <w:szCs w:val="18"/>
          <w:shd w:val="clear" w:color="auto" w:fill="FFFFFF"/>
        </w:rPr>
      </w:pPr>
      <w:r w:rsidRPr="004E1325">
        <w:rPr>
          <w:b/>
          <w:sz w:val="18"/>
          <w:szCs w:val="18"/>
        </w:rPr>
        <w:t>Wykres 1.</w:t>
      </w:r>
      <w:r w:rsidRPr="004E1325">
        <w:rPr>
          <w:b/>
          <w:sz w:val="18"/>
          <w:szCs w:val="18"/>
          <w:shd w:val="clear" w:color="auto" w:fill="FFFFFF"/>
        </w:rPr>
        <w:t xml:space="preserve"> Struktura eksportu według sekcji </w:t>
      </w:r>
      <w:r w:rsidRPr="004E1325">
        <w:rPr>
          <w:b/>
          <w:szCs w:val="18"/>
          <w:shd w:val="clear" w:color="auto" w:fill="FFFFFF"/>
        </w:rPr>
        <w:t>nomenklatury</w:t>
      </w:r>
      <w:r w:rsidRPr="004E1325">
        <w:rPr>
          <w:b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b/>
          <w:sz w:val="18"/>
          <w:szCs w:val="18"/>
          <w:shd w:val="clear" w:color="auto" w:fill="FFFFFF"/>
        </w:rPr>
        <w:t>styczniu</w:t>
      </w:r>
      <w:r w:rsidRPr="004E1325">
        <w:rPr>
          <w:b/>
          <w:sz w:val="18"/>
          <w:szCs w:val="18"/>
          <w:shd w:val="clear" w:color="auto" w:fill="FFFFFF"/>
        </w:rPr>
        <w:t xml:space="preserve"> </w:t>
      </w:r>
      <w:r w:rsidR="00724F51" w:rsidRPr="004E1325">
        <w:rPr>
          <w:b/>
          <w:sz w:val="18"/>
          <w:szCs w:val="18"/>
          <w:shd w:val="clear" w:color="auto" w:fill="FFFFFF"/>
        </w:rPr>
        <w:t xml:space="preserve">– lutym </w:t>
      </w:r>
      <w:r w:rsidRPr="004E1325">
        <w:rPr>
          <w:b/>
          <w:sz w:val="18"/>
          <w:szCs w:val="18"/>
          <w:shd w:val="clear" w:color="auto" w:fill="FFFFFF"/>
        </w:rPr>
        <w:t>20</w:t>
      </w:r>
      <w:r w:rsidR="00100D7B" w:rsidRPr="004E1325">
        <w:rPr>
          <w:b/>
          <w:sz w:val="18"/>
          <w:szCs w:val="18"/>
          <w:shd w:val="clear" w:color="auto" w:fill="FFFFFF"/>
        </w:rPr>
        <w:t>20</w:t>
      </w:r>
      <w:r w:rsidRPr="004E1325">
        <w:rPr>
          <w:b/>
          <w:sz w:val="18"/>
          <w:szCs w:val="18"/>
          <w:shd w:val="clear" w:color="auto" w:fill="FFFFFF"/>
        </w:rPr>
        <w:t xml:space="preserve">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-2432050</wp:posOffset>
            </wp:positionV>
            <wp:extent cx="5122545" cy="2543810"/>
            <wp:effectExtent l="0" t="0" r="1905" b="889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4B7A56" w:rsidRPr="00850600" w:rsidRDefault="004B7A56" w:rsidP="004B7A56">
      <w:pPr>
        <w:pStyle w:val="Nagwek1"/>
        <w:rPr>
          <w:rFonts w:ascii="Fira Sans" w:hAnsi="Fira Sans"/>
          <w:b/>
          <w:color w:val="auto"/>
          <w:sz w:val="18"/>
          <w:szCs w:val="18"/>
          <w:shd w:val="clear" w:color="auto" w:fill="FFFFFF"/>
        </w:rPr>
      </w:pPr>
      <w:r w:rsidRPr="00850600">
        <w:rPr>
          <w:rFonts w:ascii="Fira Sans" w:hAnsi="Fira Sans"/>
          <w:b/>
          <w:color w:val="auto"/>
          <w:sz w:val="18"/>
          <w:szCs w:val="18"/>
        </w:rPr>
        <w:t>Wykres 2.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Struktura importu według sekcji </w:t>
      </w:r>
      <w:r w:rsidRPr="004E1325">
        <w:rPr>
          <w:rFonts w:ascii="Fira Sans" w:hAnsi="Fira Sans"/>
          <w:b/>
          <w:color w:val="auto"/>
          <w:szCs w:val="18"/>
          <w:shd w:val="clear" w:color="auto" w:fill="FFFFFF"/>
        </w:rPr>
        <w:t>nomenklatury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styczniu</w:t>
      </w:r>
      <w:r w:rsidR="00724F5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- lutym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20</w:t>
      </w:r>
      <w:r w:rsidR="00100D7B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213995</wp:posOffset>
            </wp:positionV>
            <wp:extent cx="5122545" cy="2647950"/>
            <wp:effectExtent l="0" t="0" r="190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p w:rsidR="001876B3" w:rsidRDefault="001876B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84438B" w:rsidTr="00881A4D">
        <w:trPr>
          <w:trHeight w:val="1912"/>
        </w:trPr>
        <w:tc>
          <w:tcPr>
            <w:tcW w:w="4255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8F0926" w:rsidRDefault="008F09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8F0926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Dyrektor Ewa Adach – Stankiewicz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 w:rsidRPr="008F0926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F0926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67" w:type="dxa"/>
          </w:tcPr>
          <w:p w:rsidR="000470AA" w:rsidRPr="008F3638" w:rsidRDefault="000470AA" w:rsidP="008955C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8955C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52F34" w:rsidRPr="00C52F34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F0926">
              <w:rPr>
                <w:rFonts w:ascii="Fira Sans" w:hAnsi="Fira Sans"/>
                <w:color w:val="auto"/>
                <w:sz w:val="20"/>
                <w:lang w:val="en-US"/>
              </w:rPr>
              <w:t>695 255 011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6779F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19" w:history="1">
              <w:r w:rsidRPr="00C0341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1EA" w:rsidRDefault="001651EA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1651EA" w:rsidRPr="00A00ADB" w:rsidRDefault="001651EA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1651EA" w:rsidRPr="00D70981" w:rsidRDefault="00DC0DF9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3" w:history="1">
                              <w:r w:rsidR="001651EA" w:rsidRPr="00D7098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2019</w:t>
                              </w:r>
                            </w:hyperlink>
                          </w:p>
                          <w:p w:rsidR="001651EA" w:rsidRPr="008F0926" w:rsidRDefault="00DC0DF9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1651EA" w:rsidRPr="008F092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1651EA" w:rsidRPr="008F0926" w:rsidRDefault="001651EA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"http://stat.gov.pl/obszary-tematyczne/ceny-handel/handel/handel-zagraniczny-polska-w-unii-europejskiej,6,12.html"</w:instrText>
                            </w: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F092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:rsidR="001651EA" w:rsidRPr="008F0926" w:rsidRDefault="001651EA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5" w:history="1">
                              <w:r w:rsidRPr="008F0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Handel towarami według cech przedsiębiorstw (TEC)</w:t>
                              </w:r>
                            </w:hyperlink>
                          </w:p>
                          <w:p w:rsidR="001651EA" w:rsidRPr="00A00ADB" w:rsidRDefault="001651EA" w:rsidP="0057717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1651EA" w:rsidRPr="00A00ADB" w:rsidRDefault="001651E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1651EA" w:rsidRPr="006779F7" w:rsidRDefault="001651EA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6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1651EA" w:rsidRPr="006779F7" w:rsidRDefault="001651EA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1651EA" w:rsidRPr="00A00ADB" w:rsidRDefault="001651E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1651EA" w:rsidRDefault="001651E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1651EA" w:rsidRPr="006779F7" w:rsidRDefault="00DC0DF9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1651EA"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 towarów</w:t>
                              </w:r>
                            </w:hyperlink>
                          </w:p>
                          <w:p w:rsidR="001651EA" w:rsidRPr="006779F7" w:rsidRDefault="00DC0DF9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1651EA"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1651EA" w:rsidRPr="006779F7" w:rsidRDefault="001651EA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:rsidR="001651EA" w:rsidRPr="00020CD4" w:rsidRDefault="001651EA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1651EA" w:rsidRPr="00020CD4" w:rsidRDefault="001651E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1651EA" w:rsidRDefault="001651EA" w:rsidP="00AB6D25">
                      <w:pPr>
                        <w:rPr>
                          <w:b/>
                        </w:rPr>
                      </w:pPr>
                    </w:p>
                    <w:p w:rsidR="001651EA" w:rsidRPr="00A00ADB" w:rsidRDefault="001651EA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1651EA" w:rsidRPr="00D70981" w:rsidRDefault="001651EA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0" w:history="1">
                        <w:r w:rsidRPr="00D7098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2019</w:t>
                        </w:r>
                      </w:hyperlink>
                    </w:p>
                    <w:p w:rsidR="001651EA" w:rsidRPr="008F0926" w:rsidRDefault="001651EA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1" w:history="1">
                        <w:r w:rsidRPr="008F092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:rsidR="001651EA" w:rsidRPr="008F0926" w:rsidRDefault="001651EA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"http://stat.gov.pl/obszary-tematyczne/ceny-handel/handel/handel-zagraniczny-polska-w-unii-europejskiej,6,12.html"</w:instrText>
                      </w: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8F092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:rsidR="001651EA" w:rsidRPr="008F0926" w:rsidRDefault="001651EA" w:rsidP="00577171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2" w:history="1">
                        <w:r w:rsidRPr="008F0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Handel towarami według cech przedsiębiorstw (TEC)</w:t>
                        </w:r>
                      </w:hyperlink>
                    </w:p>
                    <w:p w:rsidR="001651EA" w:rsidRPr="00A00ADB" w:rsidRDefault="001651EA" w:rsidP="0057717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1651EA" w:rsidRPr="00A00ADB" w:rsidRDefault="001651E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1651EA" w:rsidRPr="006779F7" w:rsidRDefault="001651EA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3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:rsidR="001651EA" w:rsidRPr="006779F7" w:rsidRDefault="001651EA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4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1651EA" w:rsidRPr="00A00ADB" w:rsidRDefault="001651E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1651EA" w:rsidRDefault="001651E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1651EA" w:rsidRPr="006779F7" w:rsidRDefault="001651EA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5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 towarów</w:t>
                        </w:r>
                      </w:hyperlink>
                    </w:p>
                    <w:p w:rsidR="001651EA" w:rsidRPr="006779F7" w:rsidRDefault="001651EA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1651EA" w:rsidRPr="006779F7" w:rsidRDefault="001651EA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:rsidR="001651EA" w:rsidRPr="00020CD4" w:rsidRDefault="001651E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1651EA" w:rsidRPr="00020CD4" w:rsidRDefault="001651E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DF9" w:rsidRDefault="00DC0DF9" w:rsidP="000662E2">
      <w:pPr>
        <w:spacing w:after="0" w:line="240" w:lineRule="auto"/>
      </w:pPr>
      <w:r>
        <w:separator/>
      </w:r>
    </w:p>
  </w:endnote>
  <w:endnote w:type="continuationSeparator" w:id="0">
    <w:p w:rsidR="00DC0DF9" w:rsidRDefault="00DC0DF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:rsidR="001651EA" w:rsidRDefault="001651E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186">
          <w:rPr>
            <w:noProof/>
          </w:rPr>
          <w:t>2</w:t>
        </w:r>
        <w:r>
          <w:fldChar w:fldCharType="end"/>
        </w:r>
      </w:p>
    </w:sdtContent>
  </w:sdt>
  <w:p w:rsidR="001651EA" w:rsidRDefault="001651E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:rsidR="001651EA" w:rsidRDefault="001651E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186">
          <w:rPr>
            <w:noProof/>
          </w:rPr>
          <w:t>1</w:t>
        </w:r>
        <w:r>
          <w:fldChar w:fldCharType="end"/>
        </w:r>
      </w:p>
    </w:sdtContent>
  </w:sdt>
  <w:p w:rsidR="001651EA" w:rsidRDefault="001651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DF9" w:rsidRDefault="00DC0DF9" w:rsidP="000662E2">
      <w:pPr>
        <w:spacing w:after="0" w:line="240" w:lineRule="auto"/>
      </w:pPr>
      <w:r>
        <w:separator/>
      </w:r>
    </w:p>
  </w:footnote>
  <w:footnote w:type="continuationSeparator" w:id="0">
    <w:p w:rsidR="00DC0DF9" w:rsidRDefault="00DC0DF9" w:rsidP="000662E2">
      <w:pPr>
        <w:spacing w:after="0" w:line="240" w:lineRule="auto"/>
      </w:pPr>
      <w:r>
        <w:continuationSeparator/>
      </w:r>
    </w:p>
  </w:footnote>
  <w:footnote w:id="1">
    <w:p w:rsidR="001651EA" w:rsidRPr="006779F7" w:rsidRDefault="001651EA" w:rsidP="00DD08C1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:rsidR="001651EA" w:rsidRPr="004926AC" w:rsidRDefault="001651EA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6779F7">
        <w:rPr>
          <w:rFonts w:cs="Arial"/>
          <w:sz w:val="16"/>
          <w:szCs w:val="16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1651EA" w:rsidRDefault="001651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9110F">
        <w:rPr>
          <w:sz w:val="16"/>
          <w:szCs w:val="16"/>
        </w:rPr>
        <w:t xml:space="preserve">Struktura i dynamika </w:t>
      </w:r>
      <w:r>
        <w:rPr>
          <w:sz w:val="16"/>
          <w:szCs w:val="16"/>
        </w:rPr>
        <w:t>Unii Europejskiej</w:t>
      </w:r>
      <w:r w:rsidRPr="00F9110F">
        <w:rPr>
          <w:sz w:val="16"/>
          <w:szCs w:val="16"/>
        </w:rPr>
        <w:t xml:space="preserve"> za </w:t>
      </w:r>
      <w:r>
        <w:rPr>
          <w:sz w:val="16"/>
          <w:szCs w:val="16"/>
        </w:rPr>
        <w:t xml:space="preserve">styczeń – luty </w:t>
      </w:r>
      <w:r w:rsidRPr="00F9110F">
        <w:rPr>
          <w:sz w:val="16"/>
          <w:szCs w:val="16"/>
        </w:rPr>
        <w:t>20</w:t>
      </w:r>
      <w:r>
        <w:rPr>
          <w:sz w:val="16"/>
          <w:szCs w:val="16"/>
        </w:rPr>
        <w:t>19</w:t>
      </w:r>
      <w:r w:rsidRPr="00F9110F">
        <w:rPr>
          <w:sz w:val="16"/>
          <w:szCs w:val="16"/>
        </w:rPr>
        <w:t xml:space="preserve"> podane są w zakresie </w:t>
      </w:r>
      <w:r w:rsidR="0027487F">
        <w:rPr>
          <w:sz w:val="16"/>
          <w:szCs w:val="16"/>
        </w:rPr>
        <w:t>rzeczywistym</w:t>
      </w:r>
      <w:r w:rsidRPr="00F9110F">
        <w:rPr>
          <w:sz w:val="16"/>
          <w:szCs w:val="16"/>
        </w:rPr>
        <w:t xml:space="preserve">, tj. dane </w:t>
      </w:r>
      <w:r>
        <w:rPr>
          <w:sz w:val="16"/>
          <w:szCs w:val="16"/>
        </w:rPr>
        <w:t>UE</w:t>
      </w:r>
      <w:r w:rsidRPr="00F9110F">
        <w:rPr>
          <w:sz w:val="16"/>
          <w:szCs w:val="16"/>
        </w:rPr>
        <w:t xml:space="preserve"> </w:t>
      </w:r>
      <w:r>
        <w:rPr>
          <w:sz w:val="16"/>
          <w:szCs w:val="16"/>
        </w:rPr>
        <w:t>zmniejszono</w:t>
      </w:r>
      <w:r w:rsidRPr="00F9110F">
        <w:rPr>
          <w:sz w:val="16"/>
          <w:szCs w:val="16"/>
        </w:rPr>
        <w:t xml:space="preserve"> o obroty </w:t>
      </w:r>
      <w:r>
        <w:rPr>
          <w:sz w:val="16"/>
          <w:szCs w:val="16"/>
        </w:rPr>
        <w:t>Wielkiej Brytanii</w:t>
      </w:r>
      <w:r w:rsidRPr="00F9110F">
        <w:rPr>
          <w:sz w:val="16"/>
          <w:szCs w:val="16"/>
        </w:rPr>
        <w:t>.</w:t>
      </w:r>
    </w:p>
  </w:footnote>
  <w:footnote w:id="3">
    <w:p w:rsidR="001651EA" w:rsidRPr="006779F7" w:rsidRDefault="001651EA" w:rsidP="0043023F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>kraju pochodzenia - kraj, w którym towar został wytworzony, obrobiony lub przerobiony i w tym stanie nadszedł do polskiego obszaru celnego.</w:t>
      </w:r>
    </w:p>
  </w:footnote>
  <w:footnote w:id="4">
    <w:p w:rsidR="001651EA" w:rsidRPr="001521EB" w:rsidRDefault="001651EA" w:rsidP="00133770">
      <w:pPr>
        <w:pStyle w:val="tekstzboku"/>
        <w:spacing w:before="0" w:line="180" w:lineRule="exact"/>
        <w:rPr>
          <w:sz w:val="16"/>
          <w:szCs w:val="16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1521EB">
        <w:rPr>
          <w:color w:val="auto"/>
          <w:sz w:val="15"/>
          <w:szCs w:val="15"/>
        </w:rPr>
        <w:t xml:space="preserve">Import według </w:t>
      </w:r>
      <w:r w:rsidRPr="001521EB">
        <w:rPr>
          <w:rFonts w:cs="Arial"/>
          <w:color w:val="auto"/>
          <w:sz w:val="15"/>
          <w:szCs w:val="15"/>
        </w:rPr>
        <w:t xml:space="preserve">kraju wysyłki - </w:t>
      </w:r>
      <w:r w:rsidRPr="001521EB">
        <w:rPr>
          <w:rFonts w:eastAsia="Calibri" w:cs="Arial"/>
          <w:color w:val="auto"/>
          <w:sz w:val="15"/>
          <w:szCs w:val="15"/>
        </w:rPr>
        <w:t>kraj, z którego terytorium zostały wprowadzone towary na obszar Polski</w:t>
      </w:r>
      <w:r w:rsidRPr="001521EB">
        <w:rPr>
          <w:rFonts w:cs="Arial"/>
          <w:color w:val="auto"/>
          <w:sz w:val="15"/>
          <w:szCs w:val="15"/>
        </w:rPr>
        <w:t xml:space="preserve"> bez względu  na ich pochodzenie</w:t>
      </w:r>
      <w:r w:rsidRPr="001521EB">
        <w:rPr>
          <w:color w:val="auto"/>
          <w:sz w:val="15"/>
          <w:szCs w:val="15"/>
        </w:rPr>
        <w:t>.</w:t>
      </w:r>
      <w:r w:rsidRPr="001521EB">
        <w:rPr>
          <w:color w:val="aut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EA" w:rsidRDefault="001651E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856A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1651EA" w:rsidRDefault="001651E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EA" w:rsidRDefault="001651EA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651EA" w:rsidRPr="003C6C8D" w:rsidRDefault="001651EA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1651EA" w:rsidRPr="003C6C8D" w:rsidRDefault="001651EA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63241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F87F216" wp14:editId="5F87F217">
          <wp:extent cx="1153274" cy="720000"/>
          <wp:effectExtent l="0" t="0" r="0" b="4445"/>
          <wp:docPr id="15" name="Obraz 1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51EA" w:rsidRDefault="001651EA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51EA" w:rsidRPr="00C97596" w:rsidRDefault="001651E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15.04.2020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1651EA" w:rsidRPr="00C97596" w:rsidRDefault="001651E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15.04.2020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EA" w:rsidRDefault="001651EA">
    <w:pPr>
      <w:pStyle w:val="Nagwek"/>
    </w:pPr>
  </w:p>
  <w:p w:rsidR="001651EA" w:rsidRDefault="001651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4.7pt;visibility:visible;mso-wrap-style:square" o:bullet="t">
        <v:imagedata r:id="rId1" o:title=""/>
      </v:shape>
    </w:pict>
  </w:numPicBullet>
  <w:numPicBullet w:numPicBulletId="1">
    <w:pict>
      <v:shape id="_x0000_i1029" type="#_x0000_t75" style="width:124.15pt;height:124.7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69F"/>
    <w:rsid w:val="0000709F"/>
    <w:rsid w:val="000103A6"/>
    <w:rsid w:val="000108B8"/>
    <w:rsid w:val="000152F5"/>
    <w:rsid w:val="000167EE"/>
    <w:rsid w:val="00017EBA"/>
    <w:rsid w:val="00020CD4"/>
    <w:rsid w:val="00026F61"/>
    <w:rsid w:val="00032C1F"/>
    <w:rsid w:val="000330AA"/>
    <w:rsid w:val="00036E65"/>
    <w:rsid w:val="00042C5D"/>
    <w:rsid w:val="0004582E"/>
    <w:rsid w:val="00045AE7"/>
    <w:rsid w:val="00045DB5"/>
    <w:rsid w:val="000470AA"/>
    <w:rsid w:val="00055BA7"/>
    <w:rsid w:val="00057CA1"/>
    <w:rsid w:val="00061882"/>
    <w:rsid w:val="00062B95"/>
    <w:rsid w:val="000662E2"/>
    <w:rsid w:val="00066883"/>
    <w:rsid w:val="000709C0"/>
    <w:rsid w:val="00071458"/>
    <w:rsid w:val="00074DD8"/>
    <w:rsid w:val="000757CE"/>
    <w:rsid w:val="00076A47"/>
    <w:rsid w:val="000806F7"/>
    <w:rsid w:val="0008639F"/>
    <w:rsid w:val="000877D5"/>
    <w:rsid w:val="00091E91"/>
    <w:rsid w:val="00093633"/>
    <w:rsid w:val="00097DDE"/>
    <w:rsid w:val="000A1EEF"/>
    <w:rsid w:val="000A52DD"/>
    <w:rsid w:val="000B0727"/>
    <w:rsid w:val="000B1C19"/>
    <w:rsid w:val="000B1C3C"/>
    <w:rsid w:val="000B3A5D"/>
    <w:rsid w:val="000B3CED"/>
    <w:rsid w:val="000B6C36"/>
    <w:rsid w:val="000C1304"/>
    <w:rsid w:val="000C135D"/>
    <w:rsid w:val="000C1736"/>
    <w:rsid w:val="000D0472"/>
    <w:rsid w:val="000D052D"/>
    <w:rsid w:val="000D1D43"/>
    <w:rsid w:val="000D225C"/>
    <w:rsid w:val="000D2A5C"/>
    <w:rsid w:val="000D40B2"/>
    <w:rsid w:val="000E0918"/>
    <w:rsid w:val="000E17EB"/>
    <w:rsid w:val="000E1EDD"/>
    <w:rsid w:val="000F0682"/>
    <w:rsid w:val="000F0ADB"/>
    <w:rsid w:val="000F0CF3"/>
    <w:rsid w:val="000F4C81"/>
    <w:rsid w:val="00100D7B"/>
    <w:rsid w:val="001011C3"/>
    <w:rsid w:val="001051ED"/>
    <w:rsid w:val="00107F69"/>
    <w:rsid w:val="001103C8"/>
    <w:rsid w:val="00110D87"/>
    <w:rsid w:val="00113D59"/>
    <w:rsid w:val="001146CE"/>
    <w:rsid w:val="00114DB9"/>
    <w:rsid w:val="00116087"/>
    <w:rsid w:val="001169C2"/>
    <w:rsid w:val="001249C0"/>
    <w:rsid w:val="00125191"/>
    <w:rsid w:val="0012536F"/>
    <w:rsid w:val="00130296"/>
    <w:rsid w:val="00132B63"/>
    <w:rsid w:val="00133770"/>
    <w:rsid w:val="001423B6"/>
    <w:rsid w:val="001440E1"/>
    <w:rsid w:val="001448A7"/>
    <w:rsid w:val="00146621"/>
    <w:rsid w:val="001478E5"/>
    <w:rsid w:val="00150575"/>
    <w:rsid w:val="001521EB"/>
    <w:rsid w:val="00152273"/>
    <w:rsid w:val="001527EB"/>
    <w:rsid w:val="00162325"/>
    <w:rsid w:val="001651EA"/>
    <w:rsid w:val="0017078D"/>
    <w:rsid w:val="0017749E"/>
    <w:rsid w:val="00183104"/>
    <w:rsid w:val="00185BAA"/>
    <w:rsid w:val="001866D5"/>
    <w:rsid w:val="00187085"/>
    <w:rsid w:val="001876B3"/>
    <w:rsid w:val="001951DA"/>
    <w:rsid w:val="001B232A"/>
    <w:rsid w:val="001B5E90"/>
    <w:rsid w:val="001B6C72"/>
    <w:rsid w:val="001C134E"/>
    <w:rsid w:val="001C21E8"/>
    <w:rsid w:val="001C2C90"/>
    <w:rsid w:val="001C3269"/>
    <w:rsid w:val="001C3CA0"/>
    <w:rsid w:val="001C498A"/>
    <w:rsid w:val="001D111C"/>
    <w:rsid w:val="001D1DB4"/>
    <w:rsid w:val="001D2F4A"/>
    <w:rsid w:val="001D3D88"/>
    <w:rsid w:val="001D3EB6"/>
    <w:rsid w:val="001D5B90"/>
    <w:rsid w:val="001D5C53"/>
    <w:rsid w:val="002041C7"/>
    <w:rsid w:val="00206276"/>
    <w:rsid w:val="00206A18"/>
    <w:rsid w:val="0021324D"/>
    <w:rsid w:val="0021507D"/>
    <w:rsid w:val="002166E6"/>
    <w:rsid w:val="00225101"/>
    <w:rsid w:val="00226D54"/>
    <w:rsid w:val="002313C5"/>
    <w:rsid w:val="00231730"/>
    <w:rsid w:val="00233D8A"/>
    <w:rsid w:val="00234745"/>
    <w:rsid w:val="002359A9"/>
    <w:rsid w:val="00235ACD"/>
    <w:rsid w:val="00237411"/>
    <w:rsid w:val="00240783"/>
    <w:rsid w:val="00246534"/>
    <w:rsid w:val="00253655"/>
    <w:rsid w:val="002574F9"/>
    <w:rsid w:val="00257543"/>
    <w:rsid w:val="002628DF"/>
    <w:rsid w:val="0027314E"/>
    <w:rsid w:val="0027447B"/>
    <w:rsid w:val="0027462D"/>
    <w:rsid w:val="0027487F"/>
    <w:rsid w:val="00274BF2"/>
    <w:rsid w:val="00276811"/>
    <w:rsid w:val="00276FEF"/>
    <w:rsid w:val="0027751B"/>
    <w:rsid w:val="00277A49"/>
    <w:rsid w:val="00277A82"/>
    <w:rsid w:val="00281974"/>
    <w:rsid w:val="00282699"/>
    <w:rsid w:val="0028458E"/>
    <w:rsid w:val="00287CA4"/>
    <w:rsid w:val="002926DF"/>
    <w:rsid w:val="00293800"/>
    <w:rsid w:val="00295072"/>
    <w:rsid w:val="00296697"/>
    <w:rsid w:val="002A0DB5"/>
    <w:rsid w:val="002A2450"/>
    <w:rsid w:val="002A29DF"/>
    <w:rsid w:val="002A67F5"/>
    <w:rsid w:val="002A744A"/>
    <w:rsid w:val="002B0472"/>
    <w:rsid w:val="002B0F39"/>
    <w:rsid w:val="002B6B12"/>
    <w:rsid w:val="002C7389"/>
    <w:rsid w:val="002D45CF"/>
    <w:rsid w:val="002E14D1"/>
    <w:rsid w:val="002E6140"/>
    <w:rsid w:val="002E6985"/>
    <w:rsid w:val="002E71B6"/>
    <w:rsid w:val="002F2768"/>
    <w:rsid w:val="002F2A74"/>
    <w:rsid w:val="002F77C8"/>
    <w:rsid w:val="00304F22"/>
    <w:rsid w:val="00306C7C"/>
    <w:rsid w:val="00311663"/>
    <w:rsid w:val="00312B00"/>
    <w:rsid w:val="0031427D"/>
    <w:rsid w:val="00316AB5"/>
    <w:rsid w:val="00320575"/>
    <w:rsid w:val="0032060E"/>
    <w:rsid w:val="00320D7D"/>
    <w:rsid w:val="003216C9"/>
    <w:rsid w:val="0032239E"/>
    <w:rsid w:val="00322EDD"/>
    <w:rsid w:val="00325007"/>
    <w:rsid w:val="0032506F"/>
    <w:rsid w:val="00326316"/>
    <w:rsid w:val="00330A6A"/>
    <w:rsid w:val="00332320"/>
    <w:rsid w:val="0033544C"/>
    <w:rsid w:val="00341E6A"/>
    <w:rsid w:val="003457C3"/>
    <w:rsid w:val="00345F7C"/>
    <w:rsid w:val="00347D72"/>
    <w:rsid w:val="00352CA9"/>
    <w:rsid w:val="003538DC"/>
    <w:rsid w:val="00357611"/>
    <w:rsid w:val="00361DB6"/>
    <w:rsid w:val="00361DF5"/>
    <w:rsid w:val="00366025"/>
    <w:rsid w:val="00367237"/>
    <w:rsid w:val="0037077F"/>
    <w:rsid w:val="0037178F"/>
    <w:rsid w:val="003718AC"/>
    <w:rsid w:val="00371FC0"/>
    <w:rsid w:val="00373882"/>
    <w:rsid w:val="00373E8B"/>
    <w:rsid w:val="003749BC"/>
    <w:rsid w:val="0037765E"/>
    <w:rsid w:val="00380ACD"/>
    <w:rsid w:val="00380F5A"/>
    <w:rsid w:val="0038341F"/>
    <w:rsid w:val="003843DB"/>
    <w:rsid w:val="0038490F"/>
    <w:rsid w:val="00385406"/>
    <w:rsid w:val="003910FE"/>
    <w:rsid w:val="00393761"/>
    <w:rsid w:val="00396811"/>
    <w:rsid w:val="00397D18"/>
    <w:rsid w:val="003A1B36"/>
    <w:rsid w:val="003A1F00"/>
    <w:rsid w:val="003A4268"/>
    <w:rsid w:val="003A6F6A"/>
    <w:rsid w:val="003A7475"/>
    <w:rsid w:val="003B1303"/>
    <w:rsid w:val="003B1454"/>
    <w:rsid w:val="003B2C69"/>
    <w:rsid w:val="003C3DDD"/>
    <w:rsid w:val="003C491B"/>
    <w:rsid w:val="003C59E0"/>
    <w:rsid w:val="003C6B82"/>
    <w:rsid w:val="003C6C8D"/>
    <w:rsid w:val="003D23E6"/>
    <w:rsid w:val="003D38E6"/>
    <w:rsid w:val="003D4F95"/>
    <w:rsid w:val="003D5F42"/>
    <w:rsid w:val="003D60A9"/>
    <w:rsid w:val="003D744D"/>
    <w:rsid w:val="003E06AE"/>
    <w:rsid w:val="003E0EA7"/>
    <w:rsid w:val="003F3D8F"/>
    <w:rsid w:val="003F4C97"/>
    <w:rsid w:val="003F4E15"/>
    <w:rsid w:val="003F7FE6"/>
    <w:rsid w:val="00400032"/>
    <w:rsid w:val="00400193"/>
    <w:rsid w:val="00403C1A"/>
    <w:rsid w:val="004045B9"/>
    <w:rsid w:val="00404EF4"/>
    <w:rsid w:val="00411B7F"/>
    <w:rsid w:val="00411C0A"/>
    <w:rsid w:val="004138DD"/>
    <w:rsid w:val="00415EEB"/>
    <w:rsid w:val="0042043D"/>
    <w:rsid w:val="00420CC6"/>
    <w:rsid w:val="004212E7"/>
    <w:rsid w:val="0042446D"/>
    <w:rsid w:val="00424EA5"/>
    <w:rsid w:val="004260F2"/>
    <w:rsid w:val="0042788C"/>
    <w:rsid w:val="00427BF8"/>
    <w:rsid w:val="0043023F"/>
    <w:rsid w:val="00431C02"/>
    <w:rsid w:val="00434D16"/>
    <w:rsid w:val="00436B8E"/>
    <w:rsid w:val="00437395"/>
    <w:rsid w:val="004376C1"/>
    <w:rsid w:val="00442FC5"/>
    <w:rsid w:val="00444B4D"/>
    <w:rsid w:val="00445047"/>
    <w:rsid w:val="0044566C"/>
    <w:rsid w:val="00450885"/>
    <w:rsid w:val="0045590E"/>
    <w:rsid w:val="00455BDD"/>
    <w:rsid w:val="00456840"/>
    <w:rsid w:val="00457B39"/>
    <w:rsid w:val="004633F8"/>
    <w:rsid w:val="00463E39"/>
    <w:rsid w:val="004657FC"/>
    <w:rsid w:val="0046619C"/>
    <w:rsid w:val="00471416"/>
    <w:rsid w:val="004715EC"/>
    <w:rsid w:val="004733F6"/>
    <w:rsid w:val="00474E69"/>
    <w:rsid w:val="00476D65"/>
    <w:rsid w:val="004822B4"/>
    <w:rsid w:val="0048231B"/>
    <w:rsid w:val="00482378"/>
    <w:rsid w:val="00483835"/>
    <w:rsid w:val="00486585"/>
    <w:rsid w:val="0048721F"/>
    <w:rsid w:val="00487646"/>
    <w:rsid w:val="00490CCF"/>
    <w:rsid w:val="004921B7"/>
    <w:rsid w:val="004926AC"/>
    <w:rsid w:val="004931B7"/>
    <w:rsid w:val="0049621B"/>
    <w:rsid w:val="004962BE"/>
    <w:rsid w:val="00497A8D"/>
    <w:rsid w:val="004A1717"/>
    <w:rsid w:val="004A2906"/>
    <w:rsid w:val="004A29AD"/>
    <w:rsid w:val="004A3208"/>
    <w:rsid w:val="004A71D1"/>
    <w:rsid w:val="004B2FBB"/>
    <w:rsid w:val="004B3135"/>
    <w:rsid w:val="004B5AF9"/>
    <w:rsid w:val="004B64A7"/>
    <w:rsid w:val="004B7A56"/>
    <w:rsid w:val="004C0A49"/>
    <w:rsid w:val="004C1895"/>
    <w:rsid w:val="004C2598"/>
    <w:rsid w:val="004C67E3"/>
    <w:rsid w:val="004C6D40"/>
    <w:rsid w:val="004D02B5"/>
    <w:rsid w:val="004D100F"/>
    <w:rsid w:val="004E1325"/>
    <w:rsid w:val="004E2FFE"/>
    <w:rsid w:val="004E4AD7"/>
    <w:rsid w:val="004F0C3C"/>
    <w:rsid w:val="004F1349"/>
    <w:rsid w:val="004F1AC5"/>
    <w:rsid w:val="004F396B"/>
    <w:rsid w:val="004F39A5"/>
    <w:rsid w:val="004F4BB0"/>
    <w:rsid w:val="004F5D89"/>
    <w:rsid w:val="004F63FC"/>
    <w:rsid w:val="004F68CF"/>
    <w:rsid w:val="00500AE5"/>
    <w:rsid w:val="00504FF0"/>
    <w:rsid w:val="00505A92"/>
    <w:rsid w:val="00511475"/>
    <w:rsid w:val="0051165C"/>
    <w:rsid w:val="005123CC"/>
    <w:rsid w:val="00514E23"/>
    <w:rsid w:val="005162D8"/>
    <w:rsid w:val="005203F1"/>
    <w:rsid w:val="00521BC3"/>
    <w:rsid w:val="00533632"/>
    <w:rsid w:val="005344A0"/>
    <w:rsid w:val="005354A1"/>
    <w:rsid w:val="00535E77"/>
    <w:rsid w:val="005366ED"/>
    <w:rsid w:val="00540A85"/>
    <w:rsid w:val="00542062"/>
    <w:rsid w:val="0054251F"/>
    <w:rsid w:val="00542D43"/>
    <w:rsid w:val="00544B09"/>
    <w:rsid w:val="00550618"/>
    <w:rsid w:val="005516EE"/>
    <w:rsid w:val="005520D8"/>
    <w:rsid w:val="005549A9"/>
    <w:rsid w:val="00556232"/>
    <w:rsid w:val="005567A8"/>
    <w:rsid w:val="00556A37"/>
    <w:rsid w:val="00556CF1"/>
    <w:rsid w:val="00557D1E"/>
    <w:rsid w:val="00557EBD"/>
    <w:rsid w:val="00560B1F"/>
    <w:rsid w:val="00564715"/>
    <w:rsid w:val="0057408C"/>
    <w:rsid w:val="005762A7"/>
    <w:rsid w:val="00577171"/>
    <w:rsid w:val="00577D1B"/>
    <w:rsid w:val="00580DA0"/>
    <w:rsid w:val="00582A71"/>
    <w:rsid w:val="00585385"/>
    <w:rsid w:val="00586936"/>
    <w:rsid w:val="00586CD0"/>
    <w:rsid w:val="005916D7"/>
    <w:rsid w:val="00594F98"/>
    <w:rsid w:val="005A698C"/>
    <w:rsid w:val="005A729A"/>
    <w:rsid w:val="005B60E0"/>
    <w:rsid w:val="005C31D1"/>
    <w:rsid w:val="005C3C14"/>
    <w:rsid w:val="005C40DB"/>
    <w:rsid w:val="005C4762"/>
    <w:rsid w:val="005C4C4F"/>
    <w:rsid w:val="005C5358"/>
    <w:rsid w:val="005D4CB0"/>
    <w:rsid w:val="005E0799"/>
    <w:rsid w:val="005E67F5"/>
    <w:rsid w:val="005E711B"/>
    <w:rsid w:val="005E76AC"/>
    <w:rsid w:val="005F0F6A"/>
    <w:rsid w:val="005F30B8"/>
    <w:rsid w:val="005F30EE"/>
    <w:rsid w:val="005F3133"/>
    <w:rsid w:val="005F39A7"/>
    <w:rsid w:val="005F3D74"/>
    <w:rsid w:val="005F5A80"/>
    <w:rsid w:val="00603666"/>
    <w:rsid w:val="00603F82"/>
    <w:rsid w:val="006044FF"/>
    <w:rsid w:val="006058C1"/>
    <w:rsid w:val="00607CC5"/>
    <w:rsid w:val="0061112C"/>
    <w:rsid w:val="00614ABB"/>
    <w:rsid w:val="0062279C"/>
    <w:rsid w:val="00623AA5"/>
    <w:rsid w:val="00630C1B"/>
    <w:rsid w:val="00633014"/>
    <w:rsid w:val="0063437B"/>
    <w:rsid w:val="006362E4"/>
    <w:rsid w:val="006401A1"/>
    <w:rsid w:val="00642CCB"/>
    <w:rsid w:val="006507E9"/>
    <w:rsid w:val="00651084"/>
    <w:rsid w:val="0065337E"/>
    <w:rsid w:val="006537F5"/>
    <w:rsid w:val="00654F9B"/>
    <w:rsid w:val="00657AC6"/>
    <w:rsid w:val="00662619"/>
    <w:rsid w:val="00663560"/>
    <w:rsid w:val="00663BFE"/>
    <w:rsid w:val="006646E5"/>
    <w:rsid w:val="00664C1E"/>
    <w:rsid w:val="00665A78"/>
    <w:rsid w:val="006665C3"/>
    <w:rsid w:val="00666F55"/>
    <w:rsid w:val="006673CA"/>
    <w:rsid w:val="0067188D"/>
    <w:rsid w:val="00671C59"/>
    <w:rsid w:val="00672129"/>
    <w:rsid w:val="00673305"/>
    <w:rsid w:val="00673C26"/>
    <w:rsid w:val="0067455E"/>
    <w:rsid w:val="0067678F"/>
    <w:rsid w:val="006779F7"/>
    <w:rsid w:val="006812AF"/>
    <w:rsid w:val="00682774"/>
    <w:rsid w:val="0068327D"/>
    <w:rsid w:val="006835A6"/>
    <w:rsid w:val="00690129"/>
    <w:rsid w:val="00694174"/>
    <w:rsid w:val="00694AF0"/>
    <w:rsid w:val="006A0CA8"/>
    <w:rsid w:val="006A215D"/>
    <w:rsid w:val="006A673E"/>
    <w:rsid w:val="006A7B80"/>
    <w:rsid w:val="006B0E9E"/>
    <w:rsid w:val="006B3EE4"/>
    <w:rsid w:val="006B53C4"/>
    <w:rsid w:val="006B56D3"/>
    <w:rsid w:val="006B5AE4"/>
    <w:rsid w:val="006B7487"/>
    <w:rsid w:val="006C30E7"/>
    <w:rsid w:val="006C57ED"/>
    <w:rsid w:val="006D31C0"/>
    <w:rsid w:val="006D4054"/>
    <w:rsid w:val="006E02EC"/>
    <w:rsid w:val="006E1503"/>
    <w:rsid w:val="006E6555"/>
    <w:rsid w:val="006E784E"/>
    <w:rsid w:val="006E7D35"/>
    <w:rsid w:val="006F6C73"/>
    <w:rsid w:val="00701D51"/>
    <w:rsid w:val="0070265D"/>
    <w:rsid w:val="00712DB0"/>
    <w:rsid w:val="007160CA"/>
    <w:rsid w:val="007211B1"/>
    <w:rsid w:val="00721B2E"/>
    <w:rsid w:val="00721D0A"/>
    <w:rsid w:val="00722AB9"/>
    <w:rsid w:val="00724845"/>
    <w:rsid w:val="00724F51"/>
    <w:rsid w:val="007262F5"/>
    <w:rsid w:val="0072766B"/>
    <w:rsid w:val="00727D29"/>
    <w:rsid w:val="007319A8"/>
    <w:rsid w:val="007324AA"/>
    <w:rsid w:val="007354FD"/>
    <w:rsid w:val="00737DA2"/>
    <w:rsid w:val="00743D83"/>
    <w:rsid w:val="00744F3A"/>
    <w:rsid w:val="00746187"/>
    <w:rsid w:val="007476ED"/>
    <w:rsid w:val="00756062"/>
    <w:rsid w:val="00760DCD"/>
    <w:rsid w:val="0076254F"/>
    <w:rsid w:val="007706C7"/>
    <w:rsid w:val="00771315"/>
    <w:rsid w:val="00772C7B"/>
    <w:rsid w:val="00772D14"/>
    <w:rsid w:val="00773E91"/>
    <w:rsid w:val="007801F5"/>
    <w:rsid w:val="00783CA4"/>
    <w:rsid w:val="007842FB"/>
    <w:rsid w:val="00786124"/>
    <w:rsid w:val="007906BE"/>
    <w:rsid w:val="00792508"/>
    <w:rsid w:val="00793EAA"/>
    <w:rsid w:val="0079514B"/>
    <w:rsid w:val="0079518C"/>
    <w:rsid w:val="00796E95"/>
    <w:rsid w:val="007A2DC1"/>
    <w:rsid w:val="007A43AE"/>
    <w:rsid w:val="007C094B"/>
    <w:rsid w:val="007C58B9"/>
    <w:rsid w:val="007C5BFA"/>
    <w:rsid w:val="007D3319"/>
    <w:rsid w:val="007D335D"/>
    <w:rsid w:val="007D3F3F"/>
    <w:rsid w:val="007D6BC4"/>
    <w:rsid w:val="007E035E"/>
    <w:rsid w:val="007E3314"/>
    <w:rsid w:val="007E3777"/>
    <w:rsid w:val="007E3795"/>
    <w:rsid w:val="007E4B03"/>
    <w:rsid w:val="007E5EAA"/>
    <w:rsid w:val="007E745C"/>
    <w:rsid w:val="007F307F"/>
    <w:rsid w:val="007F324B"/>
    <w:rsid w:val="007F5D5B"/>
    <w:rsid w:val="0080296F"/>
    <w:rsid w:val="00802EA8"/>
    <w:rsid w:val="008034A9"/>
    <w:rsid w:val="0080553C"/>
    <w:rsid w:val="00805B46"/>
    <w:rsid w:val="008069DF"/>
    <w:rsid w:val="00807E55"/>
    <w:rsid w:val="008107C8"/>
    <w:rsid w:val="0081655E"/>
    <w:rsid w:val="008232EF"/>
    <w:rsid w:val="00823DBA"/>
    <w:rsid w:val="00825DC2"/>
    <w:rsid w:val="00825F5C"/>
    <w:rsid w:val="00832FBE"/>
    <w:rsid w:val="00833E1C"/>
    <w:rsid w:val="00834AD3"/>
    <w:rsid w:val="0084092E"/>
    <w:rsid w:val="00843795"/>
    <w:rsid w:val="0084438B"/>
    <w:rsid w:val="008443C6"/>
    <w:rsid w:val="00847F0F"/>
    <w:rsid w:val="00850600"/>
    <w:rsid w:val="00852448"/>
    <w:rsid w:val="008530CF"/>
    <w:rsid w:val="00857C7E"/>
    <w:rsid w:val="008649C0"/>
    <w:rsid w:val="00864AF5"/>
    <w:rsid w:val="008720A0"/>
    <w:rsid w:val="00874BAB"/>
    <w:rsid w:val="00874D0F"/>
    <w:rsid w:val="00880EBF"/>
    <w:rsid w:val="00881A4D"/>
    <w:rsid w:val="0088258A"/>
    <w:rsid w:val="00886332"/>
    <w:rsid w:val="00886923"/>
    <w:rsid w:val="00887BD4"/>
    <w:rsid w:val="008935C5"/>
    <w:rsid w:val="008955C9"/>
    <w:rsid w:val="008A10A2"/>
    <w:rsid w:val="008A1ABD"/>
    <w:rsid w:val="008A26D9"/>
    <w:rsid w:val="008A2AAB"/>
    <w:rsid w:val="008A2F92"/>
    <w:rsid w:val="008A38D0"/>
    <w:rsid w:val="008A5AF9"/>
    <w:rsid w:val="008A697A"/>
    <w:rsid w:val="008A6B2A"/>
    <w:rsid w:val="008B4B4D"/>
    <w:rsid w:val="008C0BEF"/>
    <w:rsid w:val="008C0C29"/>
    <w:rsid w:val="008C317D"/>
    <w:rsid w:val="008C3310"/>
    <w:rsid w:val="008C760D"/>
    <w:rsid w:val="008C76A5"/>
    <w:rsid w:val="008E4435"/>
    <w:rsid w:val="008E7391"/>
    <w:rsid w:val="008F0926"/>
    <w:rsid w:val="008F20EF"/>
    <w:rsid w:val="008F3638"/>
    <w:rsid w:val="008F6F31"/>
    <w:rsid w:val="008F74DF"/>
    <w:rsid w:val="0090441A"/>
    <w:rsid w:val="00905115"/>
    <w:rsid w:val="0090586A"/>
    <w:rsid w:val="0090601C"/>
    <w:rsid w:val="00907540"/>
    <w:rsid w:val="009127BA"/>
    <w:rsid w:val="009127E7"/>
    <w:rsid w:val="009140EB"/>
    <w:rsid w:val="00916E7F"/>
    <w:rsid w:val="00921F50"/>
    <w:rsid w:val="009227A6"/>
    <w:rsid w:val="00922AFB"/>
    <w:rsid w:val="00922F19"/>
    <w:rsid w:val="00927398"/>
    <w:rsid w:val="009317BB"/>
    <w:rsid w:val="00932408"/>
    <w:rsid w:val="00932D33"/>
    <w:rsid w:val="00933EC1"/>
    <w:rsid w:val="00935A2E"/>
    <w:rsid w:val="00947486"/>
    <w:rsid w:val="00951F4F"/>
    <w:rsid w:val="009530DB"/>
    <w:rsid w:val="00953676"/>
    <w:rsid w:val="00955FF5"/>
    <w:rsid w:val="009575EC"/>
    <w:rsid w:val="00966AF0"/>
    <w:rsid w:val="00966E82"/>
    <w:rsid w:val="00967265"/>
    <w:rsid w:val="009705EE"/>
    <w:rsid w:val="00977927"/>
    <w:rsid w:val="0098135C"/>
    <w:rsid w:val="0098156A"/>
    <w:rsid w:val="00982B24"/>
    <w:rsid w:val="00984585"/>
    <w:rsid w:val="00985E2B"/>
    <w:rsid w:val="00985EEE"/>
    <w:rsid w:val="00987042"/>
    <w:rsid w:val="00987449"/>
    <w:rsid w:val="00987A98"/>
    <w:rsid w:val="00991BAC"/>
    <w:rsid w:val="00992926"/>
    <w:rsid w:val="00992930"/>
    <w:rsid w:val="0099454C"/>
    <w:rsid w:val="009949DA"/>
    <w:rsid w:val="00994C14"/>
    <w:rsid w:val="009971AA"/>
    <w:rsid w:val="00997D96"/>
    <w:rsid w:val="009A0646"/>
    <w:rsid w:val="009A0F70"/>
    <w:rsid w:val="009A39CF"/>
    <w:rsid w:val="009A5C86"/>
    <w:rsid w:val="009A6EA0"/>
    <w:rsid w:val="009B122A"/>
    <w:rsid w:val="009B14E6"/>
    <w:rsid w:val="009B3523"/>
    <w:rsid w:val="009B442A"/>
    <w:rsid w:val="009B44D4"/>
    <w:rsid w:val="009B5E3A"/>
    <w:rsid w:val="009C1335"/>
    <w:rsid w:val="009C17B6"/>
    <w:rsid w:val="009C1AB2"/>
    <w:rsid w:val="009C3D37"/>
    <w:rsid w:val="009C5A21"/>
    <w:rsid w:val="009C5D06"/>
    <w:rsid w:val="009C6E19"/>
    <w:rsid w:val="009C7251"/>
    <w:rsid w:val="009D0070"/>
    <w:rsid w:val="009D1900"/>
    <w:rsid w:val="009D3B83"/>
    <w:rsid w:val="009D3FDF"/>
    <w:rsid w:val="009D6D75"/>
    <w:rsid w:val="009E09C1"/>
    <w:rsid w:val="009E2E91"/>
    <w:rsid w:val="009E31C1"/>
    <w:rsid w:val="009E397A"/>
    <w:rsid w:val="009E408F"/>
    <w:rsid w:val="009F21D8"/>
    <w:rsid w:val="009F50B3"/>
    <w:rsid w:val="009F577E"/>
    <w:rsid w:val="009F59A3"/>
    <w:rsid w:val="00A00ADB"/>
    <w:rsid w:val="00A01606"/>
    <w:rsid w:val="00A04D4B"/>
    <w:rsid w:val="00A04DA9"/>
    <w:rsid w:val="00A05404"/>
    <w:rsid w:val="00A139F5"/>
    <w:rsid w:val="00A1510C"/>
    <w:rsid w:val="00A1647A"/>
    <w:rsid w:val="00A165B0"/>
    <w:rsid w:val="00A26BFE"/>
    <w:rsid w:val="00A365F4"/>
    <w:rsid w:val="00A416B1"/>
    <w:rsid w:val="00A44ACB"/>
    <w:rsid w:val="00A44C71"/>
    <w:rsid w:val="00A45156"/>
    <w:rsid w:val="00A47D80"/>
    <w:rsid w:val="00A5056B"/>
    <w:rsid w:val="00A52A97"/>
    <w:rsid w:val="00A53132"/>
    <w:rsid w:val="00A5504C"/>
    <w:rsid w:val="00A563F2"/>
    <w:rsid w:val="00A5657A"/>
    <w:rsid w:val="00A566E8"/>
    <w:rsid w:val="00A60E0A"/>
    <w:rsid w:val="00A62DF9"/>
    <w:rsid w:val="00A66EF2"/>
    <w:rsid w:val="00A76427"/>
    <w:rsid w:val="00A76A6E"/>
    <w:rsid w:val="00A77F02"/>
    <w:rsid w:val="00A810F9"/>
    <w:rsid w:val="00A81F44"/>
    <w:rsid w:val="00A82D0A"/>
    <w:rsid w:val="00A83658"/>
    <w:rsid w:val="00A844E6"/>
    <w:rsid w:val="00A86ECC"/>
    <w:rsid w:val="00A86EFC"/>
    <w:rsid w:val="00A86FCC"/>
    <w:rsid w:val="00A87270"/>
    <w:rsid w:val="00A876AE"/>
    <w:rsid w:val="00A913B8"/>
    <w:rsid w:val="00A9457F"/>
    <w:rsid w:val="00AA020F"/>
    <w:rsid w:val="00AA70AB"/>
    <w:rsid w:val="00AA710D"/>
    <w:rsid w:val="00AB37BC"/>
    <w:rsid w:val="00AB6D25"/>
    <w:rsid w:val="00AC2168"/>
    <w:rsid w:val="00AC7857"/>
    <w:rsid w:val="00AC7C36"/>
    <w:rsid w:val="00AD002E"/>
    <w:rsid w:val="00AD0F47"/>
    <w:rsid w:val="00AD34B4"/>
    <w:rsid w:val="00AE2D4B"/>
    <w:rsid w:val="00AE2E4D"/>
    <w:rsid w:val="00AE4B6E"/>
    <w:rsid w:val="00AE4F99"/>
    <w:rsid w:val="00AE636C"/>
    <w:rsid w:val="00AF1C38"/>
    <w:rsid w:val="00AF3EA5"/>
    <w:rsid w:val="00B0130A"/>
    <w:rsid w:val="00B03EF6"/>
    <w:rsid w:val="00B04285"/>
    <w:rsid w:val="00B05382"/>
    <w:rsid w:val="00B10B0A"/>
    <w:rsid w:val="00B14952"/>
    <w:rsid w:val="00B15BEB"/>
    <w:rsid w:val="00B2094C"/>
    <w:rsid w:val="00B21D4D"/>
    <w:rsid w:val="00B22A2B"/>
    <w:rsid w:val="00B22CE9"/>
    <w:rsid w:val="00B25357"/>
    <w:rsid w:val="00B2555E"/>
    <w:rsid w:val="00B31E5A"/>
    <w:rsid w:val="00B32440"/>
    <w:rsid w:val="00B34243"/>
    <w:rsid w:val="00B409DC"/>
    <w:rsid w:val="00B420C3"/>
    <w:rsid w:val="00B44BBB"/>
    <w:rsid w:val="00B459A0"/>
    <w:rsid w:val="00B522F4"/>
    <w:rsid w:val="00B5279C"/>
    <w:rsid w:val="00B61CA8"/>
    <w:rsid w:val="00B62719"/>
    <w:rsid w:val="00B629E7"/>
    <w:rsid w:val="00B653AB"/>
    <w:rsid w:val="00B65F9E"/>
    <w:rsid w:val="00B66047"/>
    <w:rsid w:val="00B66555"/>
    <w:rsid w:val="00B66B19"/>
    <w:rsid w:val="00B72C49"/>
    <w:rsid w:val="00B747B6"/>
    <w:rsid w:val="00B765B3"/>
    <w:rsid w:val="00B76CB1"/>
    <w:rsid w:val="00B84D82"/>
    <w:rsid w:val="00B914E9"/>
    <w:rsid w:val="00B92654"/>
    <w:rsid w:val="00B94EED"/>
    <w:rsid w:val="00B956EE"/>
    <w:rsid w:val="00B957EC"/>
    <w:rsid w:val="00B964A7"/>
    <w:rsid w:val="00BA1D4F"/>
    <w:rsid w:val="00BA2BA1"/>
    <w:rsid w:val="00BB43A9"/>
    <w:rsid w:val="00BB4F09"/>
    <w:rsid w:val="00BC04E5"/>
    <w:rsid w:val="00BC4ED9"/>
    <w:rsid w:val="00BC508E"/>
    <w:rsid w:val="00BC7B9C"/>
    <w:rsid w:val="00BD2BC3"/>
    <w:rsid w:val="00BD4E33"/>
    <w:rsid w:val="00BD6945"/>
    <w:rsid w:val="00BE060A"/>
    <w:rsid w:val="00BE2DB9"/>
    <w:rsid w:val="00BE4961"/>
    <w:rsid w:val="00BE588F"/>
    <w:rsid w:val="00BE58DD"/>
    <w:rsid w:val="00BF101B"/>
    <w:rsid w:val="00BF37B6"/>
    <w:rsid w:val="00BF713B"/>
    <w:rsid w:val="00C02127"/>
    <w:rsid w:val="00C02C9F"/>
    <w:rsid w:val="00C030DE"/>
    <w:rsid w:val="00C0341F"/>
    <w:rsid w:val="00C05B49"/>
    <w:rsid w:val="00C076A5"/>
    <w:rsid w:val="00C132A6"/>
    <w:rsid w:val="00C22105"/>
    <w:rsid w:val="00C244B6"/>
    <w:rsid w:val="00C269C3"/>
    <w:rsid w:val="00C30406"/>
    <w:rsid w:val="00C3702F"/>
    <w:rsid w:val="00C425A6"/>
    <w:rsid w:val="00C461A5"/>
    <w:rsid w:val="00C52F34"/>
    <w:rsid w:val="00C530F9"/>
    <w:rsid w:val="00C544DA"/>
    <w:rsid w:val="00C5627C"/>
    <w:rsid w:val="00C64A37"/>
    <w:rsid w:val="00C7158E"/>
    <w:rsid w:val="00C7250B"/>
    <w:rsid w:val="00C733C3"/>
    <w:rsid w:val="00C7346B"/>
    <w:rsid w:val="00C7382C"/>
    <w:rsid w:val="00C74871"/>
    <w:rsid w:val="00C74B42"/>
    <w:rsid w:val="00C75033"/>
    <w:rsid w:val="00C776B0"/>
    <w:rsid w:val="00C77C0E"/>
    <w:rsid w:val="00C77C4A"/>
    <w:rsid w:val="00C823FF"/>
    <w:rsid w:val="00C841A8"/>
    <w:rsid w:val="00C85BB8"/>
    <w:rsid w:val="00C87A80"/>
    <w:rsid w:val="00C91687"/>
    <w:rsid w:val="00C924A8"/>
    <w:rsid w:val="00C945FE"/>
    <w:rsid w:val="00C96FAA"/>
    <w:rsid w:val="00C97A04"/>
    <w:rsid w:val="00CA0FDE"/>
    <w:rsid w:val="00CA107B"/>
    <w:rsid w:val="00CA14EB"/>
    <w:rsid w:val="00CA484D"/>
    <w:rsid w:val="00CA6B4C"/>
    <w:rsid w:val="00CA71C8"/>
    <w:rsid w:val="00CB0186"/>
    <w:rsid w:val="00CB5036"/>
    <w:rsid w:val="00CB536C"/>
    <w:rsid w:val="00CC0691"/>
    <w:rsid w:val="00CC303A"/>
    <w:rsid w:val="00CC38CB"/>
    <w:rsid w:val="00CC587A"/>
    <w:rsid w:val="00CC67E6"/>
    <w:rsid w:val="00CC739E"/>
    <w:rsid w:val="00CD1F4B"/>
    <w:rsid w:val="00CD2FE9"/>
    <w:rsid w:val="00CD58B7"/>
    <w:rsid w:val="00CE082C"/>
    <w:rsid w:val="00CE0AA3"/>
    <w:rsid w:val="00CF0D73"/>
    <w:rsid w:val="00CF2D58"/>
    <w:rsid w:val="00CF4099"/>
    <w:rsid w:val="00CF7E1E"/>
    <w:rsid w:val="00D00796"/>
    <w:rsid w:val="00D107E8"/>
    <w:rsid w:val="00D115A8"/>
    <w:rsid w:val="00D17ECA"/>
    <w:rsid w:val="00D22E95"/>
    <w:rsid w:val="00D261A2"/>
    <w:rsid w:val="00D34D98"/>
    <w:rsid w:val="00D37998"/>
    <w:rsid w:val="00D41FA3"/>
    <w:rsid w:val="00D43A88"/>
    <w:rsid w:val="00D441A0"/>
    <w:rsid w:val="00D4668B"/>
    <w:rsid w:val="00D53D5E"/>
    <w:rsid w:val="00D54D58"/>
    <w:rsid w:val="00D55063"/>
    <w:rsid w:val="00D616D2"/>
    <w:rsid w:val="00D626BB"/>
    <w:rsid w:val="00D62BE7"/>
    <w:rsid w:val="00D63B5F"/>
    <w:rsid w:val="00D67CD3"/>
    <w:rsid w:val="00D70981"/>
    <w:rsid w:val="00D70EF7"/>
    <w:rsid w:val="00D8397C"/>
    <w:rsid w:val="00D84588"/>
    <w:rsid w:val="00D91A6B"/>
    <w:rsid w:val="00D94EED"/>
    <w:rsid w:val="00D96026"/>
    <w:rsid w:val="00D975DE"/>
    <w:rsid w:val="00DA7C1C"/>
    <w:rsid w:val="00DB147A"/>
    <w:rsid w:val="00DB1B7A"/>
    <w:rsid w:val="00DB562E"/>
    <w:rsid w:val="00DC0DF9"/>
    <w:rsid w:val="00DC1533"/>
    <w:rsid w:val="00DC6708"/>
    <w:rsid w:val="00DD08C1"/>
    <w:rsid w:val="00DD31F2"/>
    <w:rsid w:val="00DD47E8"/>
    <w:rsid w:val="00DD6F41"/>
    <w:rsid w:val="00DE0CED"/>
    <w:rsid w:val="00DE1B88"/>
    <w:rsid w:val="00DF0EAD"/>
    <w:rsid w:val="00DF4D6E"/>
    <w:rsid w:val="00DF5570"/>
    <w:rsid w:val="00DF6110"/>
    <w:rsid w:val="00DF7886"/>
    <w:rsid w:val="00E00327"/>
    <w:rsid w:val="00E01436"/>
    <w:rsid w:val="00E0152B"/>
    <w:rsid w:val="00E045BD"/>
    <w:rsid w:val="00E046E3"/>
    <w:rsid w:val="00E06C83"/>
    <w:rsid w:val="00E1152A"/>
    <w:rsid w:val="00E12DB3"/>
    <w:rsid w:val="00E15E99"/>
    <w:rsid w:val="00E163EC"/>
    <w:rsid w:val="00E17B77"/>
    <w:rsid w:val="00E17C86"/>
    <w:rsid w:val="00E17F92"/>
    <w:rsid w:val="00E23337"/>
    <w:rsid w:val="00E259EA"/>
    <w:rsid w:val="00E25E36"/>
    <w:rsid w:val="00E27A51"/>
    <w:rsid w:val="00E31FA1"/>
    <w:rsid w:val="00E32061"/>
    <w:rsid w:val="00E33A76"/>
    <w:rsid w:val="00E365E9"/>
    <w:rsid w:val="00E36AEC"/>
    <w:rsid w:val="00E407A6"/>
    <w:rsid w:val="00E42FF9"/>
    <w:rsid w:val="00E441B4"/>
    <w:rsid w:val="00E44BC0"/>
    <w:rsid w:val="00E4714C"/>
    <w:rsid w:val="00E51AEB"/>
    <w:rsid w:val="00E522A7"/>
    <w:rsid w:val="00E53C35"/>
    <w:rsid w:val="00E54452"/>
    <w:rsid w:val="00E57771"/>
    <w:rsid w:val="00E61EA6"/>
    <w:rsid w:val="00E62EBE"/>
    <w:rsid w:val="00E636B1"/>
    <w:rsid w:val="00E642A0"/>
    <w:rsid w:val="00E64E91"/>
    <w:rsid w:val="00E664C5"/>
    <w:rsid w:val="00E671A2"/>
    <w:rsid w:val="00E76D26"/>
    <w:rsid w:val="00E77410"/>
    <w:rsid w:val="00E818AD"/>
    <w:rsid w:val="00E82EB2"/>
    <w:rsid w:val="00E85852"/>
    <w:rsid w:val="00E86389"/>
    <w:rsid w:val="00E91F67"/>
    <w:rsid w:val="00E931C8"/>
    <w:rsid w:val="00E93AC6"/>
    <w:rsid w:val="00EA4E27"/>
    <w:rsid w:val="00EA5CD2"/>
    <w:rsid w:val="00EA5FCE"/>
    <w:rsid w:val="00EA7416"/>
    <w:rsid w:val="00EB1390"/>
    <w:rsid w:val="00EB2C71"/>
    <w:rsid w:val="00EB4340"/>
    <w:rsid w:val="00EB46E9"/>
    <w:rsid w:val="00EB4BA2"/>
    <w:rsid w:val="00EB556D"/>
    <w:rsid w:val="00EB5A7D"/>
    <w:rsid w:val="00EB7EE9"/>
    <w:rsid w:val="00EC43AB"/>
    <w:rsid w:val="00ED06AE"/>
    <w:rsid w:val="00ED0E44"/>
    <w:rsid w:val="00ED0F5C"/>
    <w:rsid w:val="00ED55C0"/>
    <w:rsid w:val="00ED682B"/>
    <w:rsid w:val="00EE41D5"/>
    <w:rsid w:val="00EE6094"/>
    <w:rsid w:val="00EF11BF"/>
    <w:rsid w:val="00EF4F31"/>
    <w:rsid w:val="00F002F9"/>
    <w:rsid w:val="00F003B2"/>
    <w:rsid w:val="00F0226D"/>
    <w:rsid w:val="00F02C7E"/>
    <w:rsid w:val="00F02FC9"/>
    <w:rsid w:val="00F037A4"/>
    <w:rsid w:val="00F067F4"/>
    <w:rsid w:val="00F1200E"/>
    <w:rsid w:val="00F12464"/>
    <w:rsid w:val="00F152E6"/>
    <w:rsid w:val="00F2007B"/>
    <w:rsid w:val="00F274D0"/>
    <w:rsid w:val="00F27C8F"/>
    <w:rsid w:val="00F31A2C"/>
    <w:rsid w:val="00F31D96"/>
    <w:rsid w:val="00F32749"/>
    <w:rsid w:val="00F3415A"/>
    <w:rsid w:val="00F35284"/>
    <w:rsid w:val="00F35F16"/>
    <w:rsid w:val="00F37172"/>
    <w:rsid w:val="00F42440"/>
    <w:rsid w:val="00F4477E"/>
    <w:rsid w:val="00F453BB"/>
    <w:rsid w:val="00F55BFB"/>
    <w:rsid w:val="00F600D4"/>
    <w:rsid w:val="00F657FD"/>
    <w:rsid w:val="00F678A0"/>
    <w:rsid w:val="00F67D8F"/>
    <w:rsid w:val="00F70DA2"/>
    <w:rsid w:val="00F71623"/>
    <w:rsid w:val="00F802BE"/>
    <w:rsid w:val="00F86024"/>
    <w:rsid w:val="00F8611A"/>
    <w:rsid w:val="00F87ED1"/>
    <w:rsid w:val="00F9110F"/>
    <w:rsid w:val="00F931AB"/>
    <w:rsid w:val="00F9355F"/>
    <w:rsid w:val="00FA258F"/>
    <w:rsid w:val="00FA2A0D"/>
    <w:rsid w:val="00FA48F8"/>
    <w:rsid w:val="00FA5128"/>
    <w:rsid w:val="00FA5E2C"/>
    <w:rsid w:val="00FA628B"/>
    <w:rsid w:val="00FB42D4"/>
    <w:rsid w:val="00FB50BD"/>
    <w:rsid w:val="00FB5906"/>
    <w:rsid w:val="00FB65DB"/>
    <w:rsid w:val="00FB6768"/>
    <w:rsid w:val="00FB762F"/>
    <w:rsid w:val="00FC0B7D"/>
    <w:rsid w:val="00FC1401"/>
    <w:rsid w:val="00FC2AED"/>
    <w:rsid w:val="00FC43DA"/>
    <w:rsid w:val="00FC71CA"/>
    <w:rsid w:val="00FD2E48"/>
    <w:rsid w:val="00FD5CCB"/>
    <w:rsid w:val="00FD5DDE"/>
    <w:rsid w:val="00FD5EA7"/>
    <w:rsid w:val="00FD72BD"/>
    <w:rsid w:val="00FD784B"/>
    <w:rsid w:val="00FE08D1"/>
    <w:rsid w:val="00FE3D1E"/>
    <w:rsid w:val="00FE4723"/>
    <w:rsid w:val="00FF0040"/>
    <w:rsid w:val="00FF1498"/>
    <w:rsid w:val="00FF29C2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://swaid.stat.gov.pl/SitePagesDBW/HandelZagraniczny.aspx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6.png"/><Relationship Id="rId34" Type="http://schemas.openxmlformats.org/officeDocument/2006/relationships/hyperlink" Target="http://stat.gov.pl/banki-i-bazy-danych/handel-zagraniczny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2.xml"/><Relationship Id="rId25" Type="http://schemas.openxmlformats.org/officeDocument/2006/relationships/hyperlink" Target="https://stat.gov.pl/obszary-tematyczne/ceny-handel/handel/handel-zagraniczny-handel-towarami-wedlug-cech-przedsiebiorstw-tec,6,13.html" TargetMode="External"/><Relationship Id="rId33" Type="http://schemas.openxmlformats.org/officeDocument/2006/relationships/hyperlink" Target="http://swaid.stat.gov.pl/SitePagesDBW/HandelZagraniczny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stat.gov.pl/metainformacje/slownik-pojec/pojecia-stosowane-w-statystyce-publicznej/11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ceny-handel/handel/handel-zagraniczny-statystyka-lustrzana-i-statystyka-asymetrii,17,1.html" TargetMode="External"/><Relationship Id="rId32" Type="http://schemas.openxmlformats.org/officeDocument/2006/relationships/hyperlink" Target="https://stat.gov.pl/obszary-tematyczne/ceny-handel/handel/handel-zagraniczny-handel-towarami-wedlug-cech-przedsiebiorstw-tec,6,13.html" TargetMode="External"/><Relationship Id="rId37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stat.gov.pl/obszary-tematyczne/roczniki-statystyczne/roczniki-statystyczne/rocznik-statystyczny-handlu-zagranicznego-2019,9,13.html" TargetMode="External"/><Relationship Id="rId28" Type="http://schemas.openxmlformats.org/officeDocument/2006/relationships/hyperlink" Target="http://stat.gov.pl/metainformacje/slownik-pojec/pojecia-stosowane-w-statystyce-publicznej/746,pojecie.html" TargetMode="External"/><Relationship Id="rId36" Type="http://schemas.openxmlformats.org/officeDocument/2006/relationships/hyperlink" Target="http://stat.gov.pl/metainformacje/slownik-pojec/pojecia-stosowane-w-statystyce-publicznej/119,pojecie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obszary-tematyczne/ceny-handel/handel/handel-zagraniczny-statystyka-lustrzana-i-statystyka-asymetrii,17,1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://stat.gov.pl/banki-i-bazy-danych/handel-zagraniczny/" TargetMode="External"/><Relationship Id="rId30" Type="http://schemas.openxmlformats.org/officeDocument/2006/relationships/hyperlink" Target="https://stat.gov.pl/obszary-tematyczne/roczniki-statystyczne/roczniki-statystyczne/rocznik-statystyczny-handlu-zagranicznego-2019,9,13.html" TargetMode="External"/><Relationship Id="rId35" Type="http://schemas.openxmlformats.org/officeDocument/2006/relationships/hyperlink" Target="http://stat.gov.pl/metainformacje/slownik-pojec/pojecia-stosowane-w-statystyce-publicznej/746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ejakA\Desktop\Documents\Sygnalna\Towary%20SIT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554465602547173"/>
          <c:y val="2.9955067398901646E-2"/>
          <c:w val="0.52214221641781577"/>
          <c:h val="0.8901647528706939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958472790380562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woski,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 formatCode="General">
                  <c:v>0.3</c:v>
                </c:pt>
                <c:pt idx="1">
                  <c:v>17.5</c:v>
                </c:pt>
                <c:pt idx="2">
                  <c:v>37.6</c:v>
                </c:pt>
                <c:pt idx="3">
                  <c:v>17.8</c:v>
                </c:pt>
                <c:pt idx="4">
                  <c:v>9.3000000000000007</c:v>
                </c:pt>
                <c:pt idx="5">
                  <c:v>0.1</c:v>
                </c:pt>
                <c:pt idx="6">
                  <c:v>2.2999999999999998</c:v>
                </c:pt>
                <c:pt idx="7">
                  <c:v>2.2000000000000002</c:v>
                </c:pt>
                <c:pt idx="8">
                  <c:v>1.8</c:v>
                </c:pt>
                <c:pt idx="9">
                  <c:v>11.1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-2062581216"/>
        <c:axId val="-2062584480"/>
      </c:barChart>
      <c:catAx>
        <c:axId val="-20625812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62584480"/>
        <c:crosses val="autoZero"/>
        <c:auto val="1"/>
        <c:lblAlgn val="ctr"/>
        <c:lblOffset val="100"/>
        <c:noMultiLvlLbl val="0"/>
      </c:catAx>
      <c:valAx>
        <c:axId val="-206258448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-2062581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6241214084014881"/>
          <c:y val="4.7961630695443645E-2"/>
          <c:w val="0.51527473160313864"/>
          <c:h val="0.894484412470023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Arkusz1!$A$27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7923639519028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7,3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woski,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 formatCode="General">
                  <c:v>1.2</c:v>
                </c:pt>
                <c:pt idx="1">
                  <c:v>13.7</c:v>
                </c:pt>
                <c:pt idx="2">
                  <c:v>36.1</c:v>
                </c:pt>
                <c:pt idx="3">
                  <c:v>15.6</c:v>
                </c:pt>
                <c:pt idx="4">
                  <c:v>14.3</c:v>
                </c:pt>
                <c:pt idx="5">
                  <c:v>0.4</c:v>
                </c:pt>
                <c:pt idx="6">
                  <c:v>7.6</c:v>
                </c:pt>
                <c:pt idx="7">
                  <c:v>2.7</c:v>
                </c:pt>
                <c:pt idx="8">
                  <c:v>0.7</c:v>
                </c:pt>
                <c:pt idx="9">
                  <c:v>7.7</c:v>
                </c:pt>
              </c:numCache>
            </c:numRef>
          </c:val>
          <c:extLst/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2062585568"/>
        <c:axId val="-2062582848"/>
      </c:barChart>
      <c:catAx>
        <c:axId val="-20625855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62582848"/>
        <c:crosses val="autoZero"/>
        <c:auto val="1"/>
        <c:lblAlgn val="ctr"/>
        <c:lblOffset val="100"/>
        <c:noMultiLvlLbl val="0"/>
      </c:catAx>
      <c:valAx>
        <c:axId val="-206258284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-2062585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A40AF0-4503-4D32-A39B-0BEF52EA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6</Pages>
  <Words>1248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2020-04-03T13:58:00Z</cp:lastPrinted>
  <dcterms:created xsi:type="dcterms:W3CDTF">2019-12-04T11:52:00Z</dcterms:created>
  <dcterms:modified xsi:type="dcterms:W3CDTF">2020-04-09T05:41:00Z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