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253655">
        <w:rPr>
          <w:rFonts w:ascii="Fira Sans Extra Condensed SemiB" w:hAnsi="Fira Sans Extra Condensed SemiB" w:cs="Arial"/>
          <w:color w:val="auto"/>
          <w:sz w:val="40"/>
          <w:szCs w:val="40"/>
        </w:rPr>
        <w:t>listopad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Pr="009A5C86" w:rsidRDefault="00EA4E27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EA4E27" w:rsidRPr="009A5C86" w:rsidRDefault="00EA4E27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Pr="00B66B19" w:rsidRDefault="00EE511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35pt;height:28.3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EA4E2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A4E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5,9%</w:t>
                            </w:r>
                          </w:p>
                          <w:p w:rsidR="00EA4E27" w:rsidRPr="00B747B6" w:rsidRDefault="00EA4E27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Pr="00B747B6">
                              <w:t xml:space="preserve"> </w:t>
                            </w:r>
                            <w:r>
                              <w:t>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EA4E27" w:rsidRPr="00FF0040" w:rsidRDefault="00EA4E2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EA4E27" w:rsidRPr="00B66B19" w:rsidRDefault="00EA4E2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45pt;height:28.4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5,9%</w:t>
                      </w:r>
                    </w:p>
                    <w:p w:rsidR="00EA4E27" w:rsidRPr="00B747B6" w:rsidRDefault="00EA4E27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Pr="00B747B6">
                        <w:t xml:space="preserve"> </w:t>
                      </w:r>
                      <w:r>
                        <w:t>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EA4E27" w:rsidRPr="00FF0040" w:rsidRDefault="00EA4E2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4D02B5" w:rsidRPr="00DF6110">
        <w:rPr>
          <w:rFonts w:cs="Arial"/>
        </w:rPr>
        <w:t xml:space="preserve">w okresie styczeń </w:t>
      </w:r>
      <w:r w:rsidR="007319A8">
        <w:rPr>
          <w:rFonts w:cs="Arial"/>
        </w:rPr>
        <w:t>–</w:t>
      </w:r>
      <w:r w:rsidR="004D02B5" w:rsidRPr="00DF6110">
        <w:rPr>
          <w:rFonts w:cs="Arial"/>
        </w:rPr>
        <w:t xml:space="preserve"> </w:t>
      </w:r>
      <w:r w:rsidR="007319A8">
        <w:rPr>
          <w:rFonts w:cs="Arial"/>
        </w:rPr>
        <w:t>listopad 2019</w:t>
      </w:r>
      <w:r w:rsidR="004D02B5" w:rsidRPr="00DF6110">
        <w:rPr>
          <w:rFonts w:cs="Arial"/>
        </w:rPr>
        <w:t xml:space="preserve"> r.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7319A8">
        <w:rPr>
          <w:rFonts w:cs="Arial"/>
          <w:bCs/>
          <w:color w:val="000000"/>
        </w:rPr>
        <w:t>934,0</w:t>
      </w:r>
      <w:r w:rsidR="00FA48F8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7319A8">
        <w:rPr>
          <w:rFonts w:cs="Arial"/>
          <w:bCs/>
          <w:color w:val="000000"/>
        </w:rPr>
        <w:t>926,0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7319A8">
        <w:rPr>
          <w:rFonts w:cs="Arial"/>
          <w:spacing w:val="-3"/>
        </w:rPr>
        <w:t>8,0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</w:t>
      </w:r>
      <w:r w:rsidR="007319A8">
        <w:rPr>
          <w:rFonts w:cs="Arial"/>
          <w:spacing w:val="-3"/>
        </w:rPr>
        <w:t xml:space="preserve"> 2018 r.</w:t>
      </w:r>
      <w:r w:rsidR="003E0EA7">
        <w:rPr>
          <w:rFonts w:cs="Arial"/>
          <w:spacing w:val="-3"/>
        </w:rPr>
        <w:t xml:space="preserve"> roku </w:t>
      </w:r>
      <w:r w:rsidR="00690129" w:rsidRPr="00690129">
        <w:rPr>
          <w:rFonts w:cs="Arial"/>
          <w:spacing w:val="-3"/>
        </w:rPr>
        <w:t xml:space="preserve">wyniosło </w:t>
      </w:r>
      <w:r w:rsidR="00D41FA3" w:rsidRPr="0027314E">
        <w:rPr>
          <w:rFonts w:cs="Arial"/>
          <w:spacing w:val="-3"/>
        </w:rPr>
        <w:t xml:space="preserve">minus </w:t>
      </w:r>
      <w:r w:rsidR="009B442A">
        <w:rPr>
          <w:rFonts w:cs="Arial"/>
          <w:spacing w:val="-3"/>
        </w:rPr>
        <w:t>13,</w:t>
      </w:r>
      <w:r w:rsidR="007319A8">
        <w:rPr>
          <w:rFonts w:cs="Arial"/>
          <w:spacing w:val="-3"/>
        </w:rPr>
        <w:t>5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7319A8">
        <w:t xml:space="preserve">listopadem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093633">
        <w:rPr>
          <w:rFonts w:cs="Arial"/>
        </w:rPr>
        <w:t xml:space="preserve">wzrósł </w:t>
      </w:r>
      <w:r w:rsidR="00287CA4">
        <w:rPr>
          <w:rFonts w:cs="Arial"/>
        </w:rPr>
        <w:t xml:space="preserve"> </w:t>
      </w:r>
      <w:r w:rsidR="00093633">
        <w:rPr>
          <w:rFonts w:cs="Arial"/>
        </w:rPr>
        <w:t xml:space="preserve">o </w:t>
      </w:r>
      <w:r w:rsidR="007319A8">
        <w:rPr>
          <w:rFonts w:cs="Arial"/>
        </w:rPr>
        <w:t>5</w:t>
      </w:r>
      <w:r w:rsidR="002166E6">
        <w:t>,</w:t>
      </w:r>
      <w:r w:rsidR="007319A8">
        <w:t>9</w:t>
      </w:r>
      <w:r w:rsidR="004B64A7" w:rsidRPr="009A5C86">
        <w:rPr>
          <w:rFonts w:cs="Arial"/>
        </w:rPr>
        <w:t>%, a import o </w:t>
      </w:r>
      <w:r w:rsidR="007319A8">
        <w:rPr>
          <w:rFonts w:cs="Arial"/>
        </w:rPr>
        <w:t>3</w:t>
      </w:r>
      <w:r w:rsidR="0044566C">
        <w:rPr>
          <w:rFonts w:cs="Arial"/>
        </w:rPr>
        <w:t>,</w:t>
      </w:r>
      <w:r w:rsidR="007319A8">
        <w:rPr>
          <w:rFonts w:cs="Arial"/>
        </w:rPr>
        <w:t>5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Pr="00D616D2" w:rsidRDefault="00EA4E2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EA4E27" w:rsidRPr="00D616D2" w:rsidRDefault="00EA4E2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9B442A">
        <w:rPr>
          <w:rFonts w:cs="Arial"/>
          <w:bCs/>
          <w:color w:val="000000"/>
          <w:szCs w:val="19"/>
        </w:rPr>
        <w:t>2</w:t>
      </w:r>
      <w:r w:rsidR="00237411">
        <w:rPr>
          <w:rFonts w:cs="Arial"/>
          <w:bCs/>
          <w:color w:val="000000"/>
          <w:szCs w:val="19"/>
        </w:rPr>
        <w:t>43</w:t>
      </w:r>
      <w:r w:rsidR="009B442A">
        <w:rPr>
          <w:rFonts w:cs="Arial"/>
          <w:bCs/>
          <w:color w:val="000000"/>
          <w:szCs w:val="19"/>
        </w:rPr>
        <w:t>,9</w:t>
      </w:r>
      <w:r w:rsidR="00F70DA2" w:rsidRPr="0027314E">
        <w:rPr>
          <w:rFonts w:cs="Arial"/>
          <w:bCs/>
          <w:color w:val="000000"/>
          <w:szCs w:val="19"/>
        </w:rPr>
        <w:t xml:space="preserve"> </w:t>
      </w:r>
      <w:r w:rsidRPr="0027314E">
        <w:rPr>
          <w:rFonts w:cs="Arial"/>
          <w:spacing w:val="-3"/>
          <w:szCs w:val="19"/>
        </w:rPr>
        <w:t>ml</w:t>
      </w:r>
      <w:r w:rsidR="00F70DA2" w:rsidRPr="0027314E">
        <w:rPr>
          <w:rFonts w:cs="Arial"/>
          <w:spacing w:val="-3"/>
          <w:szCs w:val="19"/>
        </w:rPr>
        <w:t>d</w:t>
      </w:r>
      <w:r w:rsidRPr="0027314E">
        <w:rPr>
          <w:rFonts w:cs="Arial"/>
          <w:spacing w:val="-3"/>
          <w:szCs w:val="19"/>
        </w:rPr>
        <w:t xml:space="preserve"> USD, a import </w:t>
      </w:r>
      <w:r w:rsidR="009B442A">
        <w:rPr>
          <w:rFonts w:cs="Arial"/>
          <w:bCs/>
          <w:color w:val="000000"/>
          <w:szCs w:val="19"/>
        </w:rPr>
        <w:t>2</w:t>
      </w:r>
      <w:r w:rsidR="00237411">
        <w:rPr>
          <w:rFonts w:cs="Arial"/>
          <w:bCs/>
          <w:color w:val="000000"/>
          <w:szCs w:val="19"/>
        </w:rPr>
        <w:t>4</w:t>
      </w:r>
      <w:r w:rsidR="009B442A">
        <w:rPr>
          <w:rFonts w:cs="Arial"/>
          <w:bCs/>
          <w:color w:val="000000"/>
          <w:szCs w:val="19"/>
        </w:rPr>
        <w:t>1,</w:t>
      </w:r>
      <w:r w:rsidR="00237411">
        <w:rPr>
          <w:rFonts w:cs="Arial"/>
          <w:bCs/>
          <w:color w:val="000000"/>
          <w:szCs w:val="19"/>
        </w:rPr>
        <w:t>9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237411">
        <w:rPr>
          <w:rFonts w:cs="Arial"/>
          <w:spacing w:val="-3"/>
          <w:szCs w:val="19"/>
        </w:rPr>
        <w:t>1,0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0709C0">
        <w:rPr>
          <w:rFonts w:cs="Arial"/>
          <w:spacing w:val="-3"/>
          <w:szCs w:val="19"/>
        </w:rPr>
        <w:t>3,</w:t>
      </w:r>
      <w:r w:rsidR="00237411">
        <w:rPr>
          <w:rFonts w:cs="Arial"/>
          <w:spacing w:val="-3"/>
          <w:szCs w:val="19"/>
        </w:rPr>
        <w:t>3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B0130A">
        <w:rPr>
          <w:rFonts w:cs="Arial"/>
          <w:bCs/>
          <w:color w:val="000000"/>
          <w:szCs w:val="19"/>
        </w:rPr>
        <w:t>2,0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237411">
        <w:rPr>
          <w:rFonts w:cs="Arial"/>
          <w:spacing w:val="-3"/>
          <w:szCs w:val="19"/>
        </w:rPr>
        <w:t>2018</w:t>
      </w:r>
      <w:r w:rsidR="00657AC6">
        <w:rPr>
          <w:rFonts w:cs="Arial"/>
          <w:spacing w:val="-3"/>
          <w:szCs w:val="19"/>
        </w:rPr>
        <w:t xml:space="preserve">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</w:t>
      </w:r>
      <w:r w:rsidR="00657AC6" w:rsidRPr="0027314E">
        <w:rPr>
          <w:rFonts w:cs="Arial"/>
          <w:spacing w:val="-3"/>
          <w:szCs w:val="19"/>
        </w:rPr>
        <w:t xml:space="preserve">wyniosło </w:t>
      </w:r>
      <w:r w:rsidR="00922F19" w:rsidRPr="0027314E">
        <w:rPr>
          <w:rFonts w:cs="Arial"/>
          <w:spacing w:val="-3"/>
          <w:szCs w:val="19"/>
        </w:rPr>
        <w:t xml:space="preserve">minus </w:t>
      </w:r>
      <w:r w:rsidR="009127E7" w:rsidRPr="0027314E">
        <w:rPr>
          <w:rFonts w:cs="Arial"/>
          <w:spacing w:val="-3"/>
          <w:szCs w:val="19"/>
        </w:rPr>
        <w:t>3</w:t>
      </w:r>
      <w:r w:rsidR="00326316" w:rsidRPr="0027314E">
        <w:rPr>
          <w:rFonts w:cs="Arial"/>
          <w:spacing w:val="-3"/>
          <w:szCs w:val="19"/>
        </w:rPr>
        <w:t>,</w:t>
      </w:r>
      <w:r w:rsidR="00237411">
        <w:rPr>
          <w:rFonts w:cs="Arial"/>
          <w:spacing w:val="-3"/>
          <w:szCs w:val="19"/>
        </w:rPr>
        <w:t>8</w:t>
      </w:r>
      <w:r w:rsidR="00657AC6" w:rsidRPr="0027314E">
        <w:rPr>
          <w:rFonts w:cs="Arial"/>
          <w:spacing w:val="-3"/>
          <w:szCs w:val="19"/>
        </w:rPr>
        <w:t xml:space="preserve"> mld </w:t>
      </w:r>
      <w:r w:rsidR="00A5504C" w:rsidRPr="0027314E">
        <w:rPr>
          <w:rFonts w:cs="Arial"/>
          <w:spacing w:val="-3"/>
          <w:szCs w:val="19"/>
        </w:rPr>
        <w:t>USD</w:t>
      </w:r>
      <w:r w:rsidR="00657AC6" w:rsidRPr="0027314E">
        <w:rPr>
          <w:rFonts w:cs="Arial"/>
          <w:szCs w:val="19"/>
        </w:rPr>
        <w:t>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5B60E0">
        <w:rPr>
          <w:color w:val="222222"/>
          <w:szCs w:val="19"/>
          <w:shd w:val="clear" w:color="auto" w:fill="FDFDFD"/>
        </w:rPr>
        <w:t xml:space="preserve">Eksport wyrażony w euro wyniósł </w:t>
      </w:r>
      <w:r w:rsidR="006A0CA8">
        <w:rPr>
          <w:rFonts w:cs="Arial"/>
          <w:bCs/>
          <w:color w:val="000000"/>
          <w:szCs w:val="19"/>
        </w:rPr>
        <w:t>217,3</w:t>
      </w:r>
      <w:r w:rsidRPr="005B60E0">
        <w:rPr>
          <w:color w:val="222222"/>
          <w:szCs w:val="19"/>
          <w:shd w:val="clear" w:color="auto" w:fill="FDFDFD"/>
        </w:rPr>
        <w:t xml:space="preserve"> mld EUR, a import </w:t>
      </w:r>
      <w:r w:rsidR="006A0CA8">
        <w:rPr>
          <w:rFonts w:cs="Arial"/>
          <w:bCs/>
          <w:color w:val="000000"/>
          <w:szCs w:val="19"/>
        </w:rPr>
        <w:t>215,4</w:t>
      </w:r>
      <w:r w:rsidRPr="005B60E0">
        <w:rPr>
          <w:rFonts w:cs="Arial"/>
          <w:bCs/>
          <w:color w:val="000000"/>
          <w:szCs w:val="19"/>
        </w:rPr>
        <w:t xml:space="preserve"> </w:t>
      </w:r>
      <w:r w:rsidRPr="005B60E0">
        <w:rPr>
          <w:color w:val="222222"/>
          <w:szCs w:val="19"/>
          <w:shd w:val="clear" w:color="auto" w:fill="FDFDFD"/>
        </w:rPr>
        <w:t>mld EUR</w:t>
      </w:r>
      <w:r w:rsidRPr="005B60E0">
        <w:rPr>
          <w:rFonts w:cs="Arial"/>
          <w:szCs w:val="19"/>
        </w:rPr>
        <w:t xml:space="preserve"> </w:t>
      </w:r>
      <w:r w:rsidR="00A1647A" w:rsidRPr="005B60E0">
        <w:rPr>
          <w:rFonts w:cs="Arial"/>
          <w:szCs w:val="19"/>
        </w:rPr>
        <w:t>(</w:t>
      </w:r>
      <w:r w:rsidR="00682774" w:rsidRPr="005B60E0">
        <w:rPr>
          <w:rFonts w:cs="Arial"/>
          <w:szCs w:val="19"/>
        </w:rPr>
        <w:t>wzr</w:t>
      </w:r>
      <w:r w:rsidR="00A1647A" w:rsidRPr="005B60E0">
        <w:rPr>
          <w:rFonts w:cs="Arial"/>
          <w:szCs w:val="19"/>
        </w:rPr>
        <w:t>ost</w:t>
      </w:r>
      <w:r w:rsidR="00682774" w:rsidRPr="005B60E0">
        <w:rPr>
          <w:rFonts w:cs="Arial"/>
          <w:szCs w:val="19"/>
        </w:rPr>
        <w:t> w eksporcie o </w:t>
      </w:r>
      <w:r w:rsidR="006A0CA8">
        <w:rPr>
          <w:rFonts w:cs="Arial"/>
          <w:szCs w:val="19"/>
        </w:rPr>
        <w:t>4,8</w:t>
      </w:r>
      <w:r w:rsidR="00277A82" w:rsidRPr="005B60E0">
        <w:rPr>
          <w:rFonts w:cs="Arial"/>
          <w:szCs w:val="19"/>
        </w:rPr>
        <w:t xml:space="preserve">%, a w imporcie o </w:t>
      </w:r>
      <w:r w:rsidR="006A0CA8">
        <w:rPr>
          <w:rFonts w:cs="Arial"/>
          <w:szCs w:val="19"/>
        </w:rPr>
        <w:t>2,3</w:t>
      </w:r>
      <w:r w:rsidR="00A1647A" w:rsidRPr="005B60E0">
        <w:rPr>
          <w:rFonts w:cs="Arial"/>
          <w:szCs w:val="19"/>
        </w:rPr>
        <w:t>%)</w:t>
      </w:r>
      <w:r w:rsidR="00277A82" w:rsidRPr="005B60E0">
        <w:rPr>
          <w:rFonts w:cs="Arial"/>
          <w:szCs w:val="19"/>
        </w:rPr>
        <w:t xml:space="preserve">. </w:t>
      </w:r>
      <w:r w:rsidR="00125191" w:rsidRPr="005B60E0">
        <w:rPr>
          <w:rFonts w:cs="Arial"/>
          <w:szCs w:val="19"/>
        </w:rPr>
        <w:t xml:space="preserve">Dodatnie </w:t>
      </w:r>
      <w:r w:rsidR="00277A82" w:rsidRPr="005B60E0">
        <w:rPr>
          <w:rFonts w:cs="Arial"/>
          <w:szCs w:val="19"/>
        </w:rPr>
        <w:t xml:space="preserve">saldo </w:t>
      </w:r>
      <w:r w:rsidR="00EB4BA2" w:rsidRPr="005B60E0">
        <w:rPr>
          <w:rFonts w:cs="Arial"/>
          <w:szCs w:val="19"/>
        </w:rPr>
        <w:t>wyniosło</w:t>
      </w:r>
      <w:r w:rsidR="00D54D58" w:rsidRPr="005B60E0">
        <w:rPr>
          <w:rFonts w:cs="Arial"/>
          <w:szCs w:val="19"/>
        </w:rPr>
        <w:t xml:space="preserve"> </w:t>
      </w:r>
      <w:r w:rsidR="008E7391">
        <w:rPr>
          <w:rFonts w:cs="Arial"/>
          <w:szCs w:val="19"/>
        </w:rPr>
        <w:t>1,</w:t>
      </w:r>
      <w:r w:rsidR="006A0CA8">
        <w:rPr>
          <w:rFonts w:cs="Arial"/>
          <w:szCs w:val="19"/>
        </w:rPr>
        <w:t>9</w:t>
      </w:r>
      <w:r w:rsidR="00277A82" w:rsidRPr="005B60E0">
        <w:rPr>
          <w:rFonts w:cs="Arial"/>
          <w:bCs/>
          <w:color w:val="000000"/>
          <w:szCs w:val="19"/>
        </w:rPr>
        <w:t xml:space="preserve"> </w:t>
      </w:r>
      <w:r w:rsidR="00277A82" w:rsidRPr="005B60E0">
        <w:t>ml</w:t>
      </w:r>
      <w:r w:rsidR="00A844E6" w:rsidRPr="005B60E0">
        <w:t>d</w:t>
      </w:r>
      <w:r w:rsidR="00EB4BA2" w:rsidRPr="005B60E0">
        <w:t xml:space="preserve"> </w:t>
      </w:r>
      <w:r w:rsidR="00277A82" w:rsidRPr="005B60E0">
        <w:t>EUR</w:t>
      </w:r>
      <w:r w:rsidR="00D54D58" w:rsidRPr="005B60E0">
        <w:t xml:space="preserve">, a </w:t>
      </w:r>
      <w:r w:rsidR="00D54D58" w:rsidRPr="005B60E0">
        <w:rPr>
          <w:rFonts w:cs="Arial"/>
          <w:spacing w:val="-3"/>
          <w:szCs w:val="19"/>
        </w:rPr>
        <w:t xml:space="preserve">w analogicznym okresie </w:t>
      </w:r>
      <w:r w:rsidR="006A0CA8">
        <w:rPr>
          <w:rFonts w:cs="Arial"/>
          <w:spacing w:val="-3"/>
          <w:szCs w:val="19"/>
        </w:rPr>
        <w:t>2018</w:t>
      </w:r>
      <w:r w:rsidR="00D54D58" w:rsidRPr="005B60E0">
        <w:rPr>
          <w:rFonts w:cs="Arial"/>
          <w:spacing w:val="-3"/>
          <w:szCs w:val="19"/>
        </w:rPr>
        <w:t xml:space="preserve"> r</w:t>
      </w:r>
      <w:r w:rsidR="007E035E" w:rsidRPr="005B60E0">
        <w:rPr>
          <w:rFonts w:cs="Arial"/>
          <w:spacing w:val="-3"/>
          <w:szCs w:val="19"/>
        </w:rPr>
        <w:t>.</w:t>
      </w:r>
      <w:r w:rsidR="00D54D58" w:rsidRPr="005B60E0">
        <w:rPr>
          <w:rFonts w:cs="Arial"/>
          <w:spacing w:val="-3"/>
          <w:szCs w:val="19"/>
        </w:rPr>
        <w:t xml:space="preserve"> wyniosło </w:t>
      </w:r>
      <w:r w:rsidR="00B22A2B" w:rsidRPr="005B60E0">
        <w:rPr>
          <w:rFonts w:cs="Arial"/>
          <w:spacing w:val="-3"/>
          <w:szCs w:val="19"/>
        </w:rPr>
        <w:t xml:space="preserve">minus </w:t>
      </w:r>
      <w:r w:rsidR="006A0CA8">
        <w:rPr>
          <w:rFonts w:cs="Arial"/>
          <w:spacing w:val="-3"/>
          <w:szCs w:val="19"/>
        </w:rPr>
        <w:t>3,2</w:t>
      </w:r>
      <w:r w:rsidR="00D54D58" w:rsidRPr="005B60E0">
        <w:rPr>
          <w:rFonts w:cs="Arial"/>
          <w:spacing w:val="-3"/>
          <w:szCs w:val="19"/>
        </w:rPr>
        <w:t xml:space="preserve"> mld EUR</w:t>
      </w:r>
      <w:r w:rsidR="00277A82" w:rsidRPr="005B60E0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Default="00EA4E27" w:rsidP="00F802BE">
                            <w:pPr>
                              <w:pStyle w:val="tekstzboku"/>
                            </w:pPr>
                          </w:p>
                          <w:p w:rsidR="00EA4E27" w:rsidRPr="00074DD8" w:rsidRDefault="00EA4E27" w:rsidP="00F802BE">
                            <w:pPr>
                              <w:pStyle w:val="tekstzboku"/>
                            </w:pPr>
                          </w:p>
                          <w:p w:rsidR="00EA4E27" w:rsidRPr="00D616D2" w:rsidRDefault="00EA4E2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Default="00EA4E27" w:rsidP="00F802BE">
                      <w:pPr>
                        <w:pStyle w:val="tekstzboku"/>
                      </w:pPr>
                    </w:p>
                    <w:p w:rsidR="00EA4E27" w:rsidRPr="00074DD8" w:rsidRDefault="00EA4E27" w:rsidP="00F802BE">
                      <w:pPr>
                        <w:pStyle w:val="tekstzboku"/>
                      </w:pPr>
                    </w:p>
                    <w:p w:rsidR="00EA4E27" w:rsidRPr="00D616D2" w:rsidRDefault="00EA4E2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257543">
        <w:rPr>
          <w:rFonts w:cs="Arial"/>
          <w:spacing w:val="-3"/>
        </w:rPr>
        <w:t>79,</w:t>
      </w:r>
      <w:r w:rsidR="00400032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257543">
        <w:rPr>
          <w:rFonts w:cs="Arial"/>
          <w:spacing w:val="-3"/>
        </w:rPr>
        <w:t>5,</w:t>
      </w:r>
      <w:r w:rsidR="006058C1">
        <w:rPr>
          <w:rFonts w:cs="Arial"/>
          <w:spacing w:val="-3"/>
        </w:rPr>
        <w:t>5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257543">
        <w:rPr>
          <w:rFonts w:cs="Arial"/>
          <w:spacing w:val="-3"/>
        </w:rPr>
        <w:t>7,</w:t>
      </w:r>
      <w:r w:rsidR="006058C1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6058C1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CC587A">
        <w:rPr>
          <w:rFonts w:cs="Arial"/>
          <w:spacing w:val="-3"/>
        </w:rPr>
        <w:t>6,</w:t>
      </w:r>
      <w:r w:rsidR="006058C1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6058C1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 xml:space="preserve">%) w analogicznym okresie </w:t>
      </w:r>
      <w:r w:rsidR="006058C1">
        <w:rPr>
          <w:rFonts w:cs="Arial"/>
          <w:spacing w:val="-3"/>
        </w:rPr>
        <w:t>2018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 xml:space="preserve">w eksporcie ogółem wyniósł </w:t>
      </w:r>
      <w:r w:rsidR="00CC587A">
        <w:rPr>
          <w:rFonts w:cs="Arial"/>
          <w:spacing w:val="-3"/>
        </w:rPr>
        <w:t>6,</w:t>
      </w:r>
      <w:r w:rsidR="008E7391">
        <w:rPr>
          <w:rFonts w:cs="Arial"/>
          <w:spacing w:val="-3"/>
        </w:rPr>
        <w:t>1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CC587A">
        <w:rPr>
          <w:rFonts w:cs="Arial"/>
          <w:spacing w:val="-3"/>
        </w:rPr>
        <w:t>7,</w:t>
      </w:r>
      <w:r w:rsidR="00A76A6E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CC587A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257543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9D3B83">
        <w:rPr>
          <w:rFonts w:cs="Arial"/>
          <w:spacing w:val="-3"/>
        </w:rPr>
        <w:t xml:space="preserve"> </w:t>
      </w:r>
      <w:r w:rsidR="00CC587A">
        <w:rPr>
          <w:rFonts w:cs="Arial"/>
          <w:spacing w:val="-3"/>
        </w:rPr>
        <w:t>–</w:t>
      </w:r>
      <w:r w:rsidR="009D3B83">
        <w:rPr>
          <w:rFonts w:cs="Arial"/>
          <w:spacing w:val="-3"/>
        </w:rPr>
        <w:t xml:space="preserve"> </w:t>
      </w:r>
      <w:r w:rsidR="006058C1">
        <w:rPr>
          <w:rFonts w:cs="Arial"/>
          <w:spacing w:val="-3"/>
        </w:rPr>
        <w:t>listopadzie</w:t>
      </w:r>
      <w:r w:rsidR="00CC587A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8E7391">
        <w:rPr>
          <w:rFonts w:cs="Arial"/>
          <w:spacing w:val="-3"/>
        </w:rPr>
        <w:t>1</w:t>
      </w:r>
      <w:r w:rsidR="006058C1">
        <w:rPr>
          <w:rFonts w:cs="Arial"/>
          <w:spacing w:val="-3"/>
        </w:rPr>
        <w:t>80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2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 (min</w:t>
      </w:r>
      <w:r w:rsidRPr="008720A0">
        <w:rPr>
          <w:rFonts w:cs="Arial"/>
          <w:spacing w:val="-3"/>
        </w:rPr>
        <w:t>us </w:t>
      </w:r>
      <w:r w:rsidR="008E7391">
        <w:rPr>
          <w:rFonts w:cs="Arial"/>
          <w:spacing w:val="-3"/>
        </w:rPr>
        <w:t>4</w:t>
      </w:r>
      <w:r w:rsidR="006058C1">
        <w:rPr>
          <w:rFonts w:cs="Arial"/>
          <w:spacing w:val="-3"/>
        </w:rPr>
        <w:t>7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1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6058C1">
        <w:rPr>
          <w:rFonts w:cs="Arial"/>
          <w:spacing w:val="-3"/>
        </w:rPr>
        <w:t>41,9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8E7391">
        <w:rPr>
          <w:rFonts w:cs="Arial"/>
          <w:spacing w:val="-3"/>
        </w:rPr>
        <w:t>1</w:t>
      </w:r>
      <w:r w:rsidR="006058C1">
        <w:rPr>
          <w:rFonts w:cs="Arial"/>
          <w:spacing w:val="-3"/>
        </w:rPr>
        <w:t>5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9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(minus </w:t>
      </w:r>
      <w:r w:rsidR="006058C1">
        <w:rPr>
          <w:rFonts w:cs="Arial"/>
          <w:spacing w:val="-3"/>
        </w:rPr>
        <w:t>4,2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257543">
        <w:rPr>
          <w:rFonts w:cs="Arial"/>
          <w:spacing w:val="-3"/>
        </w:rPr>
        <w:t>3,</w:t>
      </w:r>
      <w:r w:rsidR="006058C1">
        <w:rPr>
          <w:rFonts w:cs="Arial"/>
          <w:spacing w:val="-3"/>
        </w:rPr>
        <w:t>7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6058C1">
        <w:rPr>
          <w:rFonts w:cs="Arial"/>
          <w:color w:val="000000"/>
        </w:rPr>
        <w:t>204,1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6058C1">
        <w:rPr>
          <w:rFonts w:cs="Arial"/>
          <w:spacing w:val="-3"/>
        </w:rPr>
        <w:t>53,2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8E7391">
        <w:rPr>
          <w:rFonts w:cs="Arial"/>
          <w:spacing w:val="-3"/>
        </w:rPr>
        <w:t>4</w:t>
      </w:r>
      <w:r w:rsidR="006058C1">
        <w:rPr>
          <w:rFonts w:cs="Arial"/>
          <w:spacing w:val="-3"/>
        </w:rPr>
        <w:t>7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5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6058C1">
        <w:rPr>
          <w:rFonts w:cs="Arial"/>
          <w:color w:val="000000"/>
        </w:rPr>
        <w:t>211,5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6058C1">
        <w:rPr>
          <w:rFonts w:cs="Arial"/>
          <w:spacing w:val="-3"/>
        </w:rPr>
        <w:t>55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2</w:t>
      </w:r>
      <w:r w:rsidR="00CC587A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8E7391">
        <w:rPr>
          <w:rFonts w:cs="Arial"/>
          <w:spacing w:val="-3"/>
        </w:rPr>
        <w:t>4</w:t>
      </w:r>
      <w:r w:rsidR="006058C1">
        <w:rPr>
          <w:rFonts w:cs="Arial"/>
          <w:spacing w:val="-3"/>
        </w:rPr>
        <w:t>9</w:t>
      </w:r>
      <w:r w:rsidR="008E7391">
        <w:rPr>
          <w:rFonts w:cs="Arial"/>
          <w:spacing w:val="-3"/>
        </w:rPr>
        <w:t>,</w:t>
      </w:r>
      <w:r w:rsidR="006058C1">
        <w:rPr>
          <w:rFonts w:cs="Arial"/>
          <w:spacing w:val="-3"/>
        </w:rPr>
        <w:t>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60366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 w:rsidR="0025365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C0A4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4C0A49">
              <w:rPr>
                <w:rFonts w:cs="Arial"/>
                <w:sz w:val="16"/>
                <w:szCs w:val="16"/>
              </w:rPr>
              <w:t>X</w:t>
            </w:r>
            <w:r w:rsidR="0025365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C0A4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="0027314E">
              <w:rPr>
                <w:rFonts w:cs="Arial"/>
                <w:sz w:val="16"/>
                <w:szCs w:val="16"/>
              </w:rPr>
              <w:t>X</w:t>
            </w:r>
            <w:r w:rsidR="0025365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53655" w:rsidRPr="00E33A76" w:rsidTr="00253655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934,0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243,9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53655" w:rsidTr="00253655">
        <w:trPr>
          <w:trHeight w:val="352"/>
        </w:trPr>
        <w:tc>
          <w:tcPr>
            <w:tcW w:w="2552" w:type="dxa"/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</w:tr>
      <w:tr w:rsidR="00253655" w:rsidTr="00253655">
        <w:trPr>
          <w:trHeight w:val="342"/>
        </w:trPr>
        <w:tc>
          <w:tcPr>
            <w:tcW w:w="2552" w:type="dxa"/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746,4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79,9</w:t>
            </w:r>
          </w:p>
        </w:tc>
      </w:tr>
      <w:tr w:rsidR="00253655" w:rsidTr="00253655">
        <w:trPr>
          <w:trHeight w:val="270"/>
        </w:trPr>
        <w:tc>
          <w:tcPr>
            <w:tcW w:w="2552" w:type="dxa"/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536,7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253655" w:rsidTr="00253655">
        <w:trPr>
          <w:trHeight w:val="342"/>
        </w:trPr>
        <w:tc>
          <w:tcPr>
            <w:tcW w:w="2552" w:type="dxa"/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253655" w:rsidTr="00253655">
        <w:trPr>
          <w:trHeight w:val="308"/>
        </w:trPr>
        <w:tc>
          <w:tcPr>
            <w:tcW w:w="2552" w:type="dxa"/>
            <w:vAlign w:val="center"/>
          </w:tcPr>
          <w:p w:rsidR="00253655" w:rsidRPr="00E33A76" w:rsidRDefault="00253655" w:rsidP="0025365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253655" w:rsidRDefault="00253655" w:rsidP="00253655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</w:tr>
      <w:tr w:rsidR="00444B4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444B4D" w:rsidRPr="00A00ADB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44B4D" w:rsidTr="00EB7EE9">
        <w:trPr>
          <w:trHeight w:val="35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606,2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444B4D" w:rsidTr="00EB7EE9">
        <w:trPr>
          <w:trHeight w:val="34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57,8</w:t>
            </w:r>
          </w:p>
        </w:tc>
      </w:tr>
      <w:tr w:rsidR="00444B4D" w:rsidTr="00EB7EE9">
        <w:trPr>
          <w:trHeight w:val="35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424,8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</w:t>
            </w:r>
          </w:p>
        </w:tc>
      </w:tr>
      <w:tr w:rsidR="00444B4D" w:rsidTr="00EB7EE9">
        <w:trPr>
          <w:trHeight w:val="34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</w:t>
            </w:r>
          </w:p>
        </w:tc>
      </w:tr>
      <w:tr w:rsidR="00444B4D" w:rsidTr="00EB7EE9">
        <w:trPr>
          <w:trHeight w:val="355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444B4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444B4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44B4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44B4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44B4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-180,2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44B4D" w:rsidRPr="00E33A76" w:rsidTr="00EB7EE9">
        <w:trPr>
          <w:trHeight w:val="258"/>
        </w:trPr>
        <w:tc>
          <w:tcPr>
            <w:tcW w:w="2552" w:type="dxa"/>
            <w:vAlign w:val="center"/>
          </w:tcPr>
          <w:p w:rsidR="00444B4D" w:rsidRPr="00E33A76" w:rsidRDefault="00444B4D" w:rsidP="00444B4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44B4D" w:rsidRDefault="00444B4D" w:rsidP="00444B4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B4D" w:rsidRDefault="00444B4D" w:rsidP="00444B4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2C4C66" w:rsidRDefault="002C4C66" w:rsidP="00345F7C">
      <w:pPr>
        <w:pStyle w:val="Nagwek1"/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Default="00EA4E27" w:rsidP="00345F7C">
                            <w:pPr>
                              <w:pStyle w:val="tekstzboku"/>
                            </w:pPr>
                          </w:p>
                          <w:p w:rsidR="00EA4E27" w:rsidRPr="00074DD8" w:rsidRDefault="00EA4E27" w:rsidP="00345F7C">
                            <w:pPr>
                              <w:pStyle w:val="tekstzboku"/>
                            </w:pPr>
                          </w:p>
                          <w:p w:rsidR="00EA4E27" w:rsidRPr="00D616D2" w:rsidRDefault="00EA4E2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Default="00EA4E27" w:rsidP="00345F7C">
                      <w:pPr>
                        <w:pStyle w:val="tekstzboku"/>
                      </w:pPr>
                    </w:p>
                    <w:p w:rsidR="00EA4E27" w:rsidRPr="00074DD8" w:rsidRDefault="00EA4E27" w:rsidP="00345F7C">
                      <w:pPr>
                        <w:pStyle w:val="tekstzboku"/>
                      </w:pPr>
                    </w:p>
                    <w:p w:rsidR="00EA4E27" w:rsidRPr="00D616D2" w:rsidRDefault="00EA4E2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6835A6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</w:rPr>
        <w:t xml:space="preserve">Po </w:t>
      </w:r>
      <w:r w:rsidR="00EA4E27">
        <w:rPr>
          <w:rFonts w:cs="Arial"/>
        </w:rPr>
        <w:t>jedenastu</w:t>
      </w:r>
      <w:r w:rsidR="00E00327">
        <w:rPr>
          <w:rFonts w:cs="Arial"/>
        </w:rPr>
        <w:t xml:space="preserve"> miesiącach</w:t>
      </w:r>
      <w:r w:rsidR="00E64E91">
        <w:rPr>
          <w:rFonts w:cs="Arial"/>
          <w:szCs w:val="19"/>
        </w:rPr>
        <w:t xml:space="preserve"> </w:t>
      </w:r>
      <w:r w:rsidR="00EA4E27">
        <w:rPr>
          <w:rFonts w:cs="Arial"/>
          <w:szCs w:val="19"/>
        </w:rPr>
        <w:t xml:space="preserve">2019 </w:t>
      </w:r>
      <w:r w:rsidR="00E64E91" w:rsidRPr="00951F4F">
        <w:rPr>
          <w:rFonts w:cs="Arial"/>
          <w:szCs w:val="19"/>
        </w:rPr>
        <w:t xml:space="preserve">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="00BF37B6">
        <w:rPr>
          <w:rFonts w:cs="Arial"/>
          <w:szCs w:val="19"/>
        </w:rPr>
        <w:t xml:space="preserve">ze Stanów Zjednoczonych, </w:t>
      </w:r>
      <w:r w:rsidR="00E64E91" w:rsidRPr="00951F4F">
        <w:rPr>
          <w:rFonts w:cs="Arial"/>
          <w:szCs w:val="19"/>
        </w:rPr>
        <w:t>z Chin,</w:t>
      </w:r>
      <w:r w:rsidR="00E64E91">
        <w:rPr>
          <w:rFonts w:cs="Arial"/>
          <w:szCs w:val="19"/>
        </w:rPr>
        <w:t xml:space="preserve"> </w:t>
      </w:r>
      <w:r w:rsidRPr="006835A6">
        <w:rPr>
          <w:rFonts w:cs="Arial"/>
          <w:szCs w:val="19"/>
        </w:rPr>
        <w:t>Hiszpanii,</w:t>
      </w:r>
      <w:r>
        <w:rPr>
          <w:rFonts w:cs="Arial"/>
          <w:szCs w:val="19"/>
        </w:rPr>
        <w:t xml:space="preserve"> </w:t>
      </w:r>
      <w:r w:rsidR="00BF37B6">
        <w:rPr>
          <w:rFonts w:cs="Arial"/>
          <w:szCs w:val="19"/>
        </w:rPr>
        <w:t xml:space="preserve">Holandii, </w:t>
      </w:r>
      <w:r>
        <w:rPr>
          <w:rFonts w:cs="Arial"/>
          <w:szCs w:val="19"/>
        </w:rPr>
        <w:t>Francji</w:t>
      </w:r>
      <w:r w:rsidR="00BF37B6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</w:t>
      </w:r>
      <w:r w:rsidR="00EA4E27">
        <w:rPr>
          <w:rFonts w:cs="Arial"/>
          <w:szCs w:val="19"/>
        </w:rPr>
        <w:t xml:space="preserve">Włoch </w:t>
      </w:r>
      <w:r w:rsidR="00BF37B6">
        <w:rPr>
          <w:rFonts w:cs="Arial"/>
          <w:szCs w:val="19"/>
        </w:rPr>
        <w:t>oraz</w:t>
      </w:r>
      <w:r w:rsidR="00EA4E27" w:rsidRPr="00EA4E27">
        <w:rPr>
          <w:rFonts w:cs="Arial"/>
          <w:szCs w:val="19"/>
        </w:rPr>
        <w:t xml:space="preserve"> </w:t>
      </w:r>
      <w:r w:rsidR="00EA4E27">
        <w:rPr>
          <w:rFonts w:cs="Arial"/>
          <w:szCs w:val="19"/>
        </w:rPr>
        <w:t>Niemiec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EA4E27">
        <w:rPr>
          <w:rFonts w:cs="Arial"/>
        </w:rPr>
        <w:t>3</w:t>
      </w:r>
      <w:r w:rsidRPr="00483835">
        <w:rPr>
          <w:rFonts w:cs="Arial"/>
        </w:rPr>
        <w:t xml:space="preserve">% eksportu (w analogicznym okresie </w:t>
      </w:r>
      <w:r w:rsidR="00EA4E27">
        <w:rPr>
          <w:rFonts w:cs="Arial"/>
        </w:rPr>
        <w:t>2018</w:t>
      </w:r>
      <w:r w:rsidRPr="00483835">
        <w:rPr>
          <w:rFonts w:cs="Arial"/>
        </w:rPr>
        <w:t xml:space="preserve"> r</w:t>
      </w:r>
      <w:r w:rsidRPr="00672129">
        <w:rPr>
          <w:rFonts w:cs="Arial"/>
        </w:rPr>
        <w:t>. 6</w:t>
      </w:r>
      <w:r w:rsidR="00E57771" w:rsidRPr="00672129">
        <w:rPr>
          <w:rFonts w:cs="Arial"/>
        </w:rPr>
        <w:t>6</w:t>
      </w:r>
      <w:r w:rsidRPr="00672129">
        <w:rPr>
          <w:rFonts w:cs="Arial"/>
        </w:rPr>
        <w:t>,</w:t>
      </w:r>
      <w:r w:rsidR="00EA4E27">
        <w:rPr>
          <w:rFonts w:cs="Arial"/>
        </w:rPr>
        <w:t>8</w:t>
      </w:r>
      <w:r w:rsidRPr="00672129">
        <w:rPr>
          <w:rFonts w:cs="Arial"/>
        </w:rPr>
        <w:t xml:space="preserve">%), </w:t>
      </w:r>
      <w:r w:rsidRPr="00483835">
        <w:rPr>
          <w:rFonts w:cs="Arial"/>
        </w:rPr>
        <w:t xml:space="preserve">a importu ogółem – </w:t>
      </w:r>
      <w:r w:rsidR="004260F2">
        <w:rPr>
          <w:rFonts w:cs="Arial"/>
        </w:rPr>
        <w:t>6</w:t>
      </w:r>
      <w:r w:rsidR="004C2598">
        <w:rPr>
          <w:rFonts w:cs="Arial"/>
        </w:rPr>
        <w:t>3</w:t>
      </w:r>
      <w:r>
        <w:rPr>
          <w:rFonts w:cs="Arial"/>
        </w:rPr>
        <w:t>,</w:t>
      </w:r>
      <w:r w:rsidR="00EA4E27">
        <w:rPr>
          <w:rFonts w:cs="Arial"/>
        </w:rPr>
        <w:t>8</w:t>
      </w:r>
      <w:r w:rsidRPr="00483835">
        <w:rPr>
          <w:rFonts w:cs="Arial"/>
        </w:rPr>
        <w:t xml:space="preserve">% (wobec </w:t>
      </w:r>
      <w:r w:rsidR="00672129" w:rsidRPr="00672129">
        <w:rPr>
          <w:rFonts w:cs="Arial"/>
        </w:rPr>
        <w:t>64,</w:t>
      </w:r>
      <w:r w:rsidR="00EA4E27">
        <w:rPr>
          <w:rFonts w:cs="Arial"/>
        </w:rPr>
        <w:t>8</w:t>
      </w:r>
      <w:r w:rsidRPr="00672129">
        <w:rPr>
          <w:rFonts w:cs="Arial"/>
        </w:rPr>
        <w:t xml:space="preserve">% </w:t>
      </w:r>
      <w:r w:rsidRPr="00483835">
        <w:rPr>
          <w:rFonts w:cs="Arial"/>
        </w:rPr>
        <w:t>w styczniu</w:t>
      </w:r>
      <w:r>
        <w:rPr>
          <w:rFonts w:cs="Arial"/>
        </w:rPr>
        <w:t xml:space="preserve"> – </w:t>
      </w:r>
      <w:r w:rsidR="00EA4E27">
        <w:rPr>
          <w:rFonts w:cs="Arial"/>
        </w:rPr>
        <w:t>listopadzie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</w:t>
      </w:r>
      <w:r w:rsidR="00EA4E27">
        <w:rPr>
          <w:rFonts w:cs="Arial"/>
          <w:szCs w:val="19"/>
        </w:rPr>
        <w:t>2018</w:t>
      </w:r>
      <w:r w:rsidR="00483835" w:rsidRPr="00483835">
        <w:rPr>
          <w:rFonts w:cs="Arial"/>
          <w:szCs w:val="19"/>
        </w:rPr>
        <w:t xml:space="preserve">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EA4E27">
        <w:rPr>
          <w:szCs w:val="19"/>
        </w:rPr>
        <w:t>5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4C2598">
        <w:rPr>
          <w:rFonts w:cs="Arial"/>
          <w:szCs w:val="19"/>
        </w:rPr>
        <w:t>7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4C2598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672129">
        <w:rPr>
          <w:rFonts w:cs="Arial"/>
          <w:szCs w:val="19"/>
        </w:rPr>
        <w:t>21,9</w:t>
      </w:r>
      <w:r w:rsidRPr="00483835">
        <w:rPr>
          <w:rFonts w:cs="Arial"/>
          <w:szCs w:val="19"/>
        </w:rPr>
        <w:t xml:space="preserve">%. Dodatnie saldo wyniosło </w:t>
      </w:r>
      <w:r w:rsidR="00EA4E27">
        <w:rPr>
          <w:rFonts w:cs="Arial"/>
          <w:szCs w:val="19"/>
        </w:rPr>
        <w:t>55,9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672129">
        <w:rPr>
          <w:rFonts w:cs="Arial"/>
          <w:szCs w:val="19"/>
        </w:rPr>
        <w:t>1</w:t>
      </w:r>
      <w:r w:rsidR="00EA4E27">
        <w:rPr>
          <w:rFonts w:cs="Arial"/>
          <w:szCs w:val="19"/>
        </w:rPr>
        <w:t>4</w:t>
      </w:r>
      <w:r w:rsidR="00672129">
        <w:rPr>
          <w:rFonts w:cs="Arial"/>
          <w:szCs w:val="19"/>
        </w:rPr>
        <w:t>,</w:t>
      </w:r>
      <w:r w:rsidR="00EA4E27">
        <w:rPr>
          <w:rFonts w:cs="Arial"/>
          <w:szCs w:val="19"/>
        </w:rPr>
        <w:t>6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672129">
        <w:rPr>
          <w:rFonts w:cs="Arial"/>
          <w:szCs w:val="19"/>
        </w:rPr>
        <w:t>1</w:t>
      </w:r>
      <w:r w:rsidR="00EA4E27">
        <w:rPr>
          <w:rFonts w:cs="Arial"/>
          <w:szCs w:val="19"/>
        </w:rPr>
        <w:t>3</w:t>
      </w:r>
      <w:r w:rsidR="00672129">
        <w:rPr>
          <w:rFonts w:cs="Arial"/>
          <w:szCs w:val="19"/>
        </w:rPr>
        <w:t>,</w:t>
      </w:r>
      <w:r w:rsidR="00EA4E27">
        <w:rPr>
          <w:rFonts w:cs="Arial"/>
          <w:szCs w:val="19"/>
        </w:rPr>
        <w:t>0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4E4AD7">
        <w:rPr>
          <w:rFonts w:cs="Arial"/>
          <w:szCs w:val="19"/>
        </w:rPr>
        <w:t>4</w:t>
      </w:r>
      <w:r w:rsidR="00EA4E27">
        <w:rPr>
          <w:rFonts w:cs="Arial"/>
          <w:szCs w:val="19"/>
        </w:rPr>
        <w:t>6</w:t>
      </w:r>
      <w:r w:rsidR="004E4AD7">
        <w:rPr>
          <w:rFonts w:cs="Arial"/>
          <w:szCs w:val="19"/>
        </w:rPr>
        <w:t>,</w:t>
      </w:r>
      <w:r w:rsidR="00922AFB">
        <w:rPr>
          <w:rFonts w:cs="Arial"/>
          <w:szCs w:val="19"/>
        </w:rPr>
        <w:t>3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EA4E27">
        <w:rPr>
          <w:rFonts w:cs="Arial"/>
          <w:szCs w:val="19"/>
        </w:rPr>
        <w:t>12</w:t>
      </w:r>
      <w:r w:rsidR="004E4AD7">
        <w:rPr>
          <w:rFonts w:cs="Arial"/>
          <w:szCs w:val="19"/>
        </w:rPr>
        <w:t>,</w:t>
      </w:r>
      <w:r w:rsidR="00EA4E27">
        <w:rPr>
          <w:rFonts w:cs="Arial"/>
          <w:szCs w:val="19"/>
        </w:rPr>
        <w:t>9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EA4E27">
        <w:rPr>
          <w:rFonts w:cs="Arial"/>
          <w:szCs w:val="19"/>
        </w:rPr>
        <w:t>10</w:t>
      </w:r>
      <w:r w:rsidR="004E4AD7">
        <w:rPr>
          <w:rFonts w:cs="Arial"/>
          <w:szCs w:val="19"/>
        </w:rPr>
        <w:t>,</w:t>
      </w:r>
      <w:r w:rsidR="00EA4E27">
        <w:rPr>
          <w:rFonts w:cs="Arial"/>
          <w:szCs w:val="19"/>
        </w:rPr>
        <w:t>9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</w:t>
      </w:r>
      <w:r w:rsidR="000330AA">
        <w:rPr>
          <w:rFonts w:cs="Arial"/>
          <w:spacing w:val="-3"/>
          <w:szCs w:val="19"/>
        </w:rPr>
        <w:t>a</w:t>
      </w:r>
      <w:r w:rsidR="00483835" w:rsidRPr="00483835">
        <w:rPr>
          <w:rFonts w:cs="Arial"/>
          <w:spacing w:val="-3"/>
          <w:szCs w:val="19"/>
        </w:rPr>
        <w:t xml:space="preserve">nalogicznym okresie </w:t>
      </w:r>
      <w:r w:rsidR="00EA4E27">
        <w:rPr>
          <w:rFonts w:cs="Arial"/>
          <w:spacing w:val="-3"/>
          <w:szCs w:val="19"/>
        </w:rPr>
        <w:t>2018</w:t>
      </w:r>
      <w:r w:rsidR="00483835" w:rsidRPr="00483835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4029130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Pr="00FF1498" w:rsidRDefault="00EA4E27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1,0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Default="00EA4E27" w:rsidP="00A00ADB">
                            <w:pPr>
                              <w:pStyle w:val="tekstzboku"/>
                            </w:pPr>
                          </w:p>
                          <w:p w:rsidR="00EA4E27" w:rsidRPr="00074DD8" w:rsidRDefault="00EA4E27" w:rsidP="00A00ADB">
                            <w:pPr>
                              <w:pStyle w:val="tekstzboku"/>
                            </w:pPr>
                          </w:p>
                          <w:p w:rsidR="00EA4E27" w:rsidRPr="00D616D2" w:rsidRDefault="00EA4E2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317.2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BDBzW83wAAAAwBAAAPAAAAAAAAAAAAAAAAAGwEAABkcnMvZG93bnJldi54bWxQSwUGAAAAAAQA&#10;BADzAAAAeAUAAAAA&#10;" filled="f" stroked="f">
                <v:textbox>
                  <w:txbxContent>
                    <w:p w:rsidR="00EA4E27" w:rsidRPr="00FF1498" w:rsidRDefault="00EA4E27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1,0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Default="00EA4E27" w:rsidP="00A00ADB">
                      <w:pPr>
                        <w:pStyle w:val="tekstzboku"/>
                      </w:pPr>
                    </w:p>
                    <w:p w:rsidR="00EA4E27" w:rsidRPr="00074DD8" w:rsidRDefault="00EA4E27" w:rsidP="00A00ADB">
                      <w:pPr>
                        <w:pStyle w:val="tekstzboku"/>
                      </w:pPr>
                    </w:p>
                    <w:p w:rsidR="00EA4E27" w:rsidRPr="00D616D2" w:rsidRDefault="00EA4E2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60366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C87A80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C87A80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60366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</w:t>
            </w:r>
            <w:r w:rsidR="00EB7EE9">
              <w:rPr>
                <w:rFonts w:cs="Arial"/>
                <w:sz w:val="16"/>
                <w:szCs w:val="16"/>
              </w:rPr>
              <w:t>X</w:t>
            </w:r>
            <w:r w:rsidR="00C87A80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C87A80" w:rsidRPr="00206A18" w:rsidTr="00EA4E27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922AF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922AF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  <w:tr w:rsidR="00C87A80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Pr="00206A18" w:rsidRDefault="00C87A80" w:rsidP="00C87A8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10. Belgia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87A80" w:rsidRDefault="00C87A80" w:rsidP="00C87A8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5B60E0">
        <w:rPr>
          <w:rFonts w:cs="Arial"/>
          <w:szCs w:val="19"/>
        </w:rPr>
        <w:t>–</w:t>
      </w:r>
      <w:r w:rsidRPr="005B60E0">
        <w:rPr>
          <w:rFonts w:cs="Arial"/>
          <w:spacing w:val="-3"/>
          <w:szCs w:val="19"/>
        </w:rPr>
        <w:t xml:space="preserve"> </w:t>
      </w:r>
      <w:r w:rsidR="00EA4E27">
        <w:rPr>
          <w:rFonts w:cs="Arial"/>
          <w:color w:val="000000"/>
          <w:szCs w:val="19"/>
        </w:rPr>
        <w:t>679,4</w:t>
      </w:r>
      <w:r w:rsidR="006362E4" w:rsidRPr="005B60E0">
        <w:rPr>
          <w:rFonts w:cs="Arial"/>
          <w:color w:val="000000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 tym z UE – </w:t>
      </w:r>
      <w:r w:rsidR="00EA4E27">
        <w:rPr>
          <w:rFonts w:cs="Arial"/>
          <w:spacing w:val="-3"/>
          <w:szCs w:val="19"/>
        </w:rPr>
        <w:t>635,8</w:t>
      </w:r>
      <w:r w:rsidR="0067455E" w:rsidRPr="005B60E0">
        <w:rPr>
          <w:rFonts w:cs="Arial"/>
          <w:spacing w:val="-3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wobec odpowiednio </w:t>
      </w:r>
      <w:r w:rsidR="00BC04E5">
        <w:rPr>
          <w:color w:val="000000"/>
          <w:szCs w:val="19"/>
          <w:shd w:val="clear" w:color="auto" w:fill="FFFFFF"/>
        </w:rPr>
        <w:t>669,3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5B60E0">
        <w:rPr>
          <w:rFonts w:cs="Arial"/>
          <w:spacing w:val="-3"/>
          <w:szCs w:val="19"/>
        </w:rPr>
        <w:t>PLN</w:t>
      </w:r>
      <w:r w:rsidRPr="005B60E0">
        <w:rPr>
          <w:rFonts w:cs="Arial"/>
          <w:spacing w:val="-3"/>
          <w:szCs w:val="19"/>
        </w:rPr>
        <w:t xml:space="preserve">, w tym z </w:t>
      </w:r>
      <w:r w:rsidR="00F657FD" w:rsidRPr="005B60E0">
        <w:rPr>
          <w:rFonts w:cs="Arial"/>
          <w:spacing w:val="-3"/>
          <w:szCs w:val="19"/>
        </w:rPr>
        <w:t xml:space="preserve">UE </w:t>
      </w:r>
      <w:r w:rsidR="00BC04E5">
        <w:rPr>
          <w:color w:val="000000"/>
          <w:szCs w:val="19"/>
          <w:shd w:val="clear" w:color="auto" w:fill="FFFFFF"/>
        </w:rPr>
        <w:t>629,8</w:t>
      </w:r>
      <w:r w:rsidRPr="005B60E0">
        <w:rPr>
          <w:rFonts w:cs="Arial"/>
          <w:spacing w:val="-3"/>
          <w:szCs w:val="19"/>
        </w:rPr>
        <w:t xml:space="preserve"> mld</w:t>
      </w:r>
      <w:r w:rsidR="004921B7" w:rsidRPr="005B60E0">
        <w:rPr>
          <w:rFonts w:cs="Arial"/>
          <w:spacing w:val="-3"/>
        </w:rPr>
        <w:t xml:space="preserve"> </w:t>
      </w:r>
      <w:r w:rsidR="00A52A97" w:rsidRPr="005B60E0">
        <w:rPr>
          <w:rFonts w:cs="Arial"/>
          <w:spacing w:val="-3"/>
        </w:rPr>
        <w:t>PLN</w:t>
      </w:r>
      <w:r w:rsidRPr="005B60E0">
        <w:rPr>
          <w:rFonts w:cs="Arial"/>
          <w:spacing w:val="-3"/>
        </w:rPr>
        <w:t> w analogicznym okresie 201</w:t>
      </w:r>
      <w:r w:rsidR="00535E77" w:rsidRPr="005B60E0">
        <w:rPr>
          <w:rFonts w:cs="Arial"/>
          <w:spacing w:val="-3"/>
        </w:rPr>
        <w:t>8</w:t>
      </w:r>
      <w:r w:rsidRPr="005B60E0">
        <w:rPr>
          <w:rFonts w:cs="Arial"/>
          <w:spacing w:val="-3"/>
        </w:rPr>
        <w:t xml:space="preserve"> roku</w:t>
      </w:r>
      <w:r w:rsidRPr="005B60E0">
        <w:rPr>
          <w:shd w:val="clear" w:color="auto" w:fill="FFFFFF"/>
        </w:rPr>
        <w:t xml:space="preserve">.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8A1ABD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8A1ABD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0330AA">
              <w:rPr>
                <w:rFonts w:cs="Arial"/>
                <w:sz w:val="16"/>
                <w:szCs w:val="16"/>
              </w:rPr>
              <w:t>X</w:t>
            </w:r>
            <w:r w:rsidR="008A1ABD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A1ABD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8A1ABD" w:rsidRPr="00A00ADB" w:rsidRDefault="008A1ABD" w:rsidP="008A1A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926,0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241,9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215,4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8A1ABD" w:rsidRDefault="008A1ABD" w:rsidP="008A1A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Pr="00B72C49" w:rsidRDefault="008A1ABD" w:rsidP="008A1AB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A1ABD" w:rsidRPr="00B72C49" w:rsidRDefault="008A1ABD" w:rsidP="008A1AB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</w:tr>
      <w:tr w:rsidR="00662619" w:rsidRPr="0051165C" w:rsidTr="007C094B">
        <w:trPr>
          <w:trHeight w:val="35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679,4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177,5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9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662619" w:rsidRPr="0051165C" w:rsidTr="007C094B">
        <w:trPr>
          <w:trHeight w:val="34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635,8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166,1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729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68,7</w:t>
            </w:r>
          </w:p>
        </w:tc>
      </w:tr>
      <w:tr w:rsidR="00662619" w:rsidRPr="0051165C" w:rsidTr="007C094B">
        <w:trPr>
          <w:trHeight w:val="35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515,9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29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55,7</w:t>
            </w:r>
          </w:p>
        </w:tc>
      </w:tr>
      <w:tr w:rsidR="00662619" w:rsidRPr="0051165C" w:rsidTr="007C094B">
        <w:trPr>
          <w:trHeight w:val="34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729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18,3</w:t>
            </w:r>
          </w:p>
        </w:tc>
      </w:tr>
      <w:tr w:rsidR="00662619" w:rsidRPr="0051165C" w:rsidTr="007C094B">
        <w:trPr>
          <w:trHeight w:val="355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729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</w:tr>
      <w:tr w:rsidR="00662619" w:rsidRPr="0051165C" w:rsidTr="00055BA7">
        <w:trPr>
          <w:trHeight w:val="34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62619" w:rsidRPr="0051165C" w:rsidTr="00055BA7">
        <w:trPr>
          <w:trHeight w:val="35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62619" w:rsidRPr="0051165C" w:rsidTr="00055BA7">
        <w:trPr>
          <w:trHeight w:val="342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62619" w:rsidRPr="0051165C" w:rsidTr="00055BA7">
        <w:trPr>
          <w:trHeight w:val="313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62619" w:rsidRPr="0051165C" w:rsidTr="00055BA7">
        <w:trPr>
          <w:trHeight w:val="405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-102,6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-26,8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-23,9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62619" w:rsidRPr="0051165C" w:rsidTr="00055BA7">
        <w:trPr>
          <w:trHeight w:val="258"/>
        </w:trPr>
        <w:tc>
          <w:tcPr>
            <w:tcW w:w="2268" w:type="dxa"/>
            <w:vAlign w:val="center"/>
          </w:tcPr>
          <w:p w:rsidR="00662619" w:rsidRPr="0051165C" w:rsidRDefault="00662619" w:rsidP="0066261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-5,3</w:t>
            </w:r>
          </w:p>
        </w:tc>
        <w:tc>
          <w:tcPr>
            <w:tcW w:w="727" w:type="dxa"/>
            <w:vAlign w:val="bottom"/>
          </w:tcPr>
          <w:p w:rsidR="00662619" w:rsidRDefault="00662619" w:rsidP="0066261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62619" w:rsidRPr="004C67E3" w:rsidRDefault="00662619" w:rsidP="00662619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8935C5" w:rsidRDefault="009C17B6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</w:t>
      </w:r>
      <w:r w:rsidR="001866D5" w:rsidRPr="007E3795">
        <w:rPr>
          <w:rFonts w:cs="Arial"/>
          <w:sz w:val="18"/>
          <w:szCs w:val="18"/>
        </w:rPr>
        <w:t>,</w:t>
      </w:r>
      <w:r w:rsidRPr="007E3795">
        <w:rPr>
          <w:rFonts w:cs="Arial"/>
          <w:sz w:val="18"/>
          <w:szCs w:val="18"/>
        </w:rPr>
        <w:t xml:space="preserve"> </w:t>
      </w:r>
      <w:r w:rsidR="001866D5" w:rsidRPr="007E3795">
        <w:rPr>
          <w:rFonts w:cs="Arial"/>
          <w:sz w:val="18"/>
          <w:szCs w:val="18"/>
        </w:rPr>
        <w:t xml:space="preserve">w porównaniu z </w:t>
      </w:r>
      <w:r w:rsidRPr="007E3795">
        <w:rPr>
          <w:rFonts w:cs="Arial"/>
          <w:sz w:val="18"/>
          <w:szCs w:val="18"/>
        </w:rPr>
        <w:t>import</w:t>
      </w:r>
      <w:r w:rsidR="001866D5" w:rsidRPr="007E3795">
        <w:rPr>
          <w:rFonts w:cs="Arial"/>
          <w:sz w:val="18"/>
          <w:szCs w:val="18"/>
        </w:rPr>
        <w:t>em</w:t>
      </w:r>
      <w:r w:rsidRPr="007E3795">
        <w:rPr>
          <w:rFonts w:cs="Arial"/>
          <w:sz w:val="18"/>
          <w:szCs w:val="18"/>
        </w:rPr>
        <w:t xml:space="preserve"> według kraju pochodzenia</w:t>
      </w:r>
      <w:r w:rsidR="001866D5" w:rsidRPr="007E3795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BC04E5">
        <w:rPr>
          <w:rFonts w:cs="Arial"/>
          <w:sz w:val="18"/>
          <w:szCs w:val="18"/>
        </w:rPr>
        <w:t>4,9</w:t>
      </w:r>
      <w:r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BC04E5">
        <w:rPr>
          <w:rFonts w:cs="Arial"/>
          <w:sz w:val="18"/>
          <w:szCs w:val="18"/>
        </w:rPr>
        <w:t>9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</w:t>
      </w:r>
      <w:r w:rsidR="00BC04E5">
        <w:rPr>
          <w:rFonts w:cs="Arial"/>
          <w:sz w:val="18"/>
          <w:szCs w:val="18"/>
        </w:rPr>
        <w:t>8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316AB5" w:rsidRPr="001521EB">
        <w:rPr>
          <w:rFonts w:cs="Arial"/>
          <w:sz w:val="18"/>
          <w:szCs w:val="18"/>
        </w:rPr>
        <w:t xml:space="preserve">, </w:t>
      </w:r>
      <w:r w:rsidR="0012536F">
        <w:rPr>
          <w:rFonts w:cs="Arial"/>
          <w:sz w:val="18"/>
          <w:szCs w:val="18"/>
        </w:rPr>
        <w:t xml:space="preserve">a Francji </w:t>
      </w:r>
      <w:r w:rsidR="0012536F" w:rsidRPr="001521EB">
        <w:rPr>
          <w:rFonts w:cs="Arial"/>
          <w:sz w:val="18"/>
          <w:szCs w:val="18"/>
        </w:rPr>
        <w:t xml:space="preserve">o </w:t>
      </w:r>
      <w:r w:rsidR="0012536F">
        <w:rPr>
          <w:rFonts w:cs="Arial"/>
          <w:sz w:val="18"/>
          <w:szCs w:val="18"/>
        </w:rPr>
        <w:t>0,</w:t>
      </w:r>
      <w:r w:rsidR="00E27A51">
        <w:rPr>
          <w:rFonts w:cs="Arial"/>
          <w:sz w:val="18"/>
          <w:szCs w:val="18"/>
        </w:rPr>
        <w:t>4</w:t>
      </w:r>
      <w:r w:rsidR="0012536F" w:rsidRPr="001521EB">
        <w:rPr>
          <w:rFonts w:cs="Arial"/>
          <w:sz w:val="18"/>
          <w:szCs w:val="18"/>
        </w:rPr>
        <w:t xml:space="preserve"> </w:t>
      </w:r>
      <w:r w:rsidR="0012536F"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–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 w:rsidR="0084438B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60366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="00B22CE9">
              <w:rPr>
                <w:rFonts w:cs="Arial"/>
                <w:sz w:val="16"/>
                <w:szCs w:val="16"/>
              </w:rPr>
              <w:t xml:space="preserve">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 w:rsidR="0084438B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60366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="00B22CE9">
              <w:rPr>
                <w:rFonts w:cs="Arial"/>
                <w:sz w:val="16"/>
                <w:szCs w:val="16"/>
              </w:rPr>
              <w:t xml:space="preserve"> </w:t>
            </w:r>
            <w:r w:rsidR="001D3EB6">
              <w:rPr>
                <w:rFonts w:cs="Arial"/>
                <w:sz w:val="16"/>
                <w:szCs w:val="16"/>
              </w:rPr>
              <w:t>X</w:t>
            </w:r>
            <w:r w:rsidR="0084438B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248,6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64,9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57,8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75,3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19,7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17,5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619" w:type="dxa"/>
            <w:vAlign w:val="bottom"/>
          </w:tcPr>
          <w:p w:rsidR="0084438B" w:rsidRDefault="0084438B" w:rsidP="00922A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22AF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59,0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83,2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50,8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46,4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C02C9F" w:rsidTr="00EA4E27">
        <w:trPr>
          <w:trHeight w:val="316"/>
        </w:trPr>
        <w:tc>
          <w:tcPr>
            <w:tcW w:w="2317" w:type="dxa"/>
            <w:vAlign w:val="bottom"/>
          </w:tcPr>
          <w:p w:rsidR="00C02C9F" w:rsidRPr="0038490F" w:rsidRDefault="00C02C9F" w:rsidP="00C02C9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37,1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45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45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48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19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C02C9F" w:rsidTr="00EA4E27">
        <w:trPr>
          <w:trHeight w:val="316"/>
        </w:trPr>
        <w:tc>
          <w:tcPr>
            <w:tcW w:w="2317" w:type="dxa"/>
            <w:vAlign w:val="bottom"/>
          </w:tcPr>
          <w:p w:rsidR="00C02C9F" w:rsidRPr="0038490F" w:rsidRDefault="00C02C9F" w:rsidP="00C02C9F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36,7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43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45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5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48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19" w:type="dxa"/>
            <w:vAlign w:val="bottom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C02C9F" w:rsidRDefault="00C02C9F" w:rsidP="00C02C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34,2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22,7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90,1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84438B" w:rsidTr="00EA4E27">
        <w:trPr>
          <w:trHeight w:val="316"/>
        </w:trPr>
        <w:tc>
          <w:tcPr>
            <w:tcW w:w="2317" w:type="dxa"/>
            <w:vAlign w:val="bottom"/>
          </w:tcPr>
          <w:p w:rsidR="0084438B" w:rsidRPr="0038490F" w:rsidRDefault="0084438B" w:rsidP="0084438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Słowacja 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43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45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48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19" w:type="dxa"/>
            <w:vAlign w:val="bottom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84438B" w:rsidRDefault="0084438B" w:rsidP="0084438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5264785</wp:posOffset>
                </wp:positionH>
                <wp:positionV relativeFrom="paragraph">
                  <wp:posOffset>1429331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Pr="009A5C86" w:rsidRDefault="00EA4E27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</w:t>
                            </w:r>
                            <w:r w:rsidR="00BC04E5">
                              <w:t>u pochodzenia był mniejszy o 4,4</w:t>
                            </w:r>
                            <w:r>
                              <w:t>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12.5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A3VG6h3wAAAAwBAAAPAAAAAAAAAAAAAAAAAGwEAABkcnMvZG93bnJldi54bWxQSwUGAAAAAAQA&#10;BADzAAAAeAUAAAAA&#10;" filled="f" stroked="f">
                <v:textbox>
                  <w:txbxContent>
                    <w:p w:rsidR="00EA4E27" w:rsidRPr="009A5C86" w:rsidRDefault="00EA4E27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</w:t>
                      </w:r>
                      <w:r w:rsidR="00BC04E5">
                        <w:t>u pochodzenia był mniejszy o 4,4</w:t>
                      </w:r>
                      <w:r>
                        <w:t>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3B1303" w:rsidRDefault="00E36AEC" w:rsidP="00032C1F">
      <w:pPr>
        <w:rPr>
          <w:color w:val="FF0000"/>
          <w:spacing w:val="-3"/>
          <w:szCs w:val="19"/>
        </w:rPr>
      </w:pPr>
      <w:r w:rsidRPr="003B1303">
        <w:rPr>
          <w:spacing w:val="-3"/>
          <w:szCs w:val="19"/>
        </w:rPr>
        <w:lastRenderedPageBreak/>
        <w:t xml:space="preserve">Po </w:t>
      </w:r>
      <w:r w:rsidR="0090601C">
        <w:rPr>
          <w:spacing w:val="-3"/>
          <w:szCs w:val="19"/>
        </w:rPr>
        <w:t>jedenastu</w:t>
      </w:r>
      <w:r w:rsidR="00E27A51">
        <w:rPr>
          <w:spacing w:val="-3"/>
          <w:szCs w:val="19"/>
        </w:rPr>
        <w:t xml:space="preserve"> miesiącach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2019 r</w:t>
      </w:r>
      <w:r w:rsidR="00032C1F" w:rsidRPr="003B1303">
        <w:rPr>
          <w:spacing w:val="-3"/>
          <w:szCs w:val="19"/>
        </w:rPr>
        <w:t xml:space="preserve">. w obrotach towarowych wg nomenklatury SITC w porównaniu z </w:t>
      </w:r>
      <w:r w:rsidR="0090601C">
        <w:rPr>
          <w:spacing w:val="-3"/>
          <w:szCs w:val="19"/>
        </w:rPr>
        <w:t>jedenastoma</w:t>
      </w:r>
      <w:r w:rsidR="00B22CE9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 xml:space="preserve">miesiącami </w:t>
      </w:r>
      <w:r w:rsidR="0090601C">
        <w:rPr>
          <w:spacing w:val="-3"/>
          <w:szCs w:val="19"/>
        </w:rPr>
        <w:t>2018</w:t>
      </w:r>
      <w:r w:rsidR="00032C1F" w:rsidRPr="003B1303">
        <w:rPr>
          <w:spacing w:val="-3"/>
          <w:szCs w:val="19"/>
        </w:rPr>
        <w:t xml:space="preserve"> r. 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towarowych.</w:t>
      </w:r>
      <w:r w:rsidR="00032C1F" w:rsidRPr="003B1303">
        <w:rPr>
          <w:color w:val="FF0000"/>
          <w:spacing w:val="-3"/>
          <w:szCs w:val="19"/>
        </w:rPr>
        <w:t xml:space="preserve"> </w:t>
      </w:r>
    </w:p>
    <w:p w:rsidR="003749BC" w:rsidRPr="003B1303" w:rsidRDefault="00032C1F" w:rsidP="003749BC">
      <w:r w:rsidRPr="003B1303">
        <w:rPr>
          <w:spacing w:val="-3"/>
          <w:szCs w:val="19"/>
        </w:rPr>
        <w:t xml:space="preserve">W eksporcie największy wzrost dotyczył olei, tłuszczów, wosków, zwierzęcych i roślinnych </w:t>
      </w:r>
      <w:r w:rsidR="003E06AE" w:rsidRPr="003B1303">
        <w:rPr>
          <w:spacing w:val="-3"/>
          <w:szCs w:val="19"/>
        </w:rPr>
        <w:t xml:space="preserve">(o </w:t>
      </w:r>
      <w:r w:rsidR="00AD0F47">
        <w:rPr>
          <w:spacing w:val="-3"/>
          <w:szCs w:val="19"/>
        </w:rPr>
        <w:t>2</w:t>
      </w:r>
      <w:r w:rsidR="0090601C">
        <w:rPr>
          <w:spacing w:val="-3"/>
          <w:szCs w:val="19"/>
        </w:rPr>
        <w:t>4</w:t>
      </w:r>
      <w:r w:rsidR="00AD0F47">
        <w:rPr>
          <w:spacing w:val="-3"/>
          <w:szCs w:val="19"/>
        </w:rPr>
        <w:t>,</w:t>
      </w:r>
      <w:r w:rsidR="0090601C">
        <w:rPr>
          <w:spacing w:val="-3"/>
          <w:szCs w:val="19"/>
        </w:rPr>
        <w:t>9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>oraz napojów i tytoniu</w:t>
      </w:r>
      <w:r w:rsidR="003E06AE" w:rsidRPr="003B1303">
        <w:rPr>
          <w:spacing w:val="-3"/>
          <w:szCs w:val="19"/>
        </w:rPr>
        <w:t xml:space="preserve"> (o </w:t>
      </w:r>
      <w:r w:rsidR="00AD0F47">
        <w:rPr>
          <w:spacing w:val="-3"/>
          <w:szCs w:val="19"/>
        </w:rPr>
        <w:t>10,</w:t>
      </w:r>
      <w:r w:rsidR="0090601C">
        <w:rPr>
          <w:spacing w:val="-3"/>
          <w:szCs w:val="19"/>
        </w:rPr>
        <w:t>3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>, n</w:t>
      </w:r>
      <w:r w:rsidR="003E06AE" w:rsidRPr="003B1303">
        <w:rPr>
          <w:spacing w:val="-3"/>
          <w:szCs w:val="19"/>
        </w:rPr>
        <w:t>atomiast</w:t>
      </w:r>
      <w:r w:rsidR="003749BC" w:rsidRPr="003B1303">
        <w:rPr>
          <w:spacing w:val="-3"/>
          <w:szCs w:val="19"/>
        </w:rPr>
        <w:t xml:space="preserve"> </w:t>
      </w:r>
      <w:r w:rsidR="00CA6B4C" w:rsidRPr="003B1303">
        <w:rPr>
          <w:spacing w:val="-3"/>
          <w:szCs w:val="19"/>
        </w:rPr>
        <w:t>spadek</w:t>
      </w:r>
      <w:r w:rsidR="003749BC" w:rsidRPr="003B1303">
        <w:rPr>
          <w:spacing w:val="-3"/>
          <w:szCs w:val="19"/>
        </w:rPr>
        <w:t xml:space="preserve"> odnotowano w paliwach mineralnych, </w:t>
      </w:r>
      <w:r w:rsidR="00B22CE9">
        <w:rPr>
          <w:spacing w:val="-3"/>
          <w:szCs w:val="19"/>
        </w:rPr>
        <w:t>smarach i materiałach pochodnych</w:t>
      </w:r>
      <w:r w:rsidR="003E06AE" w:rsidRPr="003B1303">
        <w:rPr>
          <w:spacing w:val="-3"/>
          <w:szCs w:val="19"/>
        </w:rPr>
        <w:t xml:space="preserve"> (o </w:t>
      </w:r>
      <w:r w:rsidR="0090601C">
        <w:rPr>
          <w:spacing w:val="-3"/>
          <w:szCs w:val="19"/>
        </w:rPr>
        <w:t>9,4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3B1303">
        <w:rPr>
          <w:spacing w:val="-3"/>
          <w:szCs w:val="19"/>
        </w:rPr>
        <w:t>W imporcie największy wzrost z</w:t>
      </w:r>
      <w:r w:rsidR="00DF0EAD" w:rsidRPr="003B1303">
        <w:rPr>
          <w:spacing w:val="-3"/>
          <w:szCs w:val="19"/>
        </w:rPr>
        <w:t xml:space="preserve">anotowano w napojach i tytoniu </w:t>
      </w:r>
      <w:r w:rsidR="003E06AE" w:rsidRPr="003B1303">
        <w:rPr>
          <w:spacing w:val="-3"/>
          <w:szCs w:val="19"/>
        </w:rPr>
        <w:t xml:space="preserve">(o </w:t>
      </w:r>
      <w:r w:rsidR="0090601C">
        <w:rPr>
          <w:spacing w:val="-3"/>
          <w:szCs w:val="19"/>
        </w:rPr>
        <w:t>12,9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 xml:space="preserve">oraz </w:t>
      </w:r>
      <w:r w:rsidR="00B22CE9">
        <w:rPr>
          <w:spacing w:val="-3"/>
          <w:szCs w:val="19"/>
        </w:rPr>
        <w:t xml:space="preserve">maszyn, urządzeń i sprzętu transportowego </w:t>
      </w:r>
      <w:r w:rsidR="00AD0F47">
        <w:rPr>
          <w:spacing w:val="-3"/>
          <w:szCs w:val="19"/>
        </w:rPr>
        <w:t xml:space="preserve"> </w:t>
      </w:r>
      <w:r w:rsidR="003E06AE">
        <w:rPr>
          <w:spacing w:val="-3"/>
          <w:szCs w:val="19"/>
        </w:rPr>
        <w:t xml:space="preserve">(o </w:t>
      </w:r>
      <w:r w:rsidR="003B1303">
        <w:rPr>
          <w:spacing w:val="-3"/>
          <w:szCs w:val="19"/>
        </w:rPr>
        <w:t>8,</w:t>
      </w:r>
      <w:r w:rsidR="0090601C">
        <w:rPr>
          <w:spacing w:val="-3"/>
          <w:szCs w:val="19"/>
        </w:rPr>
        <w:t>1</w:t>
      </w:r>
      <w:r w:rsidR="003E06AE">
        <w:rPr>
          <w:spacing w:val="-3"/>
          <w:szCs w:val="19"/>
        </w:rPr>
        <w:t>%)</w:t>
      </w:r>
      <w:r w:rsidR="00DF0EAD">
        <w:rPr>
          <w:spacing w:val="-3"/>
          <w:szCs w:val="19"/>
        </w:rPr>
        <w:t xml:space="preserve"> natomiast spadek obserwowano w </w:t>
      </w:r>
      <w:r w:rsidR="00097DDE">
        <w:rPr>
          <w:spacing w:val="-3"/>
          <w:szCs w:val="19"/>
        </w:rPr>
        <w:t>paliwach mineralnych, smarach i materiałach pochodnych</w:t>
      </w:r>
      <w:r w:rsidR="003E06AE">
        <w:rPr>
          <w:spacing w:val="-3"/>
          <w:szCs w:val="19"/>
        </w:rPr>
        <w:t xml:space="preserve"> (o </w:t>
      </w:r>
      <w:r w:rsidR="0090601C">
        <w:rPr>
          <w:spacing w:val="-3"/>
          <w:szCs w:val="19"/>
        </w:rPr>
        <w:t>6,1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>,</w:t>
      </w:r>
      <w:r w:rsidR="00097DDE">
        <w:rPr>
          <w:spacing w:val="-3"/>
          <w:szCs w:val="19"/>
        </w:rPr>
        <w:t xml:space="preserve"> w </w:t>
      </w:r>
      <w:r w:rsidR="00D70981">
        <w:rPr>
          <w:spacing w:val="-3"/>
          <w:szCs w:val="19"/>
        </w:rPr>
        <w:t xml:space="preserve">towarach przemysłowych </w:t>
      </w:r>
      <w:r w:rsidR="007C58B9" w:rsidRPr="00CA6B4C">
        <w:rPr>
          <w:spacing w:val="-3"/>
          <w:szCs w:val="19"/>
        </w:rPr>
        <w:t xml:space="preserve"> </w:t>
      </w:r>
      <w:r w:rsidR="00D70981">
        <w:rPr>
          <w:spacing w:val="-3"/>
          <w:szCs w:val="19"/>
        </w:rPr>
        <w:t>s</w:t>
      </w:r>
      <w:r w:rsidR="007C58B9" w:rsidRPr="00CA6B4C">
        <w:rPr>
          <w:spacing w:val="-3"/>
          <w:szCs w:val="19"/>
        </w:rPr>
        <w:t>klasyfikowan</w:t>
      </w:r>
      <w:r w:rsidR="007C58B9"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głównie według surowca</w:t>
      </w:r>
      <w:r w:rsidR="00B22CE9">
        <w:rPr>
          <w:spacing w:val="-3"/>
          <w:szCs w:val="19"/>
        </w:rPr>
        <w:t xml:space="preserve"> (o </w:t>
      </w:r>
      <w:r w:rsidR="0090601C">
        <w:rPr>
          <w:spacing w:val="-3"/>
          <w:szCs w:val="19"/>
        </w:rPr>
        <w:t>2,6</w:t>
      </w:r>
      <w:r w:rsidR="007C58B9">
        <w:rPr>
          <w:spacing w:val="-3"/>
          <w:szCs w:val="19"/>
        </w:rPr>
        <w:t xml:space="preserve">%) </w:t>
      </w:r>
      <w:r w:rsidR="00CA6B4C">
        <w:rPr>
          <w:spacing w:val="-3"/>
          <w:szCs w:val="19"/>
        </w:rPr>
        <w:t xml:space="preserve">oraz w </w:t>
      </w:r>
      <w:r w:rsidR="007C58B9">
        <w:rPr>
          <w:spacing w:val="-3"/>
          <w:szCs w:val="19"/>
        </w:rPr>
        <w:t xml:space="preserve">surowcach niejadalnych z wyjątkiem paliw (o </w:t>
      </w:r>
      <w:r w:rsidR="0090601C">
        <w:rPr>
          <w:spacing w:val="-3"/>
          <w:szCs w:val="19"/>
        </w:rPr>
        <w:t>2,3</w:t>
      </w:r>
      <w:r w:rsidR="007C58B9">
        <w:rPr>
          <w:spacing w:val="-3"/>
          <w:szCs w:val="19"/>
        </w:rPr>
        <w:t>%)</w:t>
      </w:r>
      <w:r w:rsidR="00097DDE">
        <w:rPr>
          <w:spacing w:val="-3"/>
          <w:szCs w:val="19"/>
        </w:rPr>
        <w:t>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</w:t>
      </w:r>
      <w:r w:rsidRPr="00886923">
        <w:rPr>
          <w:b/>
          <w:sz w:val="18"/>
          <w:szCs w:val="18"/>
          <w:shd w:val="clear" w:color="auto" w:fill="FFFFFF"/>
        </w:rPr>
        <w:t xml:space="preserve">I - </w:t>
      </w:r>
      <w:r w:rsidR="006362E4" w:rsidRPr="00886923">
        <w:rPr>
          <w:b/>
          <w:sz w:val="18"/>
          <w:szCs w:val="18"/>
          <w:shd w:val="clear" w:color="auto" w:fill="FFFFFF"/>
        </w:rPr>
        <w:t>X</w:t>
      </w:r>
      <w:r w:rsidR="00D4668B">
        <w:rPr>
          <w:b/>
          <w:sz w:val="18"/>
          <w:szCs w:val="18"/>
          <w:shd w:val="clear" w:color="auto" w:fill="FFFFFF"/>
        </w:rPr>
        <w:t>I</w:t>
      </w:r>
      <w:r w:rsidRPr="00886923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Struktura importu według sekcji </w:t>
      </w:r>
      <w:r w:rsidRPr="00850600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okresie I - </w:t>
      </w:r>
      <w:r w:rsidR="00E36AEC"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X</w:t>
      </w:r>
      <w:r w:rsidR="00D4668B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I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2019 r.</w:t>
      </w:r>
    </w:p>
    <w:p w:rsidR="006779F7" w:rsidRDefault="00792508" w:rsidP="003D744D">
      <w:pPr>
        <w:rPr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27" w:rsidRDefault="00EA4E2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A4E27" w:rsidRPr="00A00ADB" w:rsidRDefault="00EA4E27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A4E27" w:rsidRPr="00D70981" w:rsidRDefault="00EE511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EA4E27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EA4E27" w:rsidRPr="008F0926" w:rsidRDefault="00EE511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EA4E27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EA4E27" w:rsidRPr="008F0926" w:rsidRDefault="00EA4E27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E408F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EA4E27" w:rsidRPr="008F0926" w:rsidRDefault="00EA4E27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8F0926"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8F0926" w:rsidRPr="00A00ADB" w:rsidRDefault="008F0926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A4E27" w:rsidRPr="00A00ADB" w:rsidRDefault="00EA4E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EA4E27" w:rsidRPr="006779F7" w:rsidRDefault="00EA4E2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EA4E27" w:rsidRPr="006779F7" w:rsidRDefault="00EA4E2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EA4E27" w:rsidRPr="00A00ADB" w:rsidRDefault="00EA4E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A4E27" w:rsidRDefault="00EA4E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EA4E27" w:rsidRPr="006779F7" w:rsidRDefault="00EE511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EA4E27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EA4E27" w:rsidRPr="006779F7" w:rsidRDefault="00EE511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A4E27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EA4E27" w:rsidRPr="006779F7" w:rsidRDefault="00EA4E2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EA4E27" w:rsidRPr="00020CD4" w:rsidRDefault="00EA4E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A4E27" w:rsidRPr="00020CD4" w:rsidRDefault="00EA4E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EA4E27" w:rsidRDefault="00EA4E27" w:rsidP="00AB6D25">
                      <w:pPr>
                        <w:rPr>
                          <w:b/>
                        </w:rPr>
                      </w:pPr>
                    </w:p>
                    <w:p w:rsidR="00EA4E27" w:rsidRPr="00A00ADB" w:rsidRDefault="00EA4E27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EA4E27" w:rsidRPr="00D70981" w:rsidRDefault="00EA4E27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EA4E27" w:rsidRPr="008F0926" w:rsidRDefault="00EA4E27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EA4E27" w:rsidRPr="008F0926" w:rsidRDefault="00EA4E27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9E408F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="009E408F" w:rsidRPr="008F0926">
                        <w:rPr>
                          <w:color w:val="001D77"/>
                          <w:sz w:val="18"/>
                          <w:szCs w:val="18"/>
                        </w:rPr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EA4E27" w:rsidRPr="008F0926" w:rsidRDefault="00EA4E27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8F0926"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8F0926" w:rsidRPr="00A00ADB" w:rsidRDefault="008F0926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A4E27" w:rsidRPr="00A00ADB" w:rsidRDefault="00EA4E2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EA4E27" w:rsidRPr="006779F7" w:rsidRDefault="00EA4E2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EA4E27" w:rsidRPr="006779F7" w:rsidRDefault="00EA4E2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EA4E27" w:rsidRPr="00A00ADB" w:rsidRDefault="00EA4E2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A4E27" w:rsidRDefault="00EA4E2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EA4E27" w:rsidRPr="006779F7" w:rsidRDefault="00EA4E2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EA4E27" w:rsidRPr="006779F7" w:rsidRDefault="00EA4E2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EA4E27" w:rsidRPr="006779F7" w:rsidRDefault="00EA4E2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EA4E27" w:rsidRPr="00020CD4" w:rsidRDefault="00EA4E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A4E27" w:rsidRPr="00020CD4" w:rsidRDefault="00EA4E2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11" w:rsidRDefault="00EE5111" w:rsidP="000662E2">
      <w:pPr>
        <w:spacing w:after="0" w:line="240" w:lineRule="auto"/>
      </w:pPr>
      <w:r>
        <w:separator/>
      </w:r>
    </w:p>
  </w:endnote>
  <w:endnote w:type="continuationSeparator" w:id="0">
    <w:p w:rsidR="00EE5111" w:rsidRDefault="00EE51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EA4E27" w:rsidRDefault="00EA4E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66">
          <w:rPr>
            <w:noProof/>
          </w:rPr>
          <w:t>6</w:t>
        </w:r>
        <w:r>
          <w:fldChar w:fldCharType="end"/>
        </w:r>
      </w:p>
    </w:sdtContent>
  </w:sdt>
  <w:p w:rsidR="00EA4E27" w:rsidRDefault="00EA4E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EA4E27" w:rsidRDefault="00EA4E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66">
          <w:rPr>
            <w:noProof/>
          </w:rPr>
          <w:t>1</w:t>
        </w:r>
        <w:r>
          <w:fldChar w:fldCharType="end"/>
        </w:r>
      </w:p>
    </w:sdtContent>
  </w:sdt>
  <w:p w:rsidR="00EA4E27" w:rsidRDefault="00EA4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11" w:rsidRDefault="00EE5111" w:rsidP="000662E2">
      <w:pPr>
        <w:spacing w:after="0" w:line="240" w:lineRule="auto"/>
      </w:pPr>
      <w:r>
        <w:separator/>
      </w:r>
    </w:p>
  </w:footnote>
  <w:footnote w:type="continuationSeparator" w:id="0">
    <w:p w:rsidR="00EE5111" w:rsidRDefault="00EE5111" w:rsidP="000662E2">
      <w:pPr>
        <w:spacing w:after="0" w:line="240" w:lineRule="auto"/>
      </w:pPr>
      <w:r>
        <w:continuationSeparator/>
      </w:r>
    </w:p>
  </w:footnote>
  <w:footnote w:id="1">
    <w:p w:rsidR="00EA4E27" w:rsidRPr="006779F7" w:rsidRDefault="00EA4E27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EA4E27" w:rsidRPr="004926AC" w:rsidRDefault="00EA4E27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EA4E27" w:rsidRPr="006779F7" w:rsidRDefault="00EA4E27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EA4E27" w:rsidRPr="001521EB" w:rsidRDefault="00EA4E27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27" w:rsidRDefault="00EA4E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EA4E27" w:rsidRDefault="00EA4E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27" w:rsidRDefault="00EA4E2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A4E27" w:rsidRPr="003C6C8D" w:rsidRDefault="00EA4E2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A4E27" w:rsidRPr="003C6C8D" w:rsidRDefault="00EA4E2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E27" w:rsidRDefault="00EA4E2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E27" w:rsidRPr="00C97596" w:rsidRDefault="00EA4E2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A4E27" w:rsidRPr="00C97596" w:rsidRDefault="00EA4E2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27" w:rsidRDefault="00EA4E27">
    <w:pPr>
      <w:pStyle w:val="Nagwek"/>
    </w:pPr>
  </w:p>
  <w:p w:rsidR="00EA4E27" w:rsidRDefault="00EA4E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7DDE"/>
    <w:rsid w:val="000A1EEF"/>
    <w:rsid w:val="000A52DD"/>
    <w:rsid w:val="000B0727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3C8"/>
    <w:rsid w:val="00110D87"/>
    <w:rsid w:val="001146CE"/>
    <w:rsid w:val="00114DB9"/>
    <w:rsid w:val="00116087"/>
    <w:rsid w:val="001169C2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085"/>
    <w:rsid w:val="001876B3"/>
    <w:rsid w:val="001951DA"/>
    <w:rsid w:val="001B232A"/>
    <w:rsid w:val="001C21E8"/>
    <w:rsid w:val="001C2C90"/>
    <w:rsid w:val="001C3269"/>
    <w:rsid w:val="001C3CA0"/>
    <w:rsid w:val="001D111C"/>
    <w:rsid w:val="001D1DB4"/>
    <w:rsid w:val="001D2F4A"/>
    <w:rsid w:val="001D3D88"/>
    <w:rsid w:val="001D3EB6"/>
    <w:rsid w:val="001D5B90"/>
    <w:rsid w:val="001D5C53"/>
    <w:rsid w:val="00206276"/>
    <w:rsid w:val="00206A18"/>
    <w:rsid w:val="0021324D"/>
    <w:rsid w:val="0021507D"/>
    <w:rsid w:val="002166E6"/>
    <w:rsid w:val="002313C5"/>
    <w:rsid w:val="00233D8A"/>
    <w:rsid w:val="002359A9"/>
    <w:rsid w:val="00235ACD"/>
    <w:rsid w:val="00237411"/>
    <w:rsid w:val="00240783"/>
    <w:rsid w:val="00246534"/>
    <w:rsid w:val="00253655"/>
    <w:rsid w:val="002574F9"/>
    <w:rsid w:val="00257543"/>
    <w:rsid w:val="0027314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4C66"/>
    <w:rsid w:val="002C7389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6F6A"/>
    <w:rsid w:val="003A7475"/>
    <w:rsid w:val="003B1303"/>
    <w:rsid w:val="003B1454"/>
    <w:rsid w:val="003B2C69"/>
    <w:rsid w:val="003C491B"/>
    <w:rsid w:val="003C59E0"/>
    <w:rsid w:val="003C6B82"/>
    <w:rsid w:val="003C6C8D"/>
    <w:rsid w:val="003D23E6"/>
    <w:rsid w:val="003D38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590E"/>
    <w:rsid w:val="00455BDD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A71D1"/>
    <w:rsid w:val="004B2FBB"/>
    <w:rsid w:val="004B3135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2FFE"/>
    <w:rsid w:val="004E4AD7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4E23"/>
    <w:rsid w:val="005162D8"/>
    <w:rsid w:val="005203F1"/>
    <w:rsid w:val="00521BC3"/>
    <w:rsid w:val="00533632"/>
    <w:rsid w:val="005344A0"/>
    <w:rsid w:val="005354A1"/>
    <w:rsid w:val="00535E77"/>
    <w:rsid w:val="005366ED"/>
    <w:rsid w:val="00542062"/>
    <w:rsid w:val="0054251F"/>
    <w:rsid w:val="00542D43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3666"/>
    <w:rsid w:val="00603F82"/>
    <w:rsid w:val="006044FF"/>
    <w:rsid w:val="006058C1"/>
    <w:rsid w:val="00607CC5"/>
    <w:rsid w:val="0061112C"/>
    <w:rsid w:val="00614ABB"/>
    <w:rsid w:val="0062279C"/>
    <w:rsid w:val="00633014"/>
    <w:rsid w:val="0063437B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73CA"/>
    <w:rsid w:val="0067188D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AF0"/>
    <w:rsid w:val="006A0CA8"/>
    <w:rsid w:val="006A215D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6555"/>
    <w:rsid w:val="006E784E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19A8"/>
    <w:rsid w:val="007324AA"/>
    <w:rsid w:val="007354FD"/>
    <w:rsid w:val="00743D83"/>
    <w:rsid w:val="00744F3A"/>
    <w:rsid w:val="00746187"/>
    <w:rsid w:val="007476ED"/>
    <w:rsid w:val="0076254F"/>
    <w:rsid w:val="007706C7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745C"/>
    <w:rsid w:val="007F324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649C0"/>
    <w:rsid w:val="00864AF5"/>
    <w:rsid w:val="008720A0"/>
    <w:rsid w:val="00874BAB"/>
    <w:rsid w:val="00881A4D"/>
    <w:rsid w:val="0088258A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38D0"/>
    <w:rsid w:val="008A5AF9"/>
    <w:rsid w:val="008A697A"/>
    <w:rsid w:val="008B4B4D"/>
    <w:rsid w:val="008C0BEF"/>
    <w:rsid w:val="008C0C29"/>
    <w:rsid w:val="008C317D"/>
    <w:rsid w:val="008C3310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042"/>
    <w:rsid w:val="00987449"/>
    <w:rsid w:val="00987A98"/>
    <w:rsid w:val="00991BAC"/>
    <w:rsid w:val="00992926"/>
    <w:rsid w:val="00992930"/>
    <w:rsid w:val="0099454C"/>
    <w:rsid w:val="009949D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3FDF"/>
    <w:rsid w:val="009D6D75"/>
    <w:rsid w:val="009E2E91"/>
    <w:rsid w:val="009E31C1"/>
    <w:rsid w:val="009E397A"/>
    <w:rsid w:val="009E408F"/>
    <w:rsid w:val="009F21D8"/>
    <w:rsid w:val="009F50B3"/>
    <w:rsid w:val="009F59A3"/>
    <w:rsid w:val="00A00ADB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2A97"/>
    <w:rsid w:val="00A53132"/>
    <w:rsid w:val="00A5504C"/>
    <w:rsid w:val="00A563F2"/>
    <w:rsid w:val="00A5657A"/>
    <w:rsid w:val="00A566E8"/>
    <w:rsid w:val="00A62DF9"/>
    <w:rsid w:val="00A66EF2"/>
    <w:rsid w:val="00A76A6E"/>
    <w:rsid w:val="00A77F02"/>
    <w:rsid w:val="00A810F9"/>
    <w:rsid w:val="00A81F44"/>
    <w:rsid w:val="00A83658"/>
    <w:rsid w:val="00A844E6"/>
    <w:rsid w:val="00A86ECC"/>
    <w:rsid w:val="00A86EFC"/>
    <w:rsid w:val="00A86FCC"/>
    <w:rsid w:val="00A87270"/>
    <w:rsid w:val="00A876AE"/>
    <w:rsid w:val="00A913B8"/>
    <w:rsid w:val="00AA020F"/>
    <w:rsid w:val="00AA710D"/>
    <w:rsid w:val="00AB6D25"/>
    <w:rsid w:val="00AC7857"/>
    <w:rsid w:val="00AC7C36"/>
    <w:rsid w:val="00AD002E"/>
    <w:rsid w:val="00AD0F47"/>
    <w:rsid w:val="00AD34B4"/>
    <w:rsid w:val="00AE2D4B"/>
    <w:rsid w:val="00AE4B6E"/>
    <w:rsid w:val="00AE4F99"/>
    <w:rsid w:val="00AE636C"/>
    <w:rsid w:val="00AF1C38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2C4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37B6"/>
    <w:rsid w:val="00BF713B"/>
    <w:rsid w:val="00C02127"/>
    <w:rsid w:val="00C02C9F"/>
    <w:rsid w:val="00C030DE"/>
    <w:rsid w:val="00C0341F"/>
    <w:rsid w:val="00C05B49"/>
    <w:rsid w:val="00C132A6"/>
    <w:rsid w:val="00C22105"/>
    <w:rsid w:val="00C244B6"/>
    <w:rsid w:val="00C269C3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484D"/>
    <w:rsid w:val="00CA6B4C"/>
    <w:rsid w:val="00CB5036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F0D73"/>
    <w:rsid w:val="00CF2D58"/>
    <w:rsid w:val="00CF4099"/>
    <w:rsid w:val="00D00796"/>
    <w:rsid w:val="00D107E8"/>
    <w:rsid w:val="00D115A8"/>
    <w:rsid w:val="00D17ECA"/>
    <w:rsid w:val="00D261A2"/>
    <w:rsid w:val="00D34D98"/>
    <w:rsid w:val="00D37998"/>
    <w:rsid w:val="00D41FA3"/>
    <w:rsid w:val="00D4668B"/>
    <w:rsid w:val="00D53D5E"/>
    <w:rsid w:val="00D54D58"/>
    <w:rsid w:val="00D616D2"/>
    <w:rsid w:val="00D626BB"/>
    <w:rsid w:val="00D63B5F"/>
    <w:rsid w:val="00D67CD3"/>
    <w:rsid w:val="00D70981"/>
    <w:rsid w:val="00D70EF7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E0CED"/>
    <w:rsid w:val="00DE1B88"/>
    <w:rsid w:val="00DF0EAD"/>
    <w:rsid w:val="00DF4D6E"/>
    <w:rsid w:val="00DF5570"/>
    <w:rsid w:val="00DF6110"/>
    <w:rsid w:val="00E00327"/>
    <w:rsid w:val="00E01436"/>
    <w:rsid w:val="00E045BD"/>
    <w:rsid w:val="00E06C83"/>
    <w:rsid w:val="00E1152A"/>
    <w:rsid w:val="00E12DB3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AEC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2EBE"/>
    <w:rsid w:val="00E636B1"/>
    <w:rsid w:val="00E64E91"/>
    <w:rsid w:val="00E664C5"/>
    <w:rsid w:val="00E671A2"/>
    <w:rsid w:val="00E76D26"/>
    <w:rsid w:val="00E77410"/>
    <w:rsid w:val="00E818AD"/>
    <w:rsid w:val="00E91F67"/>
    <w:rsid w:val="00E93AC6"/>
    <w:rsid w:val="00EA4E27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D06AE"/>
    <w:rsid w:val="00ED0E44"/>
    <w:rsid w:val="00ED55C0"/>
    <w:rsid w:val="00ED682B"/>
    <w:rsid w:val="00EE41D5"/>
    <w:rsid w:val="00EE5111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355F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2AED"/>
    <w:rsid w:val="00FC43DA"/>
    <w:rsid w:val="00FC71CA"/>
    <w:rsid w:val="00FD2E48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00703408"/>
        <c:axId val="1500707216"/>
      </c:barChart>
      <c:catAx>
        <c:axId val="1500703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0707216"/>
        <c:crosses val="autoZero"/>
        <c:auto val="1"/>
        <c:lblAlgn val="ctr"/>
        <c:lblOffset val="100"/>
        <c:noMultiLvlLbl val="0"/>
      </c:catAx>
      <c:valAx>
        <c:axId val="1500707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50070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1.5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00708304"/>
        <c:axId val="1500703952"/>
      </c:barChart>
      <c:catAx>
        <c:axId val="1500708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0703952"/>
        <c:crosses val="autoZero"/>
        <c:auto val="1"/>
        <c:lblAlgn val="ctr"/>
        <c:lblOffset val="100"/>
        <c:noMultiLvlLbl val="0"/>
      </c:catAx>
      <c:valAx>
        <c:axId val="15007039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50070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F7E458-738A-41E7-BFD5-A850DDFD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6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styczeń-listopad 2019 roku</dc:title>
  <dc:subject>Obroty towarowe handlu zagranicznego ogółem i według krajów w okresie styczeń-listopad 2019 roku</dc:subject>
  <dc:creator>Główny Urząd Statystyczny</dc:creator>
  <cp:keywords>międzynarodowa wymiana towarowa; eksport; import; obroty towarowe handlu zagranicznego wg grup krajów</cp:keywords>
  <dc:description/>
  <cp:lastPrinted>2020-01-13T08:52:00Z</cp:lastPrinted>
  <dcterms:created xsi:type="dcterms:W3CDTF">2019-12-04T11:52:00Z</dcterms:created>
  <dcterms:modified xsi:type="dcterms:W3CDTF">2020-01-13T11:29:00Z</dcterms:modified>
  <cp:category>Ceny; 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