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59442239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68222CF" w14:textId="30431D35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197E2350" w14:textId="07D96ED5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72666DE5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0,1%&#10;Spadek produkcji sprzedanej przemysłu w porównaniu z czerw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7AD81299" w:rsidR="007E6C46" w:rsidRPr="00E3620C" w:rsidRDefault="004C282A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03C9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0,1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32AE2D82" w:rsidR="00E638CE" w:rsidRDefault="00B03C9C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375455D8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B03C9C">
                              <w:rPr>
                                <w:sz w:val="20"/>
                              </w:rPr>
                              <w:t>czerwcem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6" alt="0,1%&#10;Spadek produkcji sprzedanej przemysłu w porównaniu z czerwc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" fillcolor="#001d77" stroked="f">
                <v:stroke joinstyle="miter"/>
                <v:textbox>
                  <w:txbxContent>
                    <w:p w14:paraId="18C296AE" w14:textId="7AD81299" w:rsidR="007E6C46" w:rsidRPr="00E3620C" w:rsidRDefault="004C282A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B03C9C">
                        <w:rPr>
                          <w:rStyle w:val="WartowskanikaZnak"/>
                          <w:sz w:val="72"/>
                          <w:szCs w:val="72"/>
                        </w:rPr>
                        <w:t>0,1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32AE2D82" w:rsidR="00E638CE" w:rsidRDefault="00B03C9C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375455D8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B03C9C">
                        <w:rPr>
                          <w:sz w:val="20"/>
                        </w:rPr>
                        <w:t>czerwcem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4C282A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czerwcu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087BD12D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A61343">
        <w:rPr>
          <w:b/>
          <w:noProof/>
          <w:szCs w:val="19"/>
          <w:lang w:eastAsia="pl-PL"/>
        </w:rPr>
        <w:t xml:space="preserve"> </w:t>
      </w:r>
      <w:r w:rsidR="004C282A">
        <w:rPr>
          <w:b/>
          <w:noProof/>
          <w:szCs w:val="19"/>
          <w:lang w:eastAsia="pl-PL"/>
        </w:rPr>
        <w:t>czerwcu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o </w:t>
      </w:r>
      <w:r w:rsidR="004C282A">
        <w:rPr>
          <w:b/>
          <w:noProof/>
          <w:szCs w:val="19"/>
          <w:lang w:eastAsia="pl-PL"/>
        </w:rPr>
        <w:t>0,1</w:t>
      </w:r>
      <w:r>
        <w:rPr>
          <w:b/>
          <w:noProof/>
          <w:szCs w:val="19"/>
          <w:lang w:eastAsia="pl-PL"/>
        </w:rPr>
        <w:t xml:space="preserve">% </w:t>
      </w:r>
      <w:r w:rsidR="004C282A">
        <w:rPr>
          <w:b/>
          <w:noProof/>
          <w:szCs w:val="19"/>
          <w:lang w:eastAsia="pl-PL"/>
        </w:rPr>
        <w:t>ni</w:t>
      </w:r>
      <w:r w:rsidR="000D2901">
        <w:rPr>
          <w:b/>
          <w:noProof/>
          <w:szCs w:val="19"/>
          <w:lang w:eastAsia="pl-PL"/>
        </w:rPr>
        <w:t>ższa niż przed rokiem,</w:t>
      </w:r>
      <w:r w:rsidRPr="004C52E2">
        <w:rPr>
          <w:b/>
        </w:rPr>
        <w:t xml:space="preserve"> </w:t>
      </w:r>
      <w:r w:rsidR="000D2901">
        <w:rPr>
          <w:b/>
        </w:rPr>
        <w:t xml:space="preserve">a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4C282A">
        <w:rPr>
          <w:b/>
          <w:noProof/>
          <w:szCs w:val="19"/>
          <w:lang w:eastAsia="pl-PL"/>
        </w:rPr>
        <w:t>majem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AB67FF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4C282A">
        <w:rPr>
          <w:b/>
          <w:noProof/>
          <w:szCs w:val="19"/>
          <w:lang w:eastAsia="pl-PL"/>
        </w:rPr>
        <w:t>1,1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4C282A">
        <w:rPr>
          <w:b/>
          <w:noProof/>
          <w:szCs w:val="19"/>
          <w:lang w:eastAsia="pl-PL"/>
        </w:rPr>
        <w:t>czerwiec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</w:t>
      </w:r>
      <w:r w:rsidR="004C2D86">
        <w:rPr>
          <w:b/>
          <w:noProof/>
          <w:szCs w:val="19"/>
          <w:lang w:eastAsia="pl-PL"/>
        </w:rPr>
        <w:t>1,</w:t>
      </w:r>
      <w:r w:rsidR="004C282A">
        <w:rPr>
          <w:b/>
          <w:noProof/>
          <w:szCs w:val="19"/>
          <w:lang w:eastAsia="pl-PL"/>
        </w:rPr>
        <w:t>4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665B9D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4C282A">
        <w:rPr>
          <w:b/>
          <w:noProof/>
          <w:szCs w:val="19"/>
          <w:lang w:eastAsia="pl-PL"/>
        </w:rPr>
        <w:t>1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5EBDC36E" w14:textId="6609D7C7" w:rsidR="000D2901" w:rsidRDefault="000D2901" w:rsidP="00674419">
      <w:pPr>
        <w:spacing w:before="360"/>
        <w:rPr>
          <w:b/>
          <w:noProof/>
          <w:szCs w:val="19"/>
          <w:lang w:eastAsia="pl-PL"/>
        </w:rPr>
      </w:pPr>
    </w:p>
    <w:p w14:paraId="30FF4DFF" w14:textId="63F3CCFF" w:rsidR="007F16DD" w:rsidRPr="008F2960" w:rsidRDefault="009E6713" w:rsidP="00674419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84224" behindDoc="1" locked="0" layoutInCell="1" allowOverlap="1" wp14:anchorId="0A63A1D3" wp14:editId="5B8441E8">
                <wp:simplePos x="0" y="0"/>
                <wp:positionH relativeFrom="column">
                  <wp:posOffset>5257800</wp:posOffset>
                </wp:positionH>
                <wp:positionV relativeFrom="paragraph">
                  <wp:posOffset>220345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produkcja sprzedana przemysłu nieznacznie wzrosła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B98EC" w14:textId="6AA1CCFA" w:rsidR="009E6713" w:rsidRPr="00AF3465" w:rsidRDefault="009E6713" w:rsidP="009E6713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</w:t>
                            </w:r>
                            <w:r w:rsidRPr="00AF3465">
                              <w:t>produkcj</w:t>
                            </w:r>
                            <w:r>
                              <w:t>a</w:t>
                            </w:r>
                            <w:r w:rsidRPr="00AF3465">
                              <w:t xml:space="preserve"> sprzedan</w:t>
                            </w:r>
                            <w:r>
                              <w:t>a</w:t>
                            </w:r>
                            <w:r w:rsidRPr="00AF3465">
                              <w:t xml:space="preserve"> przemysłu </w:t>
                            </w:r>
                            <w:r>
                              <w:t xml:space="preserve">nieznacznie wzrosła </w:t>
                            </w:r>
                            <w:r w:rsidRPr="00AF3465">
                              <w:t xml:space="preserve">w skali roku </w:t>
                            </w:r>
                          </w:p>
                          <w:p w14:paraId="2B965DF8" w14:textId="77777777" w:rsidR="009E6713" w:rsidRPr="009C2230" w:rsidRDefault="009E6713" w:rsidP="009E67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3A1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produkcja sprzedana przemysłu nieznacznie wzrosła w skali roku " style="position:absolute;margin-left:414pt;margin-top:17.35pt;width:133.95pt;height:80.25pt;z-index:-25123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" filled="f" stroked="f">
                <v:textbox>
                  <w:txbxContent>
                    <w:p w14:paraId="282B98EC" w14:textId="6AA1CCFA" w:rsidR="009E6713" w:rsidRPr="00AF3465" w:rsidRDefault="009E6713" w:rsidP="009E6713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</w:t>
                      </w:r>
                      <w:r w:rsidRPr="00AF3465">
                        <w:t>produkcj</w:t>
                      </w:r>
                      <w:r>
                        <w:t>a</w:t>
                      </w:r>
                      <w:r w:rsidRPr="00AF3465">
                        <w:t xml:space="preserve"> sprzedan</w:t>
                      </w:r>
                      <w:r>
                        <w:t>a</w:t>
                      </w:r>
                      <w:r w:rsidRPr="00AF3465">
                        <w:t xml:space="preserve"> przemysłu </w:t>
                      </w:r>
                      <w:r>
                        <w:t xml:space="preserve">nieznacznie wzrosła </w:t>
                      </w:r>
                      <w:r w:rsidRPr="00AF3465">
                        <w:t xml:space="preserve">w skali roku </w:t>
                      </w:r>
                    </w:p>
                    <w:p w14:paraId="2B965DF8" w14:textId="77777777" w:rsidR="009E6713" w:rsidRPr="009C2230" w:rsidRDefault="009E6713" w:rsidP="009E6713"/>
                  </w:txbxContent>
                </v:textbox>
                <w10:wrap type="tight"/>
              </v:shape>
            </w:pict>
          </mc:Fallback>
        </mc:AlternateContent>
      </w:r>
    </w:p>
    <w:p w14:paraId="4D5FECDA" w14:textId="2D099708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184B4C">
        <w:rPr>
          <w:noProof/>
          <w:szCs w:val="19"/>
          <w:lang w:eastAsia="pl-PL"/>
        </w:rPr>
        <w:t xml:space="preserve"> </w:t>
      </w:r>
      <w:r w:rsidR="00B03C9C">
        <w:rPr>
          <w:noProof/>
          <w:szCs w:val="19"/>
          <w:lang w:eastAsia="pl-PL"/>
        </w:rPr>
        <w:t>czerwcu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B03C9C">
        <w:rPr>
          <w:noProof/>
          <w:szCs w:val="19"/>
          <w:lang w:eastAsia="pl-PL"/>
        </w:rPr>
        <w:t>0,1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</w:t>
      </w:r>
      <w:r w:rsidR="00E90193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E90193">
        <w:rPr>
          <w:noProof/>
          <w:szCs w:val="19"/>
          <w:lang w:eastAsia="pl-PL"/>
        </w:rPr>
        <w:t>0,</w:t>
      </w:r>
      <w:r w:rsidR="00B03C9C">
        <w:rPr>
          <w:noProof/>
          <w:szCs w:val="19"/>
          <w:lang w:eastAsia="pl-PL"/>
        </w:rPr>
        <w:t>5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B03C9C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C37004">
        <w:rPr>
          <w:noProof/>
          <w:szCs w:val="19"/>
          <w:lang w:eastAsia="pl-PL"/>
        </w:rPr>
        <w:t xml:space="preserve"> </w:t>
      </w:r>
      <w:r w:rsidR="00B03C9C">
        <w:rPr>
          <w:noProof/>
          <w:szCs w:val="19"/>
          <w:lang w:eastAsia="pl-PL"/>
        </w:rPr>
        <w:t>maju</w:t>
      </w:r>
      <w:r w:rsidR="00C37004">
        <w:rPr>
          <w:noProof/>
          <w:szCs w:val="19"/>
          <w:lang w:eastAsia="pl-PL"/>
        </w:rPr>
        <w:t xml:space="preserve"> br</w:t>
      </w:r>
      <w:r w:rsidR="00D65596" w:rsidRPr="00AF3465">
        <w:rPr>
          <w:noProof/>
          <w:szCs w:val="19"/>
          <w:lang w:eastAsia="pl-PL"/>
        </w:rPr>
        <w:t>.</w:t>
      </w:r>
    </w:p>
    <w:p w14:paraId="740E5064" w14:textId="46D674CA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642F0D6D" w14:textId="11145C5B" w:rsidR="003627E7" w:rsidRDefault="00B03C9C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81152" behindDoc="0" locked="0" layoutInCell="1" allowOverlap="1" wp14:anchorId="56AE5922" wp14:editId="3EF0D4ED">
            <wp:simplePos x="0" y="0"/>
            <wp:positionH relativeFrom="column">
              <wp:posOffset>-88265</wp:posOffset>
            </wp:positionH>
            <wp:positionV relativeFrom="paragraph">
              <wp:posOffset>184150</wp:posOffset>
            </wp:positionV>
            <wp:extent cx="5212715" cy="3023870"/>
            <wp:effectExtent l="0" t="0" r="6985" b="5080"/>
            <wp:wrapSquare wrapText="bothSides"/>
            <wp:docPr id="17" name="Obraz 17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7C230D99" w14:textId="3E37E7A5" w:rsidR="00C00EBE" w:rsidRPr="00CB4942" w:rsidRDefault="004E683E" w:rsidP="00C00EBE">
      <w:pPr>
        <w:rPr>
          <w:b/>
          <w:spacing w:val="-2"/>
          <w:szCs w:val="19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79104" behindDoc="1" locked="0" layoutInCell="1" allowOverlap="1" wp14:anchorId="11940AF8" wp14:editId="2B8EBEFE">
                <wp:simplePos x="0" y="0"/>
                <wp:positionH relativeFrom="page">
                  <wp:posOffset>5676900</wp:posOffset>
                </wp:positionH>
                <wp:positionV relativeFrom="paragraph">
                  <wp:posOffset>3166110</wp:posOffset>
                </wp:positionV>
                <wp:extent cx="1822450" cy="982980"/>
                <wp:effectExtent l="0" t="0" r="0" b="0"/>
                <wp:wrapTight wrapText="bothSides">
                  <wp:wrapPolygon edited="0">
                    <wp:start x="677" y="0"/>
                    <wp:lineTo x="677" y="20930"/>
                    <wp:lineTo x="20772" y="20930"/>
                    <wp:lineTo x="20772" y="0"/>
                    <wp:lineTo x="677" y="0"/>
                  </wp:wrapPolygon>
                </wp:wrapTight>
                <wp:docPr id="15" name="Pole tekstowe 15" descr="Największy spadek w skali roku odnotowano w produkcji dóbr związanych z energią, a  wzrosła m.in. produkcja dóbr inwestycyjnych    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DB0E" w14:textId="77777777" w:rsidR="008D7F38" w:rsidRPr="004B32DD" w:rsidRDefault="008D7F38" w:rsidP="008D7F3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 produkcji dóbr </w:t>
                            </w:r>
                            <w:r w:rsidRPr="00B03C9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związanych z energią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a  wzrosła m.in. produkcja dóbr inwestycyjnych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 </w:t>
                            </w:r>
                          </w:p>
                          <w:p w14:paraId="7A77533C" w14:textId="7A631E14" w:rsidR="004E683E" w:rsidRPr="004B32DD" w:rsidRDefault="004E683E" w:rsidP="004E683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0AF8" id="Pole tekstowe 15" o:spid="_x0000_s1028" type="#_x0000_t202" alt="Największy spadek w skali roku odnotowano w produkcji dóbr związanych z energią, a  wzrosła m.in. produkcja dóbr inwestycyjnych     " style="position:absolute;margin-left:447pt;margin-top:249.3pt;width:143.5pt;height:77.4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" filled="f" stroked="f">
                <v:textbox>
                  <w:txbxContent>
                    <w:p w14:paraId="4785DB0E" w14:textId="77777777" w:rsidR="008D7F38" w:rsidRPr="004B32DD" w:rsidRDefault="008D7F38" w:rsidP="008D7F3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 odnotowano w produkcji dóbr </w:t>
                      </w:r>
                      <w:r w:rsidRPr="00B03C9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związanych z energią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a  wzrosła m.in. produkcja dóbr inwestycyjnych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 </w:t>
                      </w:r>
                    </w:p>
                    <w:p w14:paraId="7A77533C" w14:textId="7A631E14" w:rsidR="004E683E" w:rsidRPr="004B32DD" w:rsidRDefault="004E683E" w:rsidP="004E683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CDA236" w14:textId="206156ED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>Spośród głównych grupowań przemysłowych, w</w:t>
      </w:r>
      <w:r w:rsidR="00E90193">
        <w:rPr>
          <w:rFonts w:eastAsia="Calibri" w:cs="Times New Roman"/>
        </w:rPr>
        <w:t xml:space="preserve"> </w:t>
      </w:r>
      <w:r w:rsidR="00B03C9C">
        <w:rPr>
          <w:rFonts w:eastAsia="Calibri" w:cs="Times New Roman"/>
        </w:rPr>
        <w:t>czerwcu</w:t>
      </w:r>
      <w:r w:rsidRPr="00873517">
        <w:rPr>
          <w:rFonts w:eastAsia="Calibri" w:cs="Times New Roman"/>
        </w:rPr>
        <w:t xml:space="preserve"> br. odnotowano </w:t>
      </w:r>
      <w:r w:rsidR="00B03C9C">
        <w:rPr>
          <w:rFonts w:eastAsia="Calibri" w:cs="Times New Roman"/>
        </w:rPr>
        <w:t>spadek</w:t>
      </w:r>
      <w:r w:rsidRPr="00873517">
        <w:rPr>
          <w:rFonts w:eastAsia="Calibri" w:cs="Times New Roman"/>
        </w:rPr>
        <w:t xml:space="preserve"> w skali roku w produkcji </w:t>
      </w:r>
      <w:r w:rsidR="00B03C9C" w:rsidRPr="00873517">
        <w:rPr>
          <w:rFonts w:eastAsia="Calibri" w:cs="Times New Roman"/>
        </w:rPr>
        <w:t xml:space="preserve">dóbr </w:t>
      </w:r>
      <w:bookmarkStart w:id="1" w:name="_Hlk203461869"/>
      <w:r w:rsidR="00B03C9C" w:rsidRPr="00873517">
        <w:rPr>
          <w:rFonts w:eastAsia="Calibri" w:cs="Times New Roman"/>
        </w:rPr>
        <w:t xml:space="preserve">związanych z energią </w:t>
      </w:r>
      <w:bookmarkEnd w:id="1"/>
      <w:r w:rsidR="00B03C9C" w:rsidRPr="00873517">
        <w:rPr>
          <w:rFonts w:eastAsia="Calibri" w:cs="Times New Roman"/>
        </w:rPr>
        <w:t>– o </w:t>
      </w:r>
      <w:r w:rsidR="00B03C9C">
        <w:rPr>
          <w:rFonts w:eastAsia="Calibri" w:cs="Times New Roman"/>
        </w:rPr>
        <w:t>7,7</w:t>
      </w:r>
      <w:r w:rsidR="00B03C9C" w:rsidRPr="00873517">
        <w:rPr>
          <w:rFonts w:eastAsia="Calibri" w:cs="Times New Roman"/>
        </w:rPr>
        <w:t>%</w:t>
      </w:r>
      <w:r w:rsidR="00B03C9C">
        <w:rPr>
          <w:rFonts w:eastAsia="Calibri" w:cs="Times New Roman"/>
        </w:rPr>
        <w:t xml:space="preserve">, </w:t>
      </w:r>
      <w:r w:rsidR="00B03C9C" w:rsidRPr="00873517">
        <w:rPr>
          <w:rFonts w:eastAsia="Calibri" w:cs="Times New Roman"/>
        </w:rPr>
        <w:t>dóbr konsumpcyjnych trwałych – o </w:t>
      </w:r>
      <w:r w:rsidR="00B03C9C">
        <w:rPr>
          <w:rFonts w:eastAsia="Calibri" w:cs="Times New Roman"/>
        </w:rPr>
        <w:t>2,4</w:t>
      </w:r>
      <w:r w:rsidR="00B03C9C" w:rsidRPr="00873517">
        <w:rPr>
          <w:rFonts w:eastAsia="Calibri" w:cs="Times New Roman"/>
        </w:rPr>
        <w:t>%</w:t>
      </w:r>
      <w:r w:rsidR="00B03C9C">
        <w:rPr>
          <w:rFonts w:eastAsia="Calibri" w:cs="Times New Roman"/>
        </w:rPr>
        <w:t xml:space="preserve"> oraz </w:t>
      </w:r>
      <w:r w:rsidR="00B03C9C" w:rsidRPr="00873517">
        <w:rPr>
          <w:rFonts w:eastAsia="Calibri" w:cs="Times New Roman"/>
        </w:rPr>
        <w:t xml:space="preserve">dóbr zaopatrzeniowych – o </w:t>
      </w:r>
      <w:r w:rsidR="00B03C9C">
        <w:rPr>
          <w:rFonts w:eastAsia="Calibri" w:cs="Times New Roman"/>
        </w:rPr>
        <w:t>1,8</w:t>
      </w:r>
      <w:r w:rsidR="00B03C9C" w:rsidRPr="00873517">
        <w:rPr>
          <w:rFonts w:eastAsia="Calibri" w:cs="Times New Roman"/>
        </w:rPr>
        <w:t>%</w:t>
      </w:r>
      <w:r w:rsidR="00B03C9C">
        <w:rPr>
          <w:rFonts w:eastAsia="Calibri" w:cs="Times New Roman"/>
        </w:rPr>
        <w:t>.</w:t>
      </w:r>
      <w:r w:rsidR="00B03C9C" w:rsidRPr="00B03C9C">
        <w:rPr>
          <w:rFonts w:eastAsia="Calibri" w:cs="Times New Roman"/>
        </w:rPr>
        <w:t xml:space="preserve"> </w:t>
      </w:r>
      <w:r w:rsidR="00B03C9C">
        <w:rPr>
          <w:rFonts w:eastAsia="Calibri" w:cs="Times New Roman"/>
        </w:rPr>
        <w:t>Zwiększyła</w:t>
      </w:r>
      <w:r w:rsidR="00B03C9C" w:rsidRPr="00873517">
        <w:rPr>
          <w:rFonts w:eastAsia="Calibri" w:cs="Times New Roman"/>
        </w:rPr>
        <w:t xml:space="preserve"> się natomiast produkcja</w:t>
      </w:r>
      <w:r w:rsidR="00B03C9C">
        <w:rPr>
          <w:rFonts w:eastAsia="Calibri" w:cs="Times New Roman"/>
        </w:rPr>
        <w:t xml:space="preserve"> </w:t>
      </w:r>
      <w:r w:rsidRPr="00873517">
        <w:rPr>
          <w:rFonts w:eastAsia="Calibri" w:cs="Times New Roman"/>
        </w:rPr>
        <w:t>dóbr inwestycyjnych – o </w:t>
      </w:r>
      <w:r w:rsidR="00B03C9C">
        <w:rPr>
          <w:rFonts w:eastAsia="Calibri" w:cs="Times New Roman"/>
        </w:rPr>
        <w:t>5,0</w:t>
      </w:r>
      <w:r w:rsidRPr="00873517">
        <w:rPr>
          <w:rFonts w:eastAsia="Calibri" w:cs="Times New Roman"/>
        </w:rPr>
        <w:t>%</w:t>
      </w:r>
      <w:r w:rsidR="00B03C9C">
        <w:rPr>
          <w:rFonts w:eastAsia="Calibri" w:cs="Times New Roman"/>
        </w:rPr>
        <w:t xml:space="preserve"> oraz nieznacznie</w:t>
      </w:r>
      <w:r w:rsidR="00E90193">
        <w:rPr>
          <w:rFonts w:eastAsia="Calibri" w:cs="Times New Roman"/>
        </w:rPr>
        <w:t xml:space="preserve"> </w:t>
      </w:r>
      <w:r w:rsidRPr="00873517">
        <w:rPr>
          <w:rFonts w:eastAsia="Calibri" w:cs="Times New Roman"/>
        </w:rPr>
        <w:t>dóbr konsumpcyjnych nietrwałych – o </w:t>
      </w:r>
      <w:r w:rsidR="00B03C9C">
        <w:rPr>
          <w:rFonts w:eastAsia="Calibri" w:cs="Times New Roman"/>
        </w:rPr>
        <w:t>0,1</w:t>
      </w:r>
      <w:r w:rsidRPr="00873517">
        <w:rPr>
          <w:rFonts w:eastAsia="Calibri" w:cs="Times New Roman"/>
        </w:rPr>
        <w:t>%</w:t>
      </w:r>
      <w:r w:rsidR="00B03C9C">
        <w:rPr>
          <w:rFonts w:eastAsia="Calibri" w:cs="Times New Roman"/>
        </w:rPr>
        <w:t>.</w:t>
      </w:r>
    </w:p>
    <w:p w14:paraId="56D4E6BB" w14:textId="77777777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40A46A1A" w14:textId="77777777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7E873CEF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539A6B2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FBCB688" w14:textId="77777777" w:rsidR="00674419" w:rsidRPr="00CB4942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5B35E43" w14:textId="77777777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60C2BC25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83902" w:rsidRPr="00583902" w14:paraId="57DCFCF3" w14:textId="77777777" w:rsidTr="00AD5651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367442A4" w14:textId="77777777" w:rsidR="00583902" w:rsidRPr="00583902" w:rsidRDefault="00583902" w:rsidP="0058390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D59DB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2025</w:t>
            </w:r>
          </w:p>
        </w:tc>
      </w:tr>
      <w:tr w:rsidR="00583902" w:rsidRPr="00583902" w14:paraId="7373DE6C" w14:textId="77777777" w:rsidTr="00AD5651">
        <w:trPr>
          <w:trHeight w:val="474"/>
        </w:trPr>
        <w:tc>
          <w:tcPr>
            <w:tcW w:w="2324" w:type="dxa"/>
            <w:vMerge/>
            <w:vAlign w:val="center"/>
          </w:tcPr>
          <w:p w14:paraId="53E0E0AD" w14:textId="77777777" w:rsidR="00583902" w:rsidRPr="00583902" w:rsidRDefault="00583902" w:rsidP="0058390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1823FD" w14:textId="6664A3E8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298444" w14:textId="5CBC65F5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C3F925" w14:textId="195E2965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39F57B" w14:textId="1B6C5AB4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0C8B3EE3" w14:textId="08791E44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01-0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F83DB7" w14:textId="4A2DD2E5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64789C" w14:textId="3BA4E4EF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583902" w:rsidRPr="00583902" w14:paraId="2107EA9C" w14:textId="77777777" w:rsidTr="00AD565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28C8B3" w14:textId="77777777" w:rsidR="00583902" w:rsidRPr="00583902" w:rsidRDefault="00583902" w:rsidP="0058390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A8516C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6486045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61A20E35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583902" w:rsidRPr="00583902" w14:paraId="2D43AC88" w14:textId="77777777" w:rsidTr="00AD565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7C036F7" w14:textId="77777777" w:rsidR="00583902" w:rsidRPr="00583902" w:rsidRDefault="00583902" w:rsidP="0058390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0988D5" w14:textId="0C6E2EE2" w:rsidR="00583902" w:rsidRPr="00583902" w:rsidRDefault="005073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CD32AD1" w14:textId="56AFC0C3" w:rsidR="00583902" w:rsidRPr="00583902" w:rsidRDefault="005073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C1E9327" w14:textId="385FD652" w:rsidR="00583902" w:rsidRPr="00583902" w:rsidRDefault="005073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00297E" w14:textId="427E1971" w:rsidR="00583902" w:rsidRPr="00583902" w:rsidRDefault="005073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D449705" w14:textId="3E3DAD25" w:rsidR="00583902" w:rsidRPr="00583902" w:rsidRDefault="005073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B628942" w14:textId="50A972F6" w:rsidR="00583902" w:rsidRPr="00583902" w:rsidRDefault="00B03C9C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0E389F4B" w14:textId="7E92656A" w:rsidR="00583902" w:rsidRPr="00583902" w:rsidRDefault="00B03C9C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109,0</w:t>
            </w:r>
          </w:p>
        </w:tc>
      </w:tr>
      <w:tr w:rsidR="00583902" w:rsidRPr="00583902" w14:paraId="01CB5D6D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183E9E4C" w14:textId="77777777" w:rsidR="00583902" w:rsidRPr="00583902" w:rsidRDefault="00583902" w:rsidP="0058390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354B88A0" w14:textId="3DF6DEE8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100,6*</w:t>
            </w:r>
          </w:p>
        </w:tc>
        <w:tc>
          <w:tcPr>
            <w:tcW w:w="794" w:type="dxa"/>
          </w:tcPr>
          <w:p w14:paraId="2DC532C0" w14:textId="52C35125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</w:t>
            </w:r>
          </w:p>
        </w:tc>
        <w:tc>
          <w:tcPr>
            <w:tcW w:w="794" w:type="dxa"/>
          </w:tcPr>
          <w:p w14:paraId="0138B450" w14:textId="6F459AE8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97,9*</w:t>
            </w:r>
          </w:p>
        </w:tc>
        <w:tc>
          <w:tcPr>
            <w:tcW w:w="794" w:type="dxa"/>
          </w:tcPr>
          <w:p w14:paraId="776A1C41" w14:textId="69DDFE53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91,5</w:t>
            </w:r>
          </w:p>
        </w:tc>
        <w:tc>
          <w:tcPr>
            <w:tcW w:w="794" w:type="dxa"/>
          </w:tcPr>
          <w:p w14:paraId="3CCAD67C" w14:textId="1F19EEFE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93,4</w:t>
            </w:r>
          </w:p>
        </w:tc>
        <w:tc>
          <w:tcPr>
            <w:tcW w:w="794" w:type="dxa"/>
            <w:vAlign w:val="center"/>
          </w:tcPr>
          <w:p w14:paraId="4C933594" w14:textId="7958AD45" w:rsidR="00583902" w:rsidRPr="00583902" w:rsidRDefault="00B03C9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98,8*</w:t>
            </w:r>
          </w:p>
        </w:tc>
        <w:tc>
          <w:tcPr>
            <w:tcW w:w="794" w:type="dxa"/>
            <w:vAlign w:val="center"/>
          </w:tcPr>
          <w:p w14:paraId="467B4323" w14:textId="3E1736B1" w:rsidR="00583902" w:rsidRPr="00583902" w:rsidRDefault="00B03C9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</w:tr>
      <w:tr w:rsidR="00583902" w:rsidRPr="00583902" w14:paraId="20654162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71CBCB8D" w14:textId="77777777" w:rsidR="00583902" w:rsidRPr="00583902" w:rsidRDefault="00583902" w:rsidP="0058390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4CDFD4" w14:textId="7EDEC2BA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98,3*</w:t>
            </w:r>
          </w:p>
        </w:tc>
        <w:tc>
          <w:tcPr>
            <w:tcW w:w="794" w:type="dxa"/>
          </w:tcPr>
          <w:p w14:paraId="4A339F4F" w14:textId="61CEE674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794" w:type="dxa"/>
          </w:tcPr>
          <w:p w14:paraId="397364A1" w14:textId="1A4DD6D4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104,3*</w:t>
            </w:r>
          </w:p>
        </w:tc>
        <w:tc>
          <w:tcPr>
            <w:tcW w:w="794" w:type="dxa"/>
          </w:tcPr>
          <w:p w14:paraId="1AE8408B" w14:textId="01A799A9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</w:t>
            </w:r>
          </w:p>
        </w:tc>
        <w:tc>
          <w:tcPr>
            <w:tcW w:w="794" w:type="dxa"/>
          </w:tcPr>
          <w:p w14:paraId="5B00D5FB" w14:textId="3C028FCE" w:rsidR="00583902" w:rsidRPr="00583902" w:rsidRDefault="005073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794" w:type="dxa"/>
            <w:vAlign w:val="center"/>
          </w:tcPr>
          <w:p w14:paraId="4A1DF4F2" w14:textId="0130C641" w:rsidR="00583902" w:rsidRPr="00583902" w:rsidRDefault="00B03C9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112,1*</w:t>
            </w:r>
          </w:p>
        </w:tc>
        <w:tc>
          <w:tcPr>
            <w:tcW w:w="794" w:type="dxa"/>
            <w:vAlign w:val="center"/>
          </w:tcPr>
          <w:p w14:paraId="7A4ABDEE" w14:textId="0A26972B" w:rsidR="00583902" w:rsidRPr="00583902" w:rsidRDefault="00B03C9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111,8</w:t>
            </w:r>
          </w:p>
        </w:tc>
      </w:tr>
      <w:tr w:rsidR="00583902" w:rsidRPr="00583902" w14:paraId="17C11295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678A120F" w14:textId="77777777" w:rsidR="00583902" w:rsidRPr="00583902" w:rsidRDefault="00583902" w:rsidP="0058390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583E29B2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2CA656" w14:textId="6C9C5411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91,0*</w:t>
            </w:r>
          </w:p>
        </w:tc>
        <w:tc>
          <w:tcPr>
            <w:tcW w:w="794" w:type="dxa"/>
          </w:tcPr>
          <w:p w14:paraId="613CA914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505396" w14:textId="4979D066" w:rsidR="00583902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91,3</w:t>
            </w:r>
          </w:p>
        </w:tc>
        <w:tc>
          <w:tcPr>
            <w:tcW w:w="794" w:type="dxa"/>
          </w:tcPr>
          <w:p w14:paraId="5B327CF4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356F45" w14:textId="3FD84975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101,6*</w:t>
            </w:r>
          </w:p>
        </w:tc>
        <w:tc>
          <w:tcPr>
            <w:tcW w:w="794" w:type="dxa"/>
          </w:tcPr>
          <w:p w14:paraId="1100016A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F1207B" w14:textId="2A4415AB" w:rsidR="00583902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93,2</w:t>
            </w:r>
          </w:p>
        </w:tc>
        <w:tc>
          <w:tcPr>
            <w:tcW w:w="794" w:type="dxa"/>
          </w:tcPr>
          <w:p w14:paraId="2BB12938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53C083" w14:textId="3531F87A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  <w:vAlign w:val="center"/>
          </w:tcPr>
          <w:p w14:paraId="2A0D4E63" w14:textId="5037A3A7" w:rsidR="00583902" w:rsidRPr="00583902" w:rsidRDefault="00B03C9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88,3*</w:t>
            </w:r>
          </w:p>
        </w:tc>
        <w:tc>
          <w:tcPr>
            <w:tcW w:w="794" w:type="dxa"/>
            <w:vAlign w:val="center"/>
          </w:tcPr>
          <w:p w14:paraId="5B84FBE9" w14:textId="5F745E01" w:rsidR="00583902" w:rsidRPr="00583902" w:rsidRDefault="00B03C9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77,3</w:t>
            </w:r>
          </w:p>
        </w:tc>
      </w:tr>
      <w:tr w:rsidR="00583902" w:rsidRPr="00583902" w14:paraId="0F1421AB" w14:textId="77777777" w:rsidTr="00AD5651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4F2980C" w14:textId="77777777" w:rsidR="00583902" w:rsidRPr="00583902" w:rsidRDefault="00583902" w:rsidP="0058390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1A1798C0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14E12B" w14:textId="21AF0D77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794" w:type="dxa"/>
            <w:tcBorders>
              <w:bottom w:val="nil"/>
            </w:tcBorders>
          </w:tcPr>
          <w:p w14:paraId="0262E400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DAE4F9" w14:textId="114CB371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</w:t>
            </w:r>
          </w:p>
        </w:tc>
        <w:tc>
          <w:tcPr>
            <w:tcW w:w="794" w:type="dxa"/>
            <w:tcBorders>
              <w:bottom w:val="nil"/>
            </w:tcBorders>
          </w:tcPr>
          <w:p w14:paraId="3C3AFA17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50BDAB" w14:textId="3F070FB2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103,7*</w:t>
            </w:r>
          </w:p>
        </w:tc>
        <w:tc>
          <w:tcPr>
            <w:tcW w:w="794" w:type="dxa"/>
            <w:tcBorders>
              <w:bottom w:val="nil"/>
            </w:tcBorders>
          </w:tcPr>
          <w:p w14:paraId="4A90494E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88B5185" w14:textId="2C62F6CF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794" w:type="dxa"/>
            <w:tcBorders>
              <w:bottom w:val="nil"/>
            </w:tcBorders>
          </w:tcPr>
          <w:p w14:paraId="43E4B286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09F0AF0" w14:textId="4C4F3A5B" w:rsidR="0050735E" w:rsidRPr="00583902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073810A" w14:textId="67770A5D" w:rsidR="00583902" w:rsidRPr="00583902" w:rsidRDefault="00B03C9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117,4*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A2A2D2F" w14:textId="49AFFE36" w:rsidR="00583902" w:rsidRPr="00583902" w:rsidRDefault="00B03C9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117,9</w:t>
            </w:r>
          </w:p>
        </w:tc>
      </w:tr>
    </w:tbl>
    <w:p w14:paraId="5294E4BC" w14:textId="238E9FBC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BD5A39">
        <w:rPr>
          <w:sz w:val="16"/>
          <w:szCs w:val="16"/>
          <w:shd w:val="clear" w:color="auto" w:fill="FFFFFF"/>
        </w:rPr>
        <w:t>maju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BD5A39">
        <w:rPr>
          <w:sz w:val="16"/>
          <w:szCs w:val="16"/>
          <w:shd w:val="clear" w:color="auto" w:fill="FFFFFF"/>
        </w:rPr>
        <w:t>czerwcu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027C4031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6E8E4898" w14:textId="4AD71544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49280CAC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177800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spadek w skali roku, wyniósł 51,2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1E41E2C7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sprzedanej działów, w których odnotowano </w:t>
                            </w:r>
                            <w:r w:rsidR="002A0C98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2A0C98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51,2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spadek w skali roku, wyniósł 51,2%" style="position:absolute;margin-left:9.15pt;margin-top:14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" filled="f" stroked="f">
                <v:textbox>
                  <w:txbxContent>
                    <w:p w14:paraId="638CD91F" w14:textId="1E41E2C7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sprzedanej działów, w których odnotowano </w:t>
                      </w:r>
                      <w:r w:rsidR="002A0C98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2A0C98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51,2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534A288D" w14:textId="4FB19FB6" w:rsidR="00BD5A39" w:rsidRDefault="00E11BA5" w:rsidP="00E4110F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>
        <w:rPr>
          <w:shd w:val="clear" w:color="auto" w:fill="FFFFFF"/>
        </w:rPr>
        <w:t xml:space="preserve"> w </w:t>
      </w:r>
      <w:r w:rsidR="00BD5A39">
        <w:rPr>
          <w:shd w:val="clear" w:color="auto" w:fill="FFFFFF"/>
        </w:rPr>
        <w:t xml:space="preserve">czerwcu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BD5A39">
        <w:rPr>
          <w:shd w:val="clear" w:color="auto" w:fill="FFFFFF"/>
        </w:rPr>
        <w:t>spadek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BD5A39">
        <w:rPr>
          <w:shd w:val="clear" w:color="auto" w:fill="FFFFFF"/>
        </w:rPr>
        <w:t>czerwca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BD5A39">
        <w:rPr>
          <w:shd w:val="clear" w:color="auto" w:fill="FFFFFF"/>
        </w:rPr>
        <w:t>18</w:t>
      </w:r>
      <w:r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bookmarkStart w:id="3" w:name="_Hlk198288129"/>
      <w:r w:rsidR="00BD5A39">
        <w:rPr>
          <w:shd w:val="clear" w:color="auto" w:fill="FFFFFF"/>
        </w:rPr>
        <w:t>w </w:t>
      </w:r>
      <w:r w:rsidR="00BD5A39" w:rsidRPr="00F13C00">
        <w:rPr>
          <w:shd w:val="clear" w:color="auto" w:fill="FFFFFF"/>
        </w:rPr>
        <w:t xml:space="preserve">produkcji </w:t>
      </w:r>
      <w:r w:rsidR="00BD5A39" w:rsidRPr="00625502">
        <w:rPr>
          <w:shd w:val="clear" w:color="auto" w:fill="FFFFFF"/>
        </w:rPr>
        <w:t>chemikaliów i</w:t>
      </w:r>
      <w:r w:rsidR="00BD5A39">
        <w:rPr>
          <w:shd w:val="clear" w:color="auto" w:fill="FFFFFF"/>
        </w:rPr>
        <w:t> </w:t>
      </w:r>
      <w:r w:rsidR="00BD5A39" w:rsidRPr="00625502">
        <w:rPr>
          <w:shd w:val="clear" w:color="auto" w:fill="FFFFFF"/>
        </w:rPr>
        <w:t>wyrobów chemicznych</w:t>
      </w:r>
      <w:r w:rsidR="00BD5A39">
        <w:rPr>
          <w:shd w:val="clear" w:color="auto" w:fill="FFFFFF"/>
        </w:rPr>
        <w:t xml:space="preserve"> – o 7,7%</w:t>
      </w:r>
      <w:bookmarkEnd w:id="3"/>
      <w:r w:rsidR="00BD5A39">
        <w:rPr>
          <w:shd w:val="clear" w:color="auto" w:fill="FFFFFF"/>
        </w:rPr>
        <w:t>,</w:t>
      </w:r>
      <w:r w:rsidR="00BD5A39" w:rsidRPr="00BD5A39">
        <w:rPr>
          <w:shd w:val="clear" w:color="auto" w:fill="FFFFFF"/>
        </w:rPr>
        <w:t xml:space="preserve"> </w:t>
      </w:r>
      <w:r w:rsidR="00BD5A39" w:rsidRPr="007E3F15">
        <w:rPr>
          <w:shd w:val="clear" w:color="auto" w:fill="FFFFFF"/>
        </w:rPr>
        <w:t>pozostałego sprzętu transportowego</w:t>
      </w:r>
      <w:r w:rsidR="00BD5A39">
        <w:rPr>
          <w:shd w:val="clear" w:color="auto" w:fill="FFFFFF"/>
        </w:rPr>
        <w:t xml:space="preserve"> – o 7,4%,</w:t>
      </w:r>
      <w:r w:rsidR="00BD5A39" w:rsidRPr="00BD5A39">
        <w:rPr>
          <w:shd w:val="clear" w:color="auto" w:fill="FFFFFF"/>
        </w:rPr>
        <w:t xml:space="preserve"> </w:t>
      </w:r>
      <w:r w:rsidR="00BD5A39">
        <w:rPr>
          <w:shd w:val="clear" w:color="auto" w:fill="FFFFFF"/>
        </w:rPr>
        <w:t>w wytwarzaniu i zaopatrywaniu w </w:t>
      </w:r>
      <w:r w:rsidR="00BD5A39" w:rsidRPr="00A6597F">
        <w:rPr>
          <w:shd w:val="clear" w:color="auto" w:fill="FFFFFF"/>
        </w:rPr>
        <w:t>energię elektryczną, gaz, parę wodną i</w:t>
      </w:r>
      <w:r w:rsidR="00BD5A39">
        <w:rPr>
          <w:shd w:val="clear" w:color="auto" w:fill="FFFFFF"/>
        </w:rPr>
        <w:t> </w:t>
      </w:r>
      <w:r w:rsidR="00BD5A39" w:rsidRPr="00A6597F">
        <w:rPr>
          <w:shd w:val="clear" w:color="auto" w:fill="FFFFFF"/>
        </w:rPr>
        <w:t>gorącą wodę</w:t>
      </w:r>
      <w:r w:rsidR="00BD5A39">
        <w:rPr>
          <w:shd w:val="clear" w:color="auto" w:fill="FFFFFF"/>
        </w:rPr>
        <w:t xml:space="preserve"> – o 6,8%,</w:t>
      </w:r>
      <w:r w:rsidR="00BD5A39" w:rsidRPr="00BD5A39">
        <w:rPr>
          <w:shd w:val="clear" w:color="auto" w:fill="FFFFFF"/>
        </w:rPr>
        <w:t xml:space="preserve"> </w:t>
      </w:r>
      <w:r w:rsidR="00BD5A39">
        <w:rPr>
          <w:shd w:val="clear" w:color="auto" w:fill="FFFFFF"/>
        </w:rPr>
        <w:t xml:space="preserve">w produkcji </w:t>
      </w:r>
      <w:r w:rsidR="00BD5A39" w:rsidRPr="00261533">
        <w:rPr>
          <w:shd w:val="clear" w:color="auto" w:fill="FFFFFF"/>
        </w:rPr>
        <w:t>urządzeń elektrycznych</w:t>
      </w:r>
      <w:r w:rsidR="00BD5A39">
        <w:rPr>
          <w:shd w:val="clear" w:color="auto" w:fill="FFFFFF"/>
        </w:rPr>
        <w:t xml:space="preserve"> – o 3,3%,</w:t>
      </w:r>
      <w:r w:rsidR="00BD5A39" w:rsidRPr="00BD5A39">
        <w:rPr>
          <w:shd w:val="clear" w:color="auto" w:fill="FFFFFF"/>
        </w:rPr>
        <w:t xml:space="preserve"> </w:t>
      </w:r>
      <w:r w:rsidR="00BD5A39">
        <w:rPr>
          <w:shd w:val="clear" w:color="auto" w:fill="FFFFFF"/>
        </w:rPr>
        <w:t>papieru i wyrobów z papieru – o 3,1%,</w:t>
      </w:r>
      <w:r w:rsidR="00BD5A39" w:rsidRPr="00BD5A39">
        <w:rPr>
          <w:shd w:val="clear" w:color="auto" w:fill="FFFFFF"/>
        </w:rPr>
        <w:t xml:space="preserve"> </w:t>
      </w:r>
      <w:r w:rsidR="00BD5A39">
        <w:rPr>
          <w:shd w:val="clear" w:color="auto" w:fill="FFFFFF"/>
        </w:rPr>
        <w:t>w w</w:t>
      </w:r>
      <w:r w:rsidR="00BD5A39" w:rsidRPr="00C23CD0">
        <w:rPr>
          <w:shd w:val="clear" w:color="auto" w:fill="FFFFFF"/>
        </w:rPr>
        <w:t>ydobywani</w:t>
      </w:r>
      <w:r w:rsidR="00BD5A39">
        <w:rPr>
          <w:shd w:val="clear" w:color="auto" w:fill="FFFFFF"/>
        </w:rPr>
        <w:t>u</w:t>
      </w:r>
      <w:r w:rsidR="00BD5A39" w:rsidRPr="00C23CD0">
        <w:rPr>
          <w:shd w:val="clear" w:color="auto" w:fill="FFFFFF"/>
        </w:rPr>
        <w:t xml:space="preserve"> węgla kamiennego i</w:t>
      </w:r>
      <w:r w:rsidR="00BD5A39">
        <w:rPr>
          <w:shd w:val="clear" w:color="auto" w:fill="FFFFFF"/>
        </w:rPr>
        <w:t> </w:t>
      </w:r>
      <w:r w:rsidR="00BD5A39" w:rsidRPr="00C23CD0">
        <w:rPr>
          <w:shd w:val="clear" w:color="auto" w:fill="FFFFFF"/>
        </w:rPr>
        <w:t xml:space="preserve">węgla brunatnego (lignitu) </w:t>
      </w:r>
      <w:r w:rsidR="00BD5A39">
        <w:rPr>
          <w:shd w:val="clear" w:color="auto" w:fill="FFFFFF"/>
        </w:rPr>
        <w:t>– o 2,3%.</w:t>
      </w:r>
    </w:p>
    <w:bookmarkEnd w:id="2"/>
    <w:p w14:paraId="008DE36F" w14:textId="138FB8F3" w:rsidR="00BD5A39" w:rsidRPr="00583902" w:rsidRDefault="00BD5A39" w:rsidP="00BD5A39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>
        <w:rPr>
          <w:shd w:val="clear" w:color="auto" w:fill="FFFFFF"/>
        </w:rPr>
        <w:t>czerwcem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>
        <w:rPr>
          <w:shd w:val="clear" w:color="auto" w:fill="FFFFFF"/>
        </w:rPr>
        <w:t>16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6527EE">
        <w:t>w </w:t>
      </w:r>
      <w:r w:rsidR="006527EE">
        <w:rPr>
          <w:shd w:val="clear" w:color="auto" w:fill="FFFFFF"/>
        </w:rPr>
        <w:t>n</w:t>
      </w:r>
      <w:r w:rsidR="006527EE" w:rsidRPr="00AB418D">
        <w:rPr>
          <w:shd w:val="clear" w:color="auto" w:fill="FFFFFF"/>
        </w:rPr>
        <w:t>apraw</w:t>
      </w:r>
      <w:r w:rsidR="006527EE">
        <w:rPr>
          <w:shd w:val="clear" w:color="auto" w:fill="FFFFFF"/>
        </w:rPr>
        <w:t>ie</w:t>
      </w:r>
      <w:r w:rsidR="006527EE" w:rsidRPr="00AB418D">
        <w:rPr>
          <w:shd w:val="clear" w:color="auto" w:fill="FFFFFF"/>
        </w:rPr>
        <w:t>, konserwacj</w:t>
      </w:r>
      <w:r w:rsidR="006527EE">
        <w:rPr>
          <w:shd w:val="clear" w:color="auto" w:fill="FFFFFF"/>
        </w:rPr>
        <w:t>i</w:t>
      </w:r>
      <w:r w:rsidR="006527EE" w:rsidRPr="00AB418D">
        <w:rPr>
          <w:shd w:val="clear" w:color="auto" w:fill="FFFFFF"/>
        </w:rPr>
        <w:t xml:space="preserve"> i instalowan</w:t>
      </w:r>
      <w:r w:rsidR="006527EE">
        <w:rPr>
          <w:shd w:val="clear" w:color="auto" w:fill="FFFFFF"/>
        </w:rPr>
        <w:t>iu</w:t>
      </w:r>
      <w:r w:rsidR="006527EE" w:rsidRPr="00AB418D">
        <w:rPr>
          <w:shd w:val="clear" w:color="auto" w:fill="FFFFFF"/>
        </w:rPr>
        <w:t xml:space="preserve"> maszyn i</w:t>
      </w:r>
      <w:r w:rsidR="006527EE">
        <w:rPr>
          <w:shd w:val="clear" w:color="auto" w:fill="FFFFFF"/>
        </w:rPr>
        <w:t> </w:t>
      </w:r>
      <w:r w:rsidR="006527EE" w:rsidRPr="00AB418D">
        <w:rPr>
          <w:shd w:val="clear" w:color="auto" w:fill="FFFFFF"/>
        </w:rPr>
        <w:t xml:space="preserve">urządzeń </w:t>
      </w:r>
      <w:r w:rsidR="006527EE">
        <w:rPr>
          <w:shd w:val="clear" w:color="auto" w:fill="FFFFFF"/>
        </w:rPr>
        <w:t>– o 13,0%,</w:t>
      </w:r>
      <w:r w:rsidR="006527EE" w:rsidRPr="006527EE">
        <w:rPr>
          <w:shd w:val="clear" w:color="auto" w:fill="FFFFFF"/>
        </w:rPr>
        <w:t xml:space="preserve"> </w:t>
      </w:r>
      <w:r w:rsidR="006527EE">
        <w:rPr>
          <w:shd w:val="clear" w:color="auto" w:fill="FFFFFF"/>
        </w:rPr>
        <w:t>w</w:t>
      </w:r>
      <w:r w:rsidR="0050735E">
        <w:rPr>
          <w:shd w:val="clear" w:color="auto" w:fill="FFFFFF"/>
        </w:rPr>
        <w:t> </w:t>
      </w:r>
      <w:r w:rsidR="006527EE">
        <w:rPr>
          <w:shd w:val="clear" w:color="auto" w:fill="FFFFFF"/>
        </w:rPr>
        <w:t>g</w:t>
      </w:r>
      <w:r w:rsidR="006527EE" w:rsidRPr="00C04DB4">
        <w:rPr>
          <w:shd w:val="clear" w:color="auto" w:fill="FFFFFF"/>
        </w:rPr>
        <w:t>ospodar</w:t>
      </w:r>
      <w:r w:rsidR="006527EE">
        <w:rPr>
          <w:shd w:val="clear" w:color="auto" w:fill="FFFFFF"/>
        </w:rPr>
        <w:t>ce</w:t>
      </w:r>
      <w:r w:rsidR="006527EE" w:rsidRPr="00C04DB4">
        <w:rPr>
          <w:shd w:val="clear" w:color="auto" w:fill="FFFFFF"/>
        </w:rPr>
        <w:t xml:space="preserve"> odpadami; odzysk</w:t>
      </w:r>
      <w:r w:rsidR="006527EE">
        <w:rPr>
          <w:shd w:val="clear" w:color="auto" w:fill="FFFFFF"/>
        </w:rPr>
        <w:t>u</w:t>
      </w:r>
      <w:r w:rsidR="006527EE" w:rsidRPr="00C04DB4">
        <w:rPr>
          <w:shd w:val="clear" w:color="auto" w:fill="FFFFFF"/>
        </w:rPr>
        <w:t xml:space="preserve"> surowców</w:t>
      </w:r>
      <w:r w:rsidR="006527EE">
        <w:rPr>
          <w:shd w:val="clear" w:color="auto" w:fill="FFFFFF"/>
        </w:rPr>
        <w:t xml:space="preserve"> – o 9,4%,</w:t>
      </w:r>
      <w:r w:rsidR="006527EE" w:rsidRPr="006527EE">
        <w:rPr>
          <w:shd w:val="clear" w:color="auto" w:fill="FFFFFF"/>
        </w:rPr>
        <w:t xml:space="preserve"> </w:t>
      </w:r>
      <w:r w:rsidR="006527EE">
        <w:rPr>
          <w:shd w:val="clear" w:color="auto" w:fill="FFFFFF"/>
        </w:rPr>
        <w:t>w </w:t>
      </w:r>
      <w:r w:rsidR="006527EE" w:rsidRPr="00F13C00">
        <w:rPr>
          <w:shd w:val="clear" w:color="auto" w:fill="FFFFFF"/>
        </w:rPr>
        <w:t>produkcji</w:t>
      </w:r>
      <w:r w:rsidR="006527EE" w:rsidRPr="006527EE">
        <w:rPr>
          <w:shd w:val="clear" w:color="auto" w:fill="FFFFFF"/>
        </w:rPr>
        <w:t xml:space="preserve"> </w:t>
      </w:r>
      <w:r w:rsidR="006527EE" w:rsidRPr="008D7EA0">
        <w:rPr>
          <w:shd w:val="clear" w:color="auto" w:fill="FFFFFF"/>
        </w:rPr>
        <w:t>pojazdów samochodowych, przyczep i naczep</w:t>
      </w:r>
      <w:r w:rsidR="006527EE">
        <w:rPr>
          <w:shd w:val="clear" w:color="auto" w:fill="FFFFFF"/>
        </w:rPr>
        <w:t xml:space="preserve"> – o 5,9%,</w:t>
      </w:r>
      <w:r w:rsidR="006527EE" w:rsidRPr="006527EE">
        <w:rPr>
          <w:shd w:val="clear" w:color="auto" w:fill="FFFFFF"/>
        </w:rPr>
        <w:t xml:space="preserve"> </w:t>
      </w:r>
      <w:r w:rsidR="006527EE" w:rsidRPr="00125266">
        <w:rPr>
          <w:shd w:val="clear" w:color="auto" w:fill="FFFFFF"/>
        </w:rPr>
        <w:t>komputerów, wyrobów elektronicznych i</w:t>
      </w:r>
      <w:r w:rsidR="006527EE">
        <w:rPr>
          <w:shd w:val="clear" w:color="auto" w:fill="FFFFFF"/>
        </w:rPr>
        <w:t> </w:t>
      </w:r>
      <w:r w:rsidR="006527EE" w:rsidRPr="00125266">
        <w:rPr>
          <w:shd w:val="clear" w:color="auto" w:fill="FFFFFF"/>
        </w:rPr>
        <w:t>optycznych</w:t>
      </w:r>
      <w:r w:rsidR="006527EE">
        <w:rPr>
          <w:shd w:val="clear" w:color="auto" w:fill="FFFFFF"/>
        </w:rPr>
        <w:t xml:space="preserve"> – o 4,3%,</w:t>
      </w:r>
      <w:r w:rsidR="006527EE" w:rsidRPr="006527EE">
        <w:rPr>
          <w:shd w:val="clear" w:color="auto" w:fill="FFFFFF"/>
        </w:rPr>
        <w:t xml:space="preserve"> </w:t>
      </w:r>
      <w:bookmarkStart w:id="4" w:name="_Hlk203460799"/>
      <w:r w:rsidR="006527EE" w:rsidRPr="00AB418D">
        <w:rPr>
          <w:shd w:val="clear" w:color="auto" w:fill="FFFFFF"/>
        </w:rPr>
        <w:t>maszyn i</w:t>
      </w:r>
      <w:r w:rsidR="006527EE">
        <w:rPr>
          <w:shd w:val="clear" w:color="auto" w:fill="FFFFFF"/>
        </w:rPr>
        <w:t> </w:t>
      </w:r>
      <w:r w:rsidR="006527EE" w:rsidRPr="00AB418D">
        <w:rPr>
          <w:shd w:val="clear" w:color="auto" w:fill="FFFFFF"/>
        </w:rPr>
        <w:t xml:space="preserve">urządzeń </w:t>
      </w:r>
      <w:r w:rsidR="006527EE">
        <w:rPr>
          <w:shd w:val="clear" w:color="auto" w:fill="FFFFFF"/>
        </w:rPr>
        <w:t>– o 3,1%,</w:t>
      </w:r>
      <w:r w:rsidR="006527EE" w:rsidRPr="006527EE">
        <w:rPr>
          <w:shd w:val="clear" w:color="auto" w:fill="FFFFFF"/>
        </w:rPr>
        <w:t xml:space="preserve"> </w:t>
      </w:r>
      <w:bookmarkEnd w:id="4"/>
      <w:r w:rsidR="006527EE">
        <w:rPr>
          <w:shd w:val="clear" w:color="auto" w:fill="FFFFFF"/>
        </w:rPr>
        <w:t>metali – o 2,6%.</w:t>
      </w:r>
    </w:p>
    <w:p w14:paraId="0A8679CB" w14:textId="6D9EC2AC" w:rsidR="003627E7" w:rsidRPr="00863074" w:rsidRDefault="003627E7" w:rsidP="00660989">
      <w:pPr>
        <w:suppressAutoHyphens/>
        <w:spacing w:before="1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20EE4714" w14:textId="2042A306" w:rsidR="00583902" w:rsidRDefault="00583902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80128" behindDoc="0" locked="0" layoutInCell="1" allowOverlap="1" wp14:anchorId="0C1079CF" wp14:editId="1AC8FE3D">
            <wp:simplePos x="0" y="0"/>
            <wp:positionH relativeFrom="column">
              <wp:posOffset>-38100</wp:posOffset>
            </wp:positionH>
            <wp:positionV relativeFrom="paragraph">
              <wp:posOffset>258445</wp:posOffset>
            </wp:positionV>
            <wp:extent cx="5016500" cy="3321050"/>
            <wp:effectExtent l="0" t="0" r="0" b="0"/>
            <wp:wrapSquare wrapText="bothSides"/>
            <wp:docPr id="16" name="Obraz 16" descr="Dynamika produkcji sprzedanej przemysłu według wybranych działów PKD (ceny stałe; analogiczny okres roku poprzedniego=100) - czerwiec 2024, czerwiec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32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15CD2135" w14:textId="526DB615" w:rsidR="00583902" w:rsidRDefault="003C301B" w:rsidP="00E4110F">
      <w:pPr>
        <w:suppressAutoHyphens/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77056" behindDoc="1" locked="0" layoutInCell="1" allowOverlap="1" wp14:anchorId="2FB2E89A" wp14:editId="0A6089A8">
                <wp:simplePos x="0" y="0"/>
                <wp:positionH relativeFrom="page">
                  <wp:posOffset>5670550</wp:posOffset>
                </wp:positionH>
                <wp:positionV relativeFrom="paragraph">
                  <wp:posOffset>0</wp:posOffset>
                </wp:positionV>
                <wp:extent cx="1813560" cy="891540"/>
                <wp:effectExtent l="0" t="0" r="0" b="3810"/>
                <wp:wrapTight wrapText="bothSides">
                  <wp:wrapPolygon edited="0">
                    <wp:start x="681" y="0"/>
                    <wp:lineTo x="681" y="21231"/>
                    <wp:lineTo x="20874" y="21231"/>
                    <wp:lineTo x="20874" y="0"/>
                    <wp:lineTo x="681" y="0"/>
                  </wp:wrapPolygon>
                </wp:wrapTight>
                <wp:docPr id="13" name="Pole tekstowe 13" descr="Udział w przemyśle ogółem produkcji sprzedanej działów, w których odnotowano spadek, w porównaniu z majem br., wyniósł 72,9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34797" w14:textId="60A5BCBA" w:rsidR="003C301B" w:rsidRPr="004B32DD" w:rsidRDefault="003C301B" w:rsidP="003C301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produkcji sprzedanej działów, w których odnotowano spadek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2A0C98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majem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br.,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wyniósł 72,</w:t>
                            </w:r>
                            <w:r w:rsidR="002A0C98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E89A" id="Pole tekstowe 13" o:spid="_x0000_s1030" type="#_x0000_t202" alt="Udział w przemyśle ogółem produkcji sprzedanej działów, w których odnotowano spadek, w porównaniu z majem br., wyniósł 72,9%" style="position:absolute;margin-left:446.5pt;margin-top:0;width:142.8pt;height:70.2pt;z-index:-25123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" filled="f" stroked="f">
                <v:textbox>
                  <w:txbxContent>
                    <w:p w14:paraId="17C34797" w14:textId="60A5BCBA" w:rsidR="003C301B" w:rsidRPr="004B32DD" w:rsidRDefault="003C301B" w:rsidP="003C301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produkcji sprzedanej działów, w których odnotowano spadek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2A0C98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majem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br.,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wyniósł 72,</w:t>
                      </w:r>
                      <w:r w:rsidR="002A0C98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003EF">
        <w:t>W</w:t>
      </w:r>
      <w:r w:rsidR="00BE0B67">
        <w:t xml:space="preserve"> </w:t>
      </w:r>
      <w:r w:rsidR="00583902">
        <w:rPr>
          <w:shd w:val="clear" w:color="auto" w:fill="FFFFFF"/>
        </w:rPr>
        <w:t>czerwcu</w:t>
      </w:r>
      <w:r w:rsidR="00343817">
        <w:rPr>
          <w:shd w:val="clear" w:color="auto" w:fill="FFFFFF"/>
        </w:rPr>
        <w:t xml:space="preserve"> br. </w:t>
      </w:r>
      <w:r w:rsidR="00146F7C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C76ACD">
        <w:t xml:space="preserve"> </w:t>
      </w:r>
      <w:r w:rsidR="00583902">
        <w:t>majem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583902">
        <w:rPr>
          <w:shd w:val="clear" w:color="auto" w:fill="FFFFFF"/>
        </w:rPr>
        <w:t>22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583902">
        <w:rPr>
          <w:shd w:val="clear" w:color="auto" w:fill="FFFFFF"/>
        </w:rPr>
        <w:t>w wytwarzaniu i zaopatrywaniu w </w:t>
      </w:r>
      <w:r w:rsidR="00583902" w:rsidRPr="00A6597F">
        <w:rPr>
          <w:shd w:val="clear" w:color="auto" w:fill="FFFFFF"/>
        </w:rPr>
        <w:t>energię elektryczną, gaz, parę wodną i</w:t>
      </w:r>
      <w:r w:rsidR="00583902">
        <w:rPr>
          <w:shd w:val="clear" w:color="auto" w:fill="FFFFFF"/>
        </w:rPr>
        <w:t> </w:t>
      </w:r>
      <w:r w:rsidR="00583902" w:rsidRPr="00A6597F">
        <w:rPr>
          <w:shd w:val="clear" w:color="auto" w:fill="FFFFFF"/>
        </w:rPr>
        <w:t>gorącą wodę</w:t>
      </w:r>
      <w:r w:rsidR="00583902">
        <w:rPr>
          <w:shd w:val="clear" w:color="auto" w:fill="FFFFFF"/>
        </w:rPr>
        <w:t xml:space="preserve"> – o 8,7%,</w:t>
      </w:r>
      <w:r w:rsidR="00583902" w:rsidRPr="00583902">
        <w:rPr>
          <w:shd w:val="clear" w:color="auto" w:fill="FFFFFF"/>
        </w:rPr>
        <w:t xml:space="preserve"> </w:t>
      </w:r>
      <w:r w:rsidR="00583902">
        <w:rPr>
          <w:shd w:val="clear" w:color="auto" w:fill="FFFFFF"/>
        </w:rPr>
        <w:t>w produkcji</w:t>
      </w:r>
      <w:r w:rsidR="00583902" w:rsidRPr="00863074">
        <w:rPr>
          <w:shd w:val="clear" w:color="auto" w:fill="FFFFFF"/>
        </w:rPr>
        <w:t xml:space="preserve"> </w:t>
      </w:r>
      <w:r w:rsidR="00583902" w:rsidRPr="001932FE">
        <w:rPr>
          <w:shd w:val="clear" w:color="auto" w:fill="FFFFFF"/>
        </w:rPr>
        <w:t>wyrobów z</w:t>
      </w:r>
      <w:r w:rsidR="00583902">
        <w:rPr>
          <w:shd w:val="clear" w:color="auto" w:fill="FFFFFF"/>
        </w:rPr>
        <w:t> </w:t>
      </w:r>
      <w:r w:rsidR="00583902" w:rsidRPr="001932FE">
        <w:rPr>
          <w:shd w:val="clear" w:color="auto" w:fill="FFFFFF"/>
        </w:rPr>
        <w:t>drewna, korka, słomy i wikliny</w:t>
      </w:r>
      <w:r w:rsidR="00583902">
        <w:rPr>
          <w:shd w:val="clear" w:color="auto" w:fill="FFFFFF"/>
        </w:rPr>
        <w:t xml:space="preserve"> – o 7,2%,</w:t>
      </w:r>
      <w:r w:rsidR="00583902" w:rsidRPr="00583902">
        <w:rPr>
          <w:shd w:val="clear" w:color="auto" w:fill="FFFFFF"/>
        </w:rPr>
        <w:t xml:space="preserve"> </w:t>
      </w:r>
      <w:r w:rsidR="00583902" w:rsidRPr="00625502">
        <w:rPr>
          <w:shd w:val="clear" w:color="auto" w:fill="FFFFFF"/>
        </w:rPr>
        <w:t>chemikaliów i</w:t>
      </w:r>
      <w:r w:rsidR="00583902">
        <w:rPr>
          <w:shd w:val="clear" w:color="auto" w:fill="FFFFFF"/>
        </w:rPr>
        <w:t> </w:t>
      </w:r>
      <w:r w:rsidR="00583902" w:rsidRPr="00625502">
        <w:rPr>
          <w:shd w:val="clear" w:color="auto" w:fill="FFFFFF"/>
        </w:rPr>
        <w:t>wyrobów chemicznych</w:t>
      </w:r>
      <w:r w:rsidR="00583902">
        <w:rPr>
          <w:shd w:val="clear" w:color="auto" w:fill="FFFFFF"/>
        </w:rPr>
        <w:t xml:space="preserve"> – o 6,2%,</w:t>
      </w:r>
      <w:r w:rsidR="00583902" w:rsidRPr="00583902">
        <w:rPr>
          <w:shd w:val="clear" w:color="auto" w:fill="FFFFFF"/>
        </w:rPr>
        <w:t xml:space="preserve"> </w:t>
      </w:r>
      <w:r w:rsidR="00583902">
        <w:rPr>
          <w:shd w:val="clear" w:color="auto" w:fill="FFFFFF"/>
        </w:rPr>
        <w:t>papieru i wyrobów z papieru – o 4,1%,</w:t>
      </w:r>
      <w:r w:rsidR="00583902" w:rsidRPr="00583902">
        <w:rPr>
          <w:shd w:val="clear" w:color="auto" w:fill="FFFFFF"/>
        </w:rPr>
        <w:t xml:space="preserve"> </w:t>
      </w:r>
      <w:r w:rsidR="00583902" w:rsidRPr="00773BE4">
        <w:rPr>
          <w:shd w:val="clear" w:color="auto" w:fill="FFFFFF"/>
        </w:rPr>
        <w:t>wyrobów z</w:t>
      </w:r>
      <w:r w:rsidR="00583902">
        <w:rPr>
          <w:shd w:val="clear" w:color="auto" w:fill="FFFFFF"/>
        </w:rPr>
        <w:t> </w:t>
      </w:r>
      <w:r w:rsidR="00583902" w:rsidRPr="00773BE4">
        <w:rPr>
          <w:shd w:val="clear" w:color="auto" w:fill="FFFFFF"/>
        </w:rPr>
        <w:t>pozostałych mineralnych surowców niemetalicznych</w:t>
      </w:r>
      <w:r w:rsidR="00583902">
        <w:rPr>
          <w:shd w:val="clear" w:color="auto" w:fill="FFFFFF"/>
        </w:rPr>
        <w:t xml:space="preserve"> – o 2,9%,</w:t>
      </w:r>
      <w:r w:rsidR="00583902" w:rsidRPr="00583902">
        <w:rPr>
          <w:shd w:val="clear" w:color="auto" w:fill="FFFFFF"/>
        </w:rPr>
        <w:t xml:space="preserve"> </w:t>
      </w:r>
      <w:r w:rsidR="00583902">
        <w:rPr>
          <w:shd w:val="clear" w:color="auto" w:fill="FFFFFF"/>
        </w:rPr>
        <w:t>mebli – o 2,8%,</w:t>
      </w:r>
      <w:r w:rsidR="00583902" w:rsidRPr="00583902">
        <w:rPr>
          <w:shd w:val="clear" w:color="auto" w:fill="FFFFFF"/>
        </w:rPr>
        <w:t xml:space="preserve"> </w:t>
      </w:r>
      <w:r w:rsidR="00583902" w:rsidRPr="00125266">
        <w:rPr>
          <w:shd w:val="clear" w:color="auto" w:fill="FFFFFF"/>
        </w:rPr>
        <w:t>komputerów, wyrobów elektronicznych i</w:t>
      </w:r>
      <w:r w:rsidR="00583902">
        <w:rPr>
          <w:shd w:val="clear" w:color="auto" w:fill="FFFFFF"/>
        </w:rPr>
        <w:t> </w:t>
      </w:r>
      <w:r w:rsidR="00583902" w:rsidRPr="00125266">
        <w:rPr>
          <w:shd w:val="clear" w:color="auto" w:fill="FFFFFF"/>
        </w:rPr>
        <w:t>optycznych</w:t>
      </w:r>
      <w:r w:rsidR="00583902">
        <w:rPr>
          <w:shd w:val="clear" w:color="auto" w:fill="FFFFFF"/>
        </w:rPr>
        <w:t xml:space="preserve"> – o 2,2%</w:t>
      </w:r>
      <w:r w:rsidR="00A5100F">
        <w:rPr>
          <w:shd w:val="clear" w:color="auto" w:fill="FFFFFF"/>
        </w:rPr>
        <w:t>,</w:t>
      </w:r>
      <w:r w:rsidR="00A5100F" w:rsidRPr="00A5100F">
        <w:rPr>
          <w:shd w:val="clear" w:color="auto" w:fill="FFFFFF"/>
        </w:rPr>
        <w:t xml:space="preserve"> </w:t>
      </w:r>
      <w:r w:rsidR="00A5100F" w:rsidRPr="00AB418D">
        <w:rPr>
          <w:shd w:val="clear" w:color="auto" w:fill="FFFFFF"/>
        </w:rPr>
        <w:t>maszyn i</w:t>
      </w:r>
      <w:r w:rsidR="00A5100F">
        <w:rPr>
          <w:shd w:val="clear" w:color="auto" w:fill="FFFFFF"/>
        </w:rPr>
        <w:t> </w:t>
      </w:r>
      <w:r w:rsidR="00A5100F" w:rsidRPr="00AB418D">
        <w:rPr>
          <w:shd w:val="clear" w:color="auto" w:fill="FFFFFF"/>
        </w:rPr>
        <w:t xml:space="preserve">urządzeń </w:t>
      </w:r>
      <w:r w:rsidR="00A5100F">
        <w:rPr>
          <w:shd w:val="clear" w:color="auto" w:fill="FFFFFF"/>
        </w:rPr>
        <w:t>– o 2,1%</w:t>
      </w:r>
      <w:r w:rsidR="00583902">
        <w:rPr>
          <w:shd w:val="clear" w:color="auto" w:fill="FFFFFF"/>
        </w:rPr>
        <w:t>.</w:t>
      </w:r>
    </w:p>
    <w:p w14:paraId="75913245" w14:textId="21F8CF11" w:rsidR="00583902" w:rsidRDefault="00146F7C" w:rsidP="00583902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E34E7E">
        <w:rPr>
          <w:shd w:val="clear" w:color="auto" w:fill="FFFFFF"/>
        </w:rPr>
        <w:t xml:space="preserve"> poprzednim miesiącem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1</w:t>
      </w:r>
      <w:r w:rsidR="00583902">
        <w:rPr>
          <w:shd w:val="clear" w:color="auto" w:fill="FFFFFF"/>
        </w:rPr>
        <w:t>2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9D7DBB" w:rsidRPr="009D7DBB">
        <w:t xml:space="preserve"> </w:t>
      </w:r>
      <w:r w:rsidR="00583902">
        <w:rPr>
          <w:shd w:val="clear" w:color="auto" w:fill="FFFFFF"/>
        </w:rPr>
        <w:t>w </w:t>
      </w:r>
      <w:r w:rsidR="00583902" w:rsidRPr="00F13C00">
        <w:rPr>
          <w:shd w:val="clear" w:color="auto" w:fill="FFFFFF"/>
        </w:rPr>
        <w:t xml:space="preserve">produkcji </w:t>
      </w:r>
      <w:r w:rsidR="00583902">
        <w:rPr>
          <w:shd w:val="clear" w:color="auto" w:fill="FFFFFF"/>
        </w:rPr>
        <w:t>napojów – o 22,3%,</w:t>
      </w:r>
      <w:r w:rsidR="00583902" w:rsidRPr="00583902">
        <w:t xml:space="preserve"> </w:t>
      </w:r>
      <w:r w:rsidR="00583902" w:rsidRPr="00583902">
        <w:rPr>
          <w:shd w:val="clear" w:color="auto" w:fill="FFFFFF"/>
        </w:rPr>
        <w:t>wyrobów farmaceutycznych</w:t>
      </w:r>
      <w:r w:rsidR="00583902">
        <w:rPr>
          <w:shd w:val="clear" w:color="auto" w:fill="FFFFFF"/>
        </w:rPr>
        <w:t xml:space="preserve"> – o 10,1%,</w:t>
      </w:r>
      <w:r w:rsidR="00583902" w:rsidRPr="00583902">
        <w:rPr>
          <w:shd w:val="clear" w:color="auto" w:fill="FFFFFF"/>
        </w:rPr>
        <w:t xml:space="preserve"> </w:t>
      </w:r>
      <w:r w:rsidR="00583902">
        <w:rPr>
          <w:shd w:val="clear" w:color="auto" w:fill="FFFFFF"/>
        </w:rPr>
        <w:t>w w</w:t>
      </w:r>
      <w:r w:rsidR="00583902" w:rsidRPr="00C23CD0">
        <w:rPr>
          <w:shd w:val="clear" w:color="auto" w:fill="FFFFFF"/>
        </w:rPr>
        <w:t>ydobywani</w:t>
      </w:r>
      <w:r w:rsidR="00583902">
        <w:rPr>
          <w:shd w:val="clear" w:color="auto" w:fill="FFFFFF"/>
        </w:rPr>
        <w:t>u</w:t>
      </w:r>
      <w:r w:rsidR="00583902" w:rsidRPr="00C23CD0">
        <w:rPr>
          <w:shd w:val="clear" w:color="auto" w:fill="FFFFFF"/>
        </w:rPr>
        <w:t xml:space="preserve"> węgla kamiennego i</w:t>
      </w:r>
      <w:r w:rsidR="00583902">
        <w:rPr>
          <w:shd w:val="clear" w:color="auto" w:fill="FFFFFF"/>
        </w:rPr>
        <w:t> </w:t>
      </w:r>
      <w:r w:rsidR="00583902" w:rsidRPr="00C23CD0">
        <w:rPr>
          <w:shd w:val="clear" w:color="auto" w:fill="FFFFFF"/>
        </w:rPr>
        <w:t xml:space="preserve">węgla brunatnego (lignitu) </w:t>
      </w:r>
      <w:r w:rsidR="00583902">
        <w:rPr>
          <w:shd w:val="clear" w:color="auto" w:fill="FFFFFF"/>
        </w:rPr>
        <w:t>– o 6,5%,</w:t>
      </w:r>
      <w:r w:rsidR="00583902" w:rsidRPr="00583902">
        <w:t xml:space="preserve"> </w:t>
      </w:r>
      <w:r w:rsidR="00583902">
        <w:t>w </w:t>
      </w:r>
      <w:r w:rsidR="00583902">
        <w:rPr>
          <w:shd w:val="clear" w:color="auto" w:fill="FFFFFF"/>
        </w:rPr>
        <w:t>n</w:t>
      </w:r>
      <w:r w:rsidR="00583902" w:rsidRPr="00AB418D">
        <w:rPr>
          <w:shd w:val="clear" w:color="auto" w:fill="FFFFFF"/>
        </w:rPr>
        <w:t>apraw</w:t>
      </w:r>
      <w:r w:rsidR="00583902">
        <w:rPr>
          <w:shd w:val="clear" w:color="auto" w:fill="FFFFFF"/>
        </w:rPr>
        <w:t>ie</w:t>
      </w:r>
      <w:r w:rsidR="00583902" w:rsidRPr="00AB418D">
        <w:rPr>
          <w:shd w:val="clear" w:color="auto" w:fill="FFFFFF"/>
        </w:rPr>
        <w:t>, konserwacj</w:t>
      </w:r>
      <w:r w:rsidR="00583902">
        <w:rPr>
          <w:shd w:val="clear" w:color="auto" w:fill="FFFFFF"/>
        </w:rPr>
        <w:t>i</w:t>
      </w:r>
      <w:r w:rsidR="00583902" w:rsidRPr="00AB418D">
        <w:rPr>
          <w:shd w:val="clear" w:color="auto" w:fill="FFFFFF"/>
        </w:rPr>
        <w:t xml:space="preserve"> i</w:t>
      </w:r>
      <w:r w:rsidR="00583902">
        <w:rPr>
          <w:shd w:val="clear" w:color="auto" w:fill="FFFFFF"/>
        </w:rPr>
        <w:t> </w:t>
      </w:r>
      <w:r w:rsidR="00583902" w:rsidRPr="00AB418D">
        <w:rPr>
          <w:shd w:val="clear" w:color="auto" w:fill="FFFFFF"/>
        </w:rPr>
        <w:t>instalowan</w:t>
      </w:r>
      <w:r w:rsidR="00583902">
        <w:rPr>
          <w:shd w:val="clear" w:color="auto" w:fill="FFFFFF"/>
        </w:rPr>
        <w:t>iu</w:t>
      </w:r>
      <w:r w:rsidR="00583902" w:rsidRPr="00AB418D">
        <w:rPr>
          <w:shd w:val="clear" w:color="auto" w:fill="FFFFFF"/>
        </w:rPr>
        <w:t xml:space="preserve"> maszyn i</w:t>
      </w:r>
      <w:r w:rsidR="00583902">
        <w:rPr>
          <w:shd w:val="clear" w:color="auto" w:fill="FFFFFF"/>
        </w:rPr>
        <w:t> </w:t>
      </w:r>
      <w:r w:rsidR="00583902" w:rsidRPr="00AB418D">
        <w:rPr>
          <w:shd w:val="clear" w:color="auto" w:fill="FFFFFF"/>
        </w:rPr>
        <w:t xml:space="preserve">urządzeń </w:t>
      </w:r>
      <w:r w:rsidR="00583902">
        <w:rPr>
          <w:shd w:val="clear" w:color="auto" w:fill="FFFFFF"/>
        </w:rPr>
        <w:t>– o 4,1%,</w:t>
      </w:r>
      <w:r w:rsidR="002A0C98" w:rsidRPr="002A0C98">
        <w:rPr>
          <w:shd w:val="clear" w:color="auto" w:fill="FFFFFF"/>
        </w:rPr>
        <w:t xml:space="preserve"> </w:t>
      </w:r>
      <w:r w:rsidR="002A0C98">
        <w:rPr>
          <w:shd w:val="clear" w:color="auto" w:fill="FFFFFF"/>
        </w:rPr>
        <w:t>w produkcji</w:t>
      </w:r>
      <w:r w:rsidR="002A0C98" w:rsidRPr="002A0C98">
        <w:rPr>
          <w:shd w:val="clear" w:color="auto" w:fill="FFFFFF"/>
        </w:rPr>
        <w:t xml:space="preserve"> </w:t>
      </w:r>
      <w:r w:rsidR="002A0C98" w:rsidRPr="008D7EA0">
        <w:rPr>
          <w:shd w:val="clear" w:color="auto" w:fill="FFFFFF"/>
        </w:rPr>
        <w:t>pojazdów samochodowych, przyczep i naczep</w:t>
      </w:r>
      <w:r w:rsidR="002A0C98">
        <w:rPr>
          <w:shd w:val="clear" w:color="auto" w:fill="FFFFFF"/>
        </w:rPr>
        <w:t xml:space="preserve"> – o 2,0%.</w:t>
      </w:r>
    </w:p>
    <w:p w14:paraId="4E34594D" w14:textId="5996FAE2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4952D030" w14:textId="7ECED561" w:rsidR="00F52A68" w:rsidRPr="00CB4942" w:rsidRDefault="00C57810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82176" behindDoc="0" locked="0" layoutInCell="1" allowOverlap="1" wp14:anchorId="674CFE42" wp14:editId="74078BD8">
            <wp:simplePos x="0" y="0"/>
            <wp:positionH relativeFrom="column">
              <wp:posOffset>-95250</wp:posOffset>
            </wp:positionH>
            <wp:positionV relativeFrom="paragraph">
              <wp:posOffset>196850</wp:posOffset>
            </wp:positionV>
            <wp:extent cx="5273675" cy="3383280"/>
            <wp:effectExtent l="0" t="0" r="3175" b="7620"/>
            <wp:wrapSquare wrapText="bothSides"/>
            <wp:docPr id="18" name="Obraz 18" descr="Dynamika produkcji sprzedanej przemysłu według wybranych działów PKD (ceny stałe; miesiąc poprzedni =100) - luty, marzec, kwiecień, maj i czerwiec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909ACE3" w14:textId="636D9A8C" w:rsidR="003009A1" w:rsidRDefault="003009A1" w:rsidP="00BA0518">
      <w:pPr>
        <w:spacing w:line="240" w:lineRule="auto"/>
        <w:rPr>
          <w:noProof/>
          <w:lang w:eastAsia="pl-PL"/>
        </w:rPr>
      </w:pPr>
    </w:p>
    <w:p w14:paraId="42F678D4" w14:textId="77777777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przemysłu,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3C0BAC30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00F04BCE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Metodologia 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3" w:history="1">
        <w:r>
          <w:rPr>
            <w:rStyle w:val="Hipercze"/>
            <w:rFonts w:cstheme="minorBidi"/>
            <w:noProof/>
            <w:lang w:eastAsia="pl-PL"/>
          </w:rPr>
          <w:t>Badania produkcji przemysłowej</w:t>
        </w:r>
      </w:hyperlink>
      <w:r>
        <w:rPr>
          <w:noProof/>
          <w:lang w:eastAsia="pl-PL"/>
        </w:rPr>
        <w:t xml:space="preserve">. </w:t>
      </w:r>
    </w:p>
    <w:p w14:paraId="506D249E" w14:textId="61A2B812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Dane te </w:t>
      </w:r>
      <w:r w:rsidR="00B83970">
        <w:rPr>
          <w:szCs w:val="19"/>
        </w:rPr>
        <w:t>udostępnione</w:t>
      </w:r>
      <w:r>
        <w:rPr>
          <w:szCs w:val="19"/>
        </w:rPr>
        <w:t xml:space="preserve"> są w </w:t>
      </w:r>
      <w:r w:rsidRPr="0000193A">
        <w:rPr>
          <w:szCs w:val="19"/>
        </w:rPr>
        <w:t>Dziedzinow</w:t>
      </w:r>
      <w:r>
        <w:rPr>
          <w:szCs w:val="19"/>
        </w:rPr>
        <w:t>ych</w:t>
      </w:r>
      <w:r w:rsidRPr="0000193A">
        <w:rPr>
          <w:szCs w:val="19"/>
        </w:rPr>
        <w:t xml:space="preserve"> Baz</w:t>
      </w:r>
      <w:r>
        <w:rPr>
          <w:szCs w:val="19"/>
        </w:rPr>
        <w:t>ach</w:t>
      </w:r>
      <w:r w:rsidRPr="0000193A">
        <w:rPr>
          <w:szCs w:val="19"/>
        </w:rPr>
        <w:t xml:space="preserve"> Wiedzy (DBW)</w:t>
      </w:r>
      <w:r w:rsidR="009D4D58">
        <w:rPr>
          <w:szCs w:val="19"/>
        </w:rPr>
        <w:t xml:space="preserve">, w </w:t>
      </w:r>
      <w:r w:rsidR="00583D41">
        <w:rPr>
          <w:szCs w:val="19"/>
        </w:rPr>
        <w:t>obszarze</w:t>
      </w:r>
      <w:r w:rsidR="009D4D58" w:rsidRPr="009D4D58">
        <w:t xml:space="preserve"> </w:t>
      </w:r>
      <w:r w:rsidR="009D4D58" w:rsidRPr="009D4D58">
        <w:rPr>
          <w:szCs w:val="19"/>
        </w:rPr>
        <w:t xml:space="preserve">Europejskie wskaźniki krótkookresowe według </w:t>
      </w:r>
      <w:r w:rsidR="00F53F6D">
        <w:rPr>
          <w:szCs w:val="19"/>
        </w:rPr>
        <w:t>JRD</w:t>
      </w:r>
      <w:r w:rsidR="009D4D58">
        <w:rPr>
          <w:szCs w:val="19"/>
        </w:rPr>
        <w:t>. Koncepcję jednostki rodzaju działalności zaprezentowano w zeszycie metodologicznym</w:t>
      </w:r>
      <w:r w:rsidR="00676DFD">
        <w:rPr>
          <w:szCs w:val="19"/>
        </w:rPr>
        <w:t xml:space="preserve"> pt.</w:t>
      </w:r>
      <w:r w:rsidR="009D4D58">
        <w:rPr>
          <w:szCs w:val="19"/>
        </w:rPr>
        <w:t xml:space="preserve"> </w:t>
      </w:r>
      <w:hyperlink r:id="rId14" w:history="1">
        <w:r w:rsidR="009D4D58" w:rsidRPr="00782DF9">
          <w:rPr>
            <w:color w:val="0000FF"/>
            <w:u w:val="single"/>
          </w:rPr>
          <w:t>Statystyka krótkookresowa według europejskiej koncepcji jednostki rodzaju działalności</w:t>
        </w:r>
      </w:hyperlink>
    </w:p>
    <w:p w14:paraId="0622B05F" w14:textId="77777777" w:rsidR="009D4D58" w:rsidRDefault="009D4D58" w:rsidP="009D4D58">
      <w:pPr>
        <w:rPr>
          <w:szCs w:val="19"/>
        </w:rPr>
      </w:pPr>
    </w:p>
    <w:p w14:paraId="30B01DF0" w14:textId="77777777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7D2908AC" w14:textId="77777777" w:rsidTr="0042355F">
        <w:trPr>
          <w:trHeight w:val="1344"/>
        </w:trPr>
        <w:tc>
          <w:tcPr>
            <w:tcW w:w="4218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7D52E415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005066B" w14:textId="77777777" w:rsidR="0042355F" w:rsidRDefault="0042355F" w:rsidP="0042355F">
            <w:r>
              <w:t>Tel. komórkowy: +48 695 255 032</w:t>
            </w:r>
          </w:p>
          <w:p w14:paraId="0BD41C67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611A2A99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708308E0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4C47CA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"https://stat.gov.pl/obszary-tematyczne/inne-opracowania/informacje-o-sytuacji-spoleczno-gospodarczej/biuletyn-statystyczny-nr-52025,4,162.html"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/>
                          </w:p>
                          <w:p w14:paraId="3BBD2440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546D0E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546D0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546D0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546D0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1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708308E0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4C47CA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"https://stat.gov.pl/obszary-tematyczne/inne-opracowania/informacje-o-sytuacji-spoleczno-gospodarczej/biuletyn-statystyczny-nr-52025,4,162.html"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77777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3" w:history="1"/>
                    </w:p>
                    <w:p w14:paraId="3BBD2440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546D0E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4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546D0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546D0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546D0E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CEF7" w14:textId="77777777" w:rsidR="00546D0E" w:rsidRDefault="00546D0E" w:rsidP="000662E2">
      <w:pPr>
        <w:spacing w:after="0" w:line="240" w:lineRule="auto"/>
      </w:pPr>
      <w:r>
        <w:separator/>
      </w:r>
    </w:p>
  </w:endnote>
  <w:endnote w:type="continuationSeparator" w:id="0">
    <w:p w14:paraId="4F4ABBB2" w14:textId="77777777" w:rsidR="00546D0E" w:rsidRDefault="00546D0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E4439" w14:textId="77777777" w:rsidR="00546D0E" w:rsidRDefault="00546D0E" w:rsidP="000662E2">
      <w:pPr>
        <w:spacing w:after="0" w:line="240" w:lineRule="auto"/>
      </w:pPr>
      <w:r>
        <w:separator/>
      </w:r>
    </w:p>
  </w:footnote>
  <w:footnote w:type="continuationSeparator" w:id="0">
    <w:p w14:paraId="0092B20F" w14:textId="77777777" w:rsidR="00546D0E" w:rsidRDefault="00546D0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0B7AC25C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7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59A497B6" w:rsidR="00112A4D" w:rsidRPr="009F6794" w:rsidRDefault="00F976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C282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C282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1.07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" filled="f" stroked="f">
              <v:textbox>
                <w:txbxContent>
                  <w:p w14:paraId="3F86ADDA" w14:textId="59A497B6" w:rsidR="00112A4D" w:rsidRPr="009F6794" w:rsidRDefault="00F976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C282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C282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.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E3B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65D8"/>
    <w:rsid w:val="0005679D"/>
    <w:rsid w:val="00056AD0"/>
    <w:rsid w:val="0005756D"/>
    <w:rsid w:val="00057CA1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DF2"/>
    <w:rsid w:val="00086360"/>
    <w:rsid w:val="0008647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A95"/>
    <w:rsid w:val="000A2407"/>
    <w:rsid w:val="000A2AC7"/>
    <w:rsid w:val="000A2E83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2DE4"/>
    <w:rsid w:val="000E3893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0E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27A"/>
    <w:rsid w:val="001D59F0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42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39C1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2E5B"/>
    <w:rsid w:val="003E372E"/>
    <w:rsid w:val="003E37F1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5847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4A62"/>
    <w:rsid w:val="00645566"/>
    <w:rsid w:val="00645BF1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6C79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78D0"/>
    <w:rsid w:val="007C0BB2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BC2"/>
    <w:rsid w:val="007D4ACB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1B0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074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8039C"/>
    <w:rsid w:val="00880968"/>
    <w:rsid w:val="00880CDB"/>
    <w:rsid w:val="00880EB4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6283"/>
    <w:rsid w:val="008F634B"/>
    <w:rsid w:val="008F671C"/>
    <w:rsid w:val="008F69EF"/>
    <w:rsid w:val="008F6F31"/>
    <w:rsid w:val="008F74DF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6A"/>
    <w:rsid w:val="009821A0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6665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76E"/>
    <w:rsid w:val="00B8272D"/>
    <w:rsid w:val="00B828BF"/>
    <w:rsid w:val="00B82EEF"/>
    <w:rsid w:val="00B83970"/>
    <w:rsid w:val="00B848C9"/>
    <w:rsid w:val="00B84B92"/>
    <w:rsid w:val="00B85633"/>
    <w:rsid w:val="00B86326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75F"/>
    <w:rsid w:val="00BA2BA1"/>
    <w:rsid w:val="00BA2ECD"/>
    <w:rsid w:val="00BA44CD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0EBE"/>
    <w:rsid w:val="00C022D8"/>
    <w:rsid w:val="00C023D9"/>
    <w:rsid w:val="00C029A9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C0E"/>
    <w:rsid w:val="00C1050A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1E88"/>
    <w:rsid w:val="00C5215C"/>
    <w:rsid w:val="00C529BE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5612"/>
    <w:rsid w:val="00C76ACD"/>
    <w:rsid w:val="00C77469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6C8"/>
    <w:rsid w:val="00C97A04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2AD9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1893"/>
    <w:rsid w:val="00CE2689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07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757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574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6B76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9F6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700,pojecie.html" TargetMode="External"/><Relationship Id="rId39" Type="http://schemas.openxmlformats.org/officeDocument/2006/relationships/hyperlink" Target="http://stat.gov.pl/metainformacje/slownik-pojec/pojecia-stosowane-w-statystyce-publicznej/700,pojecie.html" TargetMode="External"/><Relationship Id="rId21" Type="http://schemas.openxmlformats.org/officeDocument/2006/relationships/hyperlink" Target="https://dbw.stat.gov.pl/dashboard/110" TargetMode="External"/><Relationship Id="rId34" Type="http://schemas.openxmlformats.org/officeDocument/2006/relationships/hyperlink" Target="https://dbw.stat.gov.pl/dashboard/110" TargetMode="External"/><Relationship Id="rId42" Type="http://schemas.openxmlformats.org/officeDocument/2006/relationships/hyperlink" Target="http://stat.gov.pl/metainformacje/slownik-pojec/pojecia-stosowane-w-statystyce-publicznej/1317,pojecie.html" TargetMode="External"/><Relationship Id="rId47" Type="http://schemas.openxmlformats.org/officeDocument/2006/relationships/image" Target="media/image8.png"/><Relationship Id="rId50" Type="http://schemas.openxmlformats.org/officeDocument/2006/relationships/image" Target="media/image11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131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metainformacje/slownik-pojec/pojecia-stosowane-w-statystyce-publicznej/1313,pojecie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metainformacje/slownik-pojec/pojecia-stosowane-w-statystyce-publicznej/707,pojecie.html" TargetMode="External"/><Relationship Id="rId45" Type="http://schemas.openxmlformats.org/officeDocument/2006/relationships/hyperlink" Target="http://stat.gov.pl/metainformacje/slownik-pojec/pojecia-stosowane-w-statystyce-publicznej/1313,pojecie.html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57,pojecie.html" TargetMode="External"/><Relationship Id="rId44" Type="http://schemas.openxmlformats.org/officeDocument/2006/relationships/hyperlink" Target="http://stat.gov.pl/metainformacje/slownik-pojec/pojecia-stosowane-w-statystyce-publicznej/357,pojecie.html" TargetMode="External"/><Relationship Id="rId52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://stat.gov.pl/wskazniki-makroekonomiczne/" TargetMode="External"/><Relationship Id="rId27" Type="http://schemas.openxmlformats.org/officeDocument/2006/relationships/hyperlink" Target="http://stat.gov.pl/metainformacje/slownik-pojec/pojecia-stosowane-w-statystyce-publicznej/707,pojecie.html" TargetMode="External"/><Relationship Id="rId30" Type="http://schemas.openxmlformats.org/officeDocument/2006/relationships/hyperlink" Target="http://stat.gov.pl/metainformacje/slownik-pojec/pojecia-stosowane-w-statystyce-publicznej/1314,pojecie.html" TargetMode="External"/><Relationship Id="rId35" Type="http://schemas.openxmlformats.org/officeDocument/2006/relationships/hyperlink" Target="http://stat.gov.pl/wskazniki-makroekonomiczne/" TargetMode="External"/><Relationship Id="rId43" Type="http://schemas.openxmlformats.org/officeDocument/2006/relationships/hyperlink" Target="http://stat.gov.pl/metainformacje/slownik-pojec/pojecia-stosowane-w-statystyce-publicznej/1314,pojecie.html" TargetMode="External"/><Relationship Id="rId48" Type="http://schemas.openxmlformats.org/officeDocument/2006/relationships/image" Target="media/image9.png"/><Relationship Id="rId8" Type="http://schemas.openxmlformats.org/officeDocument/2006/relationships/footnotes" Target="footnotes.xml"/><Relationship Id="rId51" Type="http://schemas.openxmlformats.org/officeDocument/2006/relationships/image" Target="media/image12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362,pojecie.html" TargetMode="External"/><Relationship Id="rId3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8" Type="http://schemas.openxmlformats.org/officeDocument/2006/relationships/hyperlink" Target="http://stat.gov.pl/metainformacje/slownik-pojec/pojecia-stosowane-w-statystyce-publicznej/362,pojecie.html" TargetMode="External"/><Relationship Id="rId46" Type="http://schemas.openxmlformats.org/officeDocument/2006/relationships/image" Target="media/image7.png"/><Relationship Id="rId2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1" Type="http://schemas.openxmlformats.org/officeDocument/2006/relationships/hyperlink" Target="http://stat.gov.pl/metainformacje/slownik-pojec/pojecia-stosowane-w-statystyce-publicznej/356,pojecie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metainformacje/slownik-pojec/pojecia-stosowane-w-statystyce-publicznej/356,pojecie.html" TargetMode="External"/><Relationship Id="rId36" Type="http://schemas.openxmlformats.org/officeDocument/2006/relationships/hyperlink" Target="http://bdm.stat.gov.pl/" TargetMode="External"/><Relationship Id="rId4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78B58ABA-7D2C-4329-A784-E98F1FF3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907</Words>
  <Characters>5443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2025-07-18T08:11:00Z</cp:lastPrinted>
  <dcterms:created xsi:type="dcterms:W3CDTF">2025-07-17T12:56:00Z</dcterms:created>
  <dcterms:modified xsi:type="dcterms:W3CDTF">2025-07-18T08:11:00Z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