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1214"/>
        <w:gridCol w:w="4990"/>
        <w:gridCol w:w="3543"/>
      </w:tblGrid>
      <w:tr w:rsidR="00010C45" w:rsidRPr="00937AE7" w:rsidTr="00FE0C8C">
        <w:tc>
          <w:tcPr>
            <w:tcW w:w="1214" w:type="dxa"/>
          </w:tcPr>
          <w:p w:rsidR="00010C45" w:rsidRPr="00937AE7" w:rsidRDefault="00010C45" w:rsidP="006843ED">
            <w:pPr>
              <w:spacing w:before="200" w:after="0" w:line="288" w:lineRule="auto"/>
              <w:rPr>
                <w:rFonts w:asciiTheme="minorHAnsi" w:hAnsiTheme="minorHAnsi" w:cstheme="minorHAnsi"/>
                <w:b/>
              </w:rPr>
            </w:pPr>
            <w:r w:rsidRPr="00937AE7">
              <w:rPr>
                <w:rFonts w:asciiTheme="minorHAnsi" w:hAnsiTheme="minorHAnsi" w:cstheme="minorHAnsi"/>
                <w:b/>
                <w:noProof/>
              </w:rPr>
              <w:drawing>
                <wp:inline distT="0" distB="0" distL="0" distR="0" wp14:anchorId="607701CD" wp14:editId="508CFA1A">
                  <wp:extent cx="598805" cy="504190"/>
                  <wp:effectExtent l="0" t="0" r="0" b="0"/>
                  <wp:docPr id="1" name="Obraz 1" descr="G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G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80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0" w:type="dxa"/>
          </w:tcPr>
          <w:p w:rsidR="00010C45" w:rsidRPr="00937AE7" w:rsidRDefault="00010C45" w:rsidP="006843ED">
            <w:pPr>
              <w:spacing w:before="120" w:after="0" w:line="288" w:lineRule="auto"/>
              <w:ind w:left="62"/>
              <w:jc w:val="both"/>
              <w:rPr>
                <w:rFonts w:asciiTheme="minorHAnsi" w:hAnsiTheme="minorHAnsi" w:cstheme="minorHAnsi"/>
                <w:b/>
                <w:sz w:val="32"/>
                <w:szCs w:val="28"/>
              </w:rPr>
            </w:pPr>
            <w:r w:rsidRPr="00937AE7">
              <w:rPr>
                <w:rFonts w:asciiTheme="minorHAnsi" w:hAnsiTheme="minorHAnsi" w:cstheme="minorHAnsi"/>
                <w:b/>
                <w:sz w:val="32"/>
                <w:szCs w:val="28"/>
              </w:rPr>
              <w:t xml:space="preserve">GŁÓWNY URZĄD STATYSTYCZNY </w:t>
            </w:r>
          </w:p>
          <w:p w:rsidR="00010C45" w:rsidRPr="00937AE7" w:rsidRDefault="006843ED" w:rsidP="006843ED">
            <w:pPr>
              <w:spacing w:before="120" w:after="0" w:line="288" w:lineRule="auto"/>
              <w:ind w:left="62"/>
              <w:rPr>
                <w:rFonts w:asciiTheme="minorHAnsi" w:hAnsiTheme="minorHAnsi" w:cstheme="minorHAnsi"/>
                <w:b/>
              </w:rPr>
            </w:pPr>
            <w:r w:rsidRPr="006843ED">
              <w:rPr>
                <w:rFonts w:asciiTheme="minorHAnsi" w:hAnsiTheme="minorHAnsi" w:cstheme="minorHAnsi"/>
                <w:sz w:val="28"/>
                <w:szCs w:val="24"/>
              </w:rPr>
              <w:t xml:space="preserve">Opracowanie sygnalne </w:t>
            </w:r>
          </w:p>
        </w:tc>
        <w:tc>
          <w:tcPr>
            <w:tcW w:w="3543" w:type="dxa"/>
          </w:tcPr>
          <w:p w:rsidR="00010C45" w:rsidRPr="006843ED" w:rsidRDefault="00010C45" w:rsidP="00863CEA">
            <w:pPr>
              <w:spacing w:before="120" w:after="0" w:line="288" w:lineRule="auto"/>
              <w:ind w:left="-125"/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6843ED">
              <w:rPr>
                <w:rFonts w:asciiTheme="minorHAnsi" w:hAnsiTheme="minorHAnsi" w:cstheme="minorHAnsi"/>
                <w:sz w:val="24"/>
                <w:szCs w:val="24"/>
              </w:rPr>
              <w:t xml:space="preserve">Warszawa, </w:t>
            </w:r>
            <w:r w:rsidR="00863CEA">
              <w:rPr>
                <w:rFonts w:asciiTheme="minorHAnsi" w:hAnsiTheme="minorHAnsi" w:cstheme="minorHAnsi"/>
                <w:sz w:val="24"/>
                <w:szCs w:val="24"/>
              </w:rPr>
              <w:t>19</w:t>
            </w:r>
            <w:r w:rsidR="006843ED" w:rsidRPr="006843ED">
              <w:rPr>
                <w:rFonts w:asciiTheme="minorHAnsi" w:hAnsiTheme="minorHAnsi" w:cstheme="minorHAnsi"/>
                <w:sz w:val="24"/>
                <w:szCs w:val="24"/>
              </w:rPr>
              <w:t>.0</w:t>
            </w:r>
            <w:r w:rsidR="00863CEA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22473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DD3E5D">
              <w:rPr>
                <w:rFonts w:asciiTheme="minorHAnsi" w:hAnsiTheme="minorHAnsi" w:cstheme="minorHAnsi"/>
                <w:sz w:val="24"/>
                <w:szCs w:val="24"/>
              </w:rPr>
              <w:t>2016</w:t>
            </w:r>
          </w:p>
        </w:tc>
      </w:tr>
    </w:tbl>
    <w:p w:rsidR="006843ED" w:rsidRDefault="006843ED" w:rsidP="00710E85">
      <w:pPr>
        <w:spacing w:after="0" w:line="288" w:lineRule="auto"/>
        <w:ind w:left="142" w:right="96"/>
        <w:jc w:val="center"/>
        <w:rPr>
          <w:rFonts w:asciiTheme="minorHAnsi" w:hAnsiTheme="minorHAnsi" w:cstheme="minorHAnsi"/>
          <w:b/>
          <w:sz w:val="28"/>
          <w:szCs w:val="24"/>
        </w:rPr>
      </w:pPr>
    </w:p>
    <w:p w:rsidR="00246A1D" w:rsidRDefault="00246A1D" w:rsidP="00710E85">
      <w:pPr>
        <w:spacing w:after="0" w:line="288" w:lineRule="auto"/>
        <w:ind w:left="142" w:right="96"/>
        <w:jc w:val="center"/>
        <w:rPr>
          <w:rFonts w:asciiTheme="minorHAnsi" w:hAnsiTheme="minorHAnsi" w:cstheme="minorHAnsi"/>
          <w:b/>
          <w:sz w:val="28"/>
          <w:szCs w:val="24"/>
        </w:rPr>
      </w:pPr>
    </w:p>
    <w:p w:rsidR="003E3E24" w:rsidRPr="003E3E24" w:rsidRDefault="003E3E24" w:rsidP="003E3E24">
      <w:pPr>
        <w:spacing w:after="0" w:line="240" w:lineRule="auto"/>
        <w:jc w:val="center"/>
        <w:rPr>
          <w:rFonts w:ascii="Arial" w:eastAsiaTheme="minorEastAsia" w:hAnsi="Arial" w:cstheme="minorBidi"/>
          <w:b/>
          <w:sz w:val="32"/>
        </w:rPr>
      </w:pPr>
      <w:r w:rsidRPr="003E3E24">
        <w:rPr>
          <w:rFonts w:ascii="Arial" w:eastAsiaTheme="minorEastAsia" w:hAnsi="Arial" w:cstheme="minorBidi"/>
          <w:b/>
          <w:sz w:val="32"/>
        </w:rPr>
        <w:t xml:space="preserve">Wskaźniki cen produkcji sprzedanej przemysłu </w:t>
      </w:r>
    </w:p>
    <w:p w:rsidR="003E3E24" w:rsidRPr="003E3E24" w:rsidRDefault="003E3E24" w:rsidP="003E3E24">
      <w:pPr>
        <w:spacing w:after="0" w:line="240" w:lineRule="auto"/>
        <w:jc w:val="center"/>
        <w:rPr>
          <w:rFonts w:ascii="Arial" w:eastAsiaTheme="minorEastAsia" w:hAnsi="Arial" w:cstheme="minorBidi"/>
          <w:b/>
          <w:sz w:val="32"/>
        </w:rPr>
      </w:pPr>
      <w:r w:rsidRPr="003E3E24">
        <w:rPr>
          <w:rFonts w:ascii="Arial" w:eastAsiaTheme="minorEastAsia" w:hAnsi="Arial" w:cstheme="minorBidi"/>
          <w:b/>
          <w:sz w:val="32"/>
        </w:rPr>
        <w:t xml:space="preserve">oraz produkcji budowlano-montażowej </w:t>
      </w:r>
    </w:p>
    <w:p w:rsidR="003E3E24" w:rsidRDefault="003E3E24" w:rsidP="003E3E24">
      <w:pPr>
        <w:spacing w:after="240" w:line="240" w:lineRule="auto"/>
        <w:jc w:val="center"/>
        <w:rPr>
          <w:rFonts w:ascii="Arial" w:eastAsiaTheme="minorEastAsia" w:hAnsi="Arial" w:cstheme="minorBidi"/>
          <w:b/>
          <w:sz w:val="32"/>
        </w:rPr>
      </w:pPr>
      <w:r w:rsidRPr="003E3E24">
        <w:rPr>
          <w:rFonts w:ascii="Arial" w:eastAsiaTheme="minorEastAsia" w:hAnsi="Arial" w:cstheme="minorBidi"/>
          <w:b/>
          <w:sz w:val="32"/>
        </w:rPr>
        <w:t xml:space="preserve">w </w:t>
      </w:r>
      <w:r w:rsidR="00DE4168">
        <w:rPr>
          <w:rFonts w:ascii="Arial" w:eastAsiaTheme="minorEastAsia" w:hAnsi="Arial" w:cstheme="minorBidi"/>
          <w:b/>
          <w:sz w:val="32"/>
        </w:rPr>
        <w:t xml:space="preserve">sierpniu </w:t>
      </w:r>
      <w:r w:rsidR="00EC2631">
        <w:rPr>
          <w:rFonts w:ascii="Arial" w:eastAsiaTheme="minorEastAsia" w:hAnsi="Arial" w:cstheme="minorBidi"/>
          <w:b/>
          <w:sz w:val="32"/>
        </w:rPr>
        <w:t>2016</w:t>
      </w:r>
      <w:r w:rsidRPr="003E3E24">
        <w:rPr>
          <w:rFonts w:ascii="Arial" w:eastAsiaTheme="minorEastAsia" w:hAnsi="Arial" w:cstheme="minorBidi"/>
          <w:b/>
          <w:sz w:val="32"/>
        </w:rPr>
        <w:t xml:space="preserve"> r.</w:t>
      </w:r>
    </w:p>
    <w:p w:rsidR="008C2E78" w:rsidRPr="003E3E24" w:rsidRDefault="008C2E78" w:rsidP="001F0AB9">
      <w:pPr>
        <w:spacing w:after="0" w:line="240" w:lineRule="auto"/>
        <w:jc w:val="center"/>
        <w:rPr>
          <w:rFonts w:ascii="Arial" w:eastAsiaTheme="minorEastAsia" w:hAnsi="Arial" w:cstheme="minorBidi"/>
          <w:b/>
          <w:sz w:val="28"/>
          <w:szCs w:val="28"/>
        </w:rPr>
      </w:pPr>
    </w:p>
    <w:p w:rsidR="001A04F4" w:rsidRPr="001A04F4" w:rsidRDefault="00556BEC" w:rsidP="001A04F4">
      <w:pPr>
        <w:spacing w:line="410" w:lineRule="exact"/>
        <w:ind w:firstLine="709"/>
        <w:jc w:val="both"/>
        <w:rPr>
          <w:rFonts w:ascii="Arial" w:hAnsi="Arial"/>
          <w:sz w:val="24"/>
        </w:rPr>
      </w:pPr>
      <w:r w:rsidRPr="003E3E24">
        <w:rPr>
          <w:rFonts w:ascii="Arial" w:eastAsiaTheme="minorEastAsia" w:hAnsi="Arial" w:cstheme="minorBidi"/>
          <w:sz w:val="24"/>
        </w:rPr>
        <w:t>Według wstępnych danych</w:t>
      </w:r>
      <w:r>
        <w:rPr>
          <w:rFonts w:ascii="Arial" w:eastAsiaTheme="minorEastAsia" w:hAnsi="Arial" w:cstheme="minorBidi"/>
          <w:sz w:val="24"/>
        </w:rPr>
        <w:t xml:space="preserve"> w </w:t>
      </w:r>
      <w:r w:rsidR="00DA4C6B">
        <w:rPr>
          <w:rFonts w:ascii="Arial" w:eastAsiaTheme="minorEastAsia" w:hAnsi="Arial" w:cstheme="minorBidi"/>
          <w:sz w:val="24"/>
        </w:rPr>
        <w:t>sierpniu</w:t>
      </w:r>
      <w:r>
        <w:rPr>
          <w:rFonts w:ascii="Arial" w:eastAsiaTheme="minorEastAsia" w:hAnsi="Arial" w:cstheme="minorBidi"/>
          <w:sz w:val="24"/>
        </w:rPr>
        <w:t xml:space="preserve"> 2016 r.</w:t>
      </w:r>
      <w:r w:rsidR="000109D7">
        <w:rPr>
          <w:rFonts w:ascii="Arial" w:eastAsiaTheme="minorEastAsia" w:hAnsi="Arial" w:cstheme="minorBidi"/>
          <w:sz w:val="24"/>
        </w:rPr>
        <w:t xml:space="preserve"> </w:t>
      </w:r>
      <w:r w:rsidR="00DA4C6B" w:rsidRPr="002D607B">
        <w:rPr>
          <w:rFonts w:ascii="Arial" w:eastAsiaTheme="minorEastAsia" w:hAnsi="Arial" w:cstheme="minorBidi"/>
          <w:sz w:val="24"/>
        </w:rPr>
        <w:t>ceny produkcji sprzedanej przemysłu</w:t>
      </w:r>
      <w:r w:rsidR="00DA4C6B">
        <w:rPr>
          <w:rFonts w:ascii="Arial" w:eastAsiaTheme="minorEastAsia" w:hAnsi="Arial" w:cstheme="minorBidi"/>
          <w:sz w:val="24"/>
        </w:rPr>
        <w:t xml:space="preserve"> były niższe o 0,1% w porównaniu z sierpniem 2015 r. Spadek cen odnotowano również w </w:t>
      </w:r>
      <w:r w:rsidR="00DA4C6B" w:rsidRPr="002D607B">
        <w:rPr>
          <w:rFonts w:ascii="Arial" w:hAnsi="Arial"/>
          <w:sz w:val="24"/>
        </w:rPr>
        <w:t>produkcji budowlano-montażowej</w:t>
      </w:r>
      <w:r w:rsidR="00DA4C6B">
        <w:rPr>
          <w:rFonts w:ascii="Arial" w:hAnsi="Arial"/>
          <w:sz w:val="24"/>
        </w:rPr>
        <w:t xml:space="preserve"> - o 0,2%.</w:t>
      </w:r>
      <w:r w:rsidR="00DA4C6B">
        <w:rPr>
          <w:rFonts w:ascii="Arial" w:eastAsiaTheme="minorEastAsia" w:hAnsi="Arial" w:cstheme="minorBidi"/>
          <w:sz w:val="24"/>
        </w:rPr>
        <w:t xml:space="preserve"> </w:t>
      </w:r>
      <w:r w:rsidR="00691E3C">
        <w:rPr>
          <w:rFonts w:ascii="Arial" w:hAnsi="Arial"/>
          <w:sz w:val="24"/>
        </w:rPr>
        <w:t>W okresie styczeń–</w:t>
      </w:r>
      <w:r w:rsidR="00DA4C6B">
        <w:rPr>
          <w:rFonts w:ascii="Arial" w:hAnsi="Arial"/>
          <w:sz w:val="24"/>
        </w:rPr>
        <w:t xml:space="preserve">sierpień </w:t>
      </w:r>
      <w:r w:rsidR="00691E3C">
        <w:rPr>
          <w:rFonts w:ascii="Arial" w:hAnsi="Arial"/>
          <w:sz w:val="24"/>
        </w:rPr>
        <w:t>201</w:t>
      </w:r>
      <w:r w:rsidR="000D78F1">
        <w:rPr>
          <w:rFonts w:ascii="Arial" w:hAnsi="Arial"/>
          <w:sz w:val="24"/>
        </w:rPr>
        <w:t>6</w:t>
      </w:r>
      <w:r w:rsidR="00691E3C">
        <w:rPr>
          <w:rFonts w:ascii="Arial" w:hAnsi="Arial"/>
          <w:sz w:val="24"/>
        </w:rPr>
        <w:t xml:space="preserve"> r. ceny produkcji</w:t>
      </w:r>
      <w:r w:rsidR="002F6634">
        <w:rPr>
          <w:rFonts w:ascii="Arial" w:hAnsi="Arial"/>
          <w:sz w:val="24"/>
        </w:rPr>
        <w:t xml:space="preserve"> sprzedanej przemysłu były o</w:t>
      </w:r>
      <w:r w:rsidR="00DA4C6B">
        <w:rPr>
          <w:rFonts w:ascii="Arial" w:hAnsi="Arial"/>
          <w:sz w:val="24"/>
        </w:rPr>
        <w:t xml:space="preserve"> 0,9</w:t>
      </w:r>
      <w:r w:rsidR="00691E3C">
        <w:rPr>
          <w:rFonts w:ascii="Arial" w:hAnsi="Arial"/>
          <w:sz w:val="24"/>
        </w:rPr>
        <w:t>% niższe w</w:t>
      </w:r>
      <w:r w:rsidR="001126D7">
        <w:rPr>
          <w:rFonts w:ascii="Arial" w:hAnsi="Arial"/>
          <w:sz w:val="24"/>
        </w:rPr>
        <w:t xml:space="preserve"> </w:t>
      </w:r>
      <w:r w:rsidR="00691E3C">
        <w:rPr>
          <w:rFonts w:ascii="Arial" w:hAnsi="Arial"/>
          <w:sz w:val="24"/>
        </w:rPr>
        <w:t xml:space="preserve">porównaniu z analogicznym </w:t>
      </w:r>
      <w:r w:rsidR="008D1F92">
        <w:rPr>
          <w:rFonts w:ascii="Arial" w:hAnsi="Arial"/>
          <w:sz w:val="24"/>
        </w:rPr>
        <w:t>okresem 2015</w:t>
      </w:r>
      <w:r w:rsidR="00691E3C">
        <w:rPr>
          <w:rFonts w:ascii="Arial" w:hAnsi="Arial"/>
          <w:sz w:val="24"/>
        </w:rPr>
        <w:t xml:space="preserve"> r.</w:t>
      </w:r>
      <w:r w:rsidR="00161520">
        <w:rPr>
          <w:rFonts w:ascii="Arial" w:hAnsi="Arial"/>
          <w:sz w:val="24"/>
        </w:rPr>
        <w:t xml:space="preserve"> (kiedy </w:t>
      </w:r>
      <w:r w:rsidR="002B2AE6">
        <w:rPr>
          <w:rFonts w:ascii="Arial" w:hAnsi="Arial"/>
          <w:sz w:val="24"/>
        </w:rPr>
        <w:t xml:space="preserve">również </w:t>
      </w:r>
      <w:r w:rsidR="00161520">
        <w:rPr>
          <w:rFonts w:ascii="Arial" w:hAnsi="Arial"/>
          <w:sz w:val="24"/>
        </w:rPr>
        <w:t xml:space="preserve">notowano spadek </w:t>
      </w:r>
      <w:r w:rsidR="002B2AE6">
        <w:rPr>
          <w:rFonts w:ascii="Arial" w:hAnsi="Arial"/>
          <w:sz w:val="24"/>
        </w:rPr>
        <w:t xml:space="preserve">- </w:t>
      </w:r>
      <w:r w:rsidR="008D1F92">
        <w:rPr>
          <w:rFonts w:ascii="Arial" w:hAnsi="Arial"/>
          <w:sz w:val="24"/>
        </w:rPr>
        <w:t>o 2,</w:t>
      </w:r>
      <w:r w:rsidR="002E53BB">
        <w:rPr>
          <w:rFonts w:ascii="Arial" w:hAnsi="Arial"/>
          <w:sz w:val="24"/>
        </w:rPr>
        <w:t>3</w:t>
      </w:r>
      <w:r w:rsidR="00161520">
        <w:rPr>
          <w:rFonts w:ascii="Arial" w:hAnsi="Arial"/>
          <w:sz w:val="24"/>
        </w:rPr>
        <w:t>%)</w:t>
      </w:r>
      <w:r w:rsidR="00691E3C">
        <w:rPr>
          <w:rFonts w:ascii="Arial" w:hAnsi="Arial"/>
          <w:sz w:val="24"/>
        </w:rPr>
        <w:t>, a ceny produk</w:t>
      </w:r>
      <w:r w:rsidR="003C6B0C">
        <w:rPr>
          <w:rFonts w:ascii="Arial" w:hAnsi="Arial"/>
          <w:sz w:val="24"/>
        </w:rPr>
        <w:t xml:space="preserve">cji budowlano-montażowej niższe </w:t>
      </w:r>
      <w:r w:rsidR="008D7C80">
        <w:rPr>
          <w:rFonts w:ascii="Arial" w:hAnsi="Arial"/>
          <w:sz w:val="24"/>
        </w:rPr>
        <w:t>o 0,6</w:t>
      </w:r>
      <w:r w:rsidR="00691E3C">
        <w:rPr>
          <w:rFonts w:ascii="Arial" w:hAnsi="Arial"/>
          <w:sz w:val="24"/>
        </w:rPr>
        <w:t>%</w:t>
      </w:r>
      <w:r w:rsidR="00161520">
        <w:rPr>
          <w:rFonts w:ascii="Arial" w:hAnsi="Arial"/>
          <w:sz w:val="24"/>
        </w:rPr>
        <w:t xml:space="preserve"> (spadek w ub. roku</w:t>
      </w:r>
      <w:r w:rsidR="002B2AE6">
        <w:rPr>
          <w:rFonts w:ascii="Arial" w:hAnsi="Arial"/>
          <w:sz w:val="24"/>
        </w:rPr>
        <w:t xml:space="preserve"> -</w:t>
      </w:r>
      <w:r w:rsidR="00564FFB">
        <w:rPr>
          <w:rFonts w:ascii="Arial" w:hAnsi="Arial"/>
          <w:sz w:val="24"/>
        </w:rPr>
        <w:t xml:space="preserve"> o </w:t>
      </w:r>
      <w:r w:rsidR="00BA22A3" w:rsidRPr="00244348">
        <w:rPr>
          <w:rFonts w:ascii="Arial" w:hAnsi="Arial"/>
          <w:sz w:val="24"/>
        </w:rPr>
        <w:t>0,4</w:t>
      </w:r>
      <w:r w:rsidR="00161520">
        <w:rPr>
          <w:rFonts w:ascii="Arial" w:hAnsi="Arial"/>
          <w:sz w:val="24"/>
        </w:rPr>
        <w:t>%)</w:t>
      </w:r>
      <w:r w:rsidR="00691E3C">
        <w:rPr>
          <w:rFonts w:ascii="Arial" w:hAnsi="Arial"/>
          <w:sz w:val="24"/>
        </w:rPr>
        <w:t>.</w:t>
      </w:r>
    </w:p>
    <w:tbl>
      <w:tblPr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2"/>
        <w:gridCol w:w="1015"/>
        <w:gridCol w:w="1015"/>
        <w:gridCol w:w="1016"/>
        <w:gridCol w:w="1016"/>
        <w:gridCol w:w="1016"/>
        <w:gridCol w:w="1016"/>
      </w:tblGrid>
      <w:tr w:rsidR="001764AE" w:rsidTr="001764AE">
        <w:trPr>
          <w:trHeight w:val="412"/>
        </w:trPr>
        <w:tc>
          <w:tcPr>
            <w:tcW w:w="3672" w:type="dxa"/>
            <w:vMerge w:val="restart"/>
            <w:vAlign w:val="center"/>
          </w:tcPr>
          <w:p w:rsidR="001764AE" w:rsidRPr="007920F0" w:rsidRDefault="001764AE" w:rsidP="001764AE">
            <w:pPr>
              <w:tabs>
                <w:tab w:val="left" w:leader="dot" w:pos="3402"/>
              </w:tabs>
              <w:spacing w:after="0" w:line="240" w:lineRule="auto"/>
              <w:jc w:val="center"/>
              <w:rPr>
                <w:rFonts w:ascii="Arial" w:hAnsi="Arial"/>
                <w:b/>
                <w:i/>
                <w:iCs/>
                <w:sz w:val="20"/>
                <w:szCs w:val="20"/>
              </w:rPr>
            </w:pPr>
            <w:r w:rsidRPr="001E0387">
              <w:rPr>
                <w:rFonts w:ascii="Arial" w:hAnsi="Arial"/>
                <w:b/>
                <w:spacing w:val="-2"/>
              </w:rPr>
              <w:t>Wyszczególnienie</w:t>
            </w:r>
          </w:p>
        </w:tc>
        <w:tc>
          <w:tcPr>
            <w:tcW w:w="2030" w:type="dxa"/>
            <w:gridSpan w:val="2"/>
          </w:tcPr>
          <w:p w:rsidR="001764AE" w:rsidRPr="007920F0" w:rsidRDefault="007B421B" w:rsidP="001764AE">
            <w:pPr>
              <w:pStyle w:val="Nagwek7"/>
              <w:keepNext/>
              <w:overflowPunct/>
              <w:autoSpaceDE/>
              <w:autoSpaceDN/>
              <w:adjustRightInd/>
              <w:spacing w:before="120" w:after="120" w:line="240" w:lineRule="auto"/>
              <w:jc w:val="center"/>
              <w:textAlignment w:val="auto"/>
              <w:rPr>
                <w:rFonts w:ascii="Arial" w:hAnsi="Arial"/>
                <w:b/>
                <w:sz w:val="19"/>
                <w:szCs w:val="20"/>
              </w:rPr>
            </w:pPr>
            <w:r>
              <w:rPr>
                <w:rFonts w:ascii="Arial" w:hAnsi="Arial"/>
                <w:b/>
                <w:sz w:val="19"/>
                <w:szCs w:val="20"/>
              </w:rPr>
              <w:t>V</w:t>
            </w:r>
            <w:r w:rsidR="00C112F6">
              <w:rPr>
                <w:rFonts w:ascii="Arial" w:hAnsi="Arial"/>
                <w:b/>
                <w:sz w:val="19"/>
                <w:szCs w:val="20"/>
              </w:rPr>
              <w:t>I</w:t>
            </w:r>
            <w:r w:rsidR="00974F7C">
              <w:rPr>
                <w:rFonts w:ascii="Arial" w:hAnsi="Arial"/>
                <w:b/>
                <w:sz w:val="19"/>
                <w:szCs w:val="20"/>
              </w:rPr>
              <w:t>I</w:t>
            </w:r>
            <w:r w:rsidR="001764AE" w:rsidRPr="007920F0">
              <w:rPr>
                <w:rFonts w:ascii="Arial" w:hAnsi="Arial"/>
                <w:b/>
                <w:sz w:val="19"/>
                <w:szCs w:val="20"/>
              </w:rPr>
              <w:t xml:space="preserve"> 201</w:t>
            </w:r>
            <w:r w:rsidR="00275759">
              <w:rPr>
                <w:rFonts w:ascii="Arial" w:hAnsi="Arial"/>
                <w:b/>
                <w:sz w:val="19"/>
                <w:szCs w:val="20"/>
              </w:rPr>
              <w:t>6</w:t>
            </w:r>
          </w:p>
        </w:tc>
        <w:tc>
          <w:tcPr>
            <w:tcW w:w="3048" w:type="dxa"/>
            <w:gridSpan w:val="3"/>
          </w:tcPr>
          <w:p w:rsidR="001764AE" w:rsidRPr="007920F0" w:rsidRDefault="001764AE" w:rsidP="00275759">
            <w:pPr>
              <w:pStyle w:val="Nagwek7"/>
              <w:keepNext/>
              <w:overflowPunct/>
              <w:autoSpaceDE/>
              <w:autoSpaceDN/>
              <w:adjustRightInd/>
              <w:spacing w:before="120" w:after="120" w:line="240" w:lineRule="auto"/>
              <w:jc w:val="center"/>
              <w:textAlignment w:val="auto"/>
              <w:rPr>
                <w:rFonts w:ascii="Arial" w:hAnsi="Arial"/>
                <w:b/>
                <w:sz w:val="19"/>
                <w:szCs w:val="20"/>
              </w:rPr>
            </w:pPr>
            <w:r>
              <w:rPr>
                <w:rFonts w:ascii="Arial" w:hAnsi="Arial"/>
                <w:b/>
                <w:sz w:val="19"/>
                <w:szCs w:val="20"/>
              </w:rPr>
              <w:t>V</w:t>
            </w:r>
            <w:r w:rsidR="00C112F6">
              <w:rPr>
                <w:rFonts w:ascii="Arial" w:hAnsi="Arial"/>
                <w:b/>
                <w:sz w:val="19"/>
                <w:szCs w:val="20"/>
              </w:rPr>
              <w:t>I</w:t>
            </w:r>
            <w:r w:rsidR="00974F7C">
              <w:rPr>
                <w:rFonts w:ascii="Arial" w:hAnsi="Arial"/>
                <w:b/>
                <w:sz w:val="19"/>
                <w:szCs w:val="20"/>
              </w:rPr>
              <w:t>I</w:t>
            </w:r>
            <w:r w:rsidR="00224733">
              <w:rPr>
                <w:rFonts w:ascii="Arial" w:hAnsi="Arial"/>
                <w:b/>
                <w:sz w:val="19"/>
                <w:szCs w:val="20"/>
              </w:rPr>
              <w:t>I</w:t>
            </w:r>
            <w:r w:rsidRPr="007920F0">
              <w:rPr>
                <w:rFonts w:ascii="Arial" w:hAnsi="Arial"/>
                <w:b/>
                <w:sz w:val="19"/>
                <w:szCs w:val="20"/>
              </w:rPr>
              <w:t xml:space="preserve"> 201</w:t>
            </w:r>
            <w:r w:rsidR="00275759">
              <w:rPr>
                <w:rFonts w:ascii="Arial" w:hAnsi="Arial"/>
                <w:b/>
                <w:sz w:val="19"/>
                <w:szCs w:val="20"/>
              </w:rPr>
              <w:t>6</w:t>
            </w:r>
          </w:p>
        </w:tc>
        <w:tc>
          <w:tcPr>
            <w:tcW w:w="1016" w:type="dxa"/>
          </w:tcPr>
          <w:p w:rsidR="001764AE" w:rsidRPr="007920F0" w:rsidRDefault="007B421B" w:rsidP="00275759">
            <w:pPr>
              <w:pStyle w:val="Nagwek7"/>
              <w:keepNext/>
              <w:overflowPunct/>
              <w:autoSpaceDE/>
              <w:autoSpaceDN/>
              <w:adjustRightInd/>
              <w:spacing w:before="120" w:after="120" w:line="240" w:lineRule="auto"/>
              <w:jc w:val="center"/>
              <w:textAlignment w:val="auto"/>
              <w:rPr>
                <w:rFonts w:ascii="Arial" w:hAnsi="Arial"/>
                <w:b/>
                <w:sz w:val="19"/>
                <w:szCs w:val="20"/>
              </w:rPr>
            </w:pPr>
            <w:r>
              <w:rPr>
                <w:rFonts w:ascii="Arial" w:hAnsi="Arial"/>
                <w:b/>
                <w:sz w:val="19"/>
                <w:szCs w:val="20"/>
              </w:rPr>
              <w:t>I-</w:t>
            </w:r>
            <w:r w:rsidR="001764AE">
              <w:rPr>
                <w:rFonts w:ascii="Arial" w:hAnsi="Arial"/>
                <w:b/>
                <w:sz w:val="19"/>
                <w:szCs w:val="20"/>
              </w:rPr>
              <w:t>V</w:t>
            </w:r>
            <w:r w:rsidR="00C112F6">
              <w:rPr>
                <w:rFonts w:ascii="Arial" w:hAnsi="Arial"/>
                <w:b/>
                <w:sz w:val="19"/>
                <w:szCs w:val="20"/>
              </w:rPr>
              <w:t>I</w:t>
            </w:r>
            <w:r w:rsidR="00224733">
              <w:rPr>
                <w:rFonts w:ascii="Arial" w:hAnsi="Arial"/>
                <w:b/>
                <w:sz w:val="19"/>
                <w:szCs w:val="20"/>
              </w:rPr>
              <w:t>I</w:t>
            </w:r>
            <w:r w:rsidR="00974F7C">
              <w:rPr>
                <w:rFonts w:ascii="Arial" w:hAnsi="Arial"/>
                <w:b/>
                <w:sz w:val="19"/>
                <w:szCs w:val="20"/>
              </w:rPr>
              <w:t>I</w:t>
            </w:r>
            <w:r w:rsidR="001764AE" w:rsidRPr="007920F0">
              <w:rPr>
                <w:rFonts w:ascii="Arial" w:hAnsi="Arial"/>
                <w:b/>
                <w:sz w:val="19"/>
                <w:szCs w:val="20"/>
              </w:rPr>
              <w:t xml:space="preserve"> 201</w:t>
            </w:r>
            <w:r w:rsidR="00275759">
              <w:rPr>
                <w:rFonts w:ascii="Arial" w:hAnsi="Arial"/>
                <w:b/>
                <w:sz w:val="19"/>
                <w:szCs w:val="20"/>
              </w:rPr>
              <w:t>6</w:t>
            </w:r>
          </w:p>
        </w:tc>
      </w:tr>
      <w:tr w:rsidR="001764AE" w:rsidTr="001764AE">
        <w:trPr>
          <w:trHeight w:val="412"/>
        </w:trPr>
        <w:tc>
          <w:tcPr>
            <w:tcW w:w="3672" w:type="dxa"/>
            <w:vMerge/>
          </w:tcPr>
          <w:p w:rsidR="001764AE" w:rsidRDefault="001764AE" w:rsidP="001764AE"/>
        </w:tc>
        <w:tc>
          <w:tcPr>
            <w:tcW w:w="1015" w:type="dxa"/>
          </w:tcPr>
          <w:p w:rsidR="001764AE" w:rsidRPr="00336D24" w:rsidRDefault="00224733" w:rsidP="00275759">
            <w:pPr>
              <w:spacing w:before="120" w:after="120" w:line="240" w:lineRule="auto"/>
              <w:ind w:left="-57" w:right="-57"/>
              <w:jc w:val="center"/>
              <w:rPr>
                <w:rFonts w:ascii="Arial" w:hAnsi="Arial"/>
                <w:b/>
                <w:spacing w:val="-4"/>
                <w:sz w:val="19"/>
              </w:rPr>
            </w:pPr>
            <w:r>
              <w:rPr>
                <w:rFonts w:ascii="Arial" w:hAnsi="Arial"/>
                <w:b/>
                <w:spacing w:val="-4"/>
                <w:sz w:val="19"/>
              </w:rPr>
              <w:t>V</w:t>
            </w:r>
            <w:r w:rsidR="00C112F6">
              <w:rPr>
                <w:rFonts w:ascii="Arial" w:hAnsi="Arial"/>
                <w:b/>
                <w:spacing w:val="-4"/>
                <w:sz w:val="19"/>
              </w:rPr>
              <w:t>I</w:t>
            </w:r>
            <w:r w:rsidR="001764AE">
              <w:rPr>
                <w:rFonts w:ascii="Arial" w:hAnsi="Arial"/>
                <w:b/>
                <w:spacing w:val="-4"/>
                <w:sz w:val="19"/>
              </w:rPr>
              <w:t xml:space="preserve"> 201</w:t>
            </w:r>
            <w:r w:rsidR="00275759">
              <w:rPr>
                <w:rFonts w:ascii="Arial" w:hAnsi="Arial"/>
                <w:b/>
                <w:spacing w:val="-4"/>
                <w:sz w:val="19"/>
              </w:rPr>
              <w:t>6</w:t>
            </w:r>
            <w:r w:rsidR="001764AE" w:rsidRPr="00336D24">
              <w:rPr>
                <w:rFonts w:ascii="Arial" w:hAnsi="Arial"/>
                <w:b/>
                <w:spacing w:val="-4"/>
                <w:sz w:val="19"/>
              </w:rPr>
              <w:t>= =100</w:t>
            </w:r>
          </w:p>
        </w:tc>
        <w:tc>
          <w:tcPr>
            <w:tcW w:w="2031" w:type="dxa"/>
            <w:gridSpan w:val="2"/>
          </w:tcPr>
          <w:p w:rsidR="001764AE" w:rsidRPr="007920F0" w:rsidRDefault="001764AE" w:rsidP="00275759">
            <w:pPr>
              <w:spacing w:before="120" w:after="120" w:line="240" w:lineRule="auto"/>
              <w:ind w:left="-57" w:right="-57"/>
              <w:jc w:val="center"/>
              <w:rPr>
                <w:rFonts w:ascii="Arial" w:hAnsi="Arial"/>
                <w:b/>
                <w:sz w:val="19"/>
              </w:rPr>
            </w:pPr>
            <w:r w:rsidRPr="00336D24">
              <w:rPr>
                <w:rFonts w:ascii="Arial" w:hAnsi="Arial"/>
                <w:b/>
                <w:sz w:val="19"/>
              </w:rPr>
              <w:t>analogiczny okres 201</w:t>
            </w:r>
            <w:r w:rsidR="00275759">
              <w:rPr>
                <w:rFonts w:ascii="Arial" w:hAnsi="Arial"/>
                <w:b/>
                <w:sz w:val="19"/>
              </w:rPr>
              <w:t>5</w:t>
            </w:r>
            <w:r w:rsidRPr="00336D24">
              <w:rPr>
                <w:rFonts w:ascii="Arial" w:hAnsi="Arial"/>
                <w:b/>
                <w:sz w:val="19"/>
              </w:rPr>
              <w:t>=100</w:t>
            </w:r>
          </w:p>
        </w:tc>
        <w:tc>
          <w:tcPr>
            <w:tcW w:w="1016" w:type="dxa"/>
          </w:tcPr>
          <w:p w:rsidR="001764AE" w:rsidRPr="007920F0" w:rsidRDefault="007B421B" w:rsidP="00275759">
            <w:pPr>
              <w:spacing w:before="120" w:after="120" w:line="240" w:lineRule="auto"/>
              <w:ind w:left="-57" w:right="-57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V</w:t>
            </w:r>
            <w:r w:rsidR="00C112F6">
              <w:rPr>
                <w:rFonts w:ascii="Arial" w:hAnsi="Arial"/>
                <w:b/>
                <w:sz w:val="19"/>
              </w:rPr>
              <w:t>I</w:t>
            </w:r>
            <w:r w:rsidR="00974F7C">
              <w:rPr>
                <w:rFonts w:ascii="Arial" w:hAnsi="Arial"/>
                <w:b/>
                <w:sz w:val="19"/>
              </w:rPr>
              <w:t>I</w:t>
            </w:r>
            <w:r w:rsidR="001764AE" w:rsidRPr="007920F0">
              <w:rPr>
                <w:rFonts w:ascii="Arial" w:hAnsi="Arial"/>
                <w:b/>
                <w:sz w:val="19"/>
              </w:rPr>
              <w:t xml:space="preserve"> 201</w:t>
            </w:r>
            <w:r w:rsidR="00275759">
              <w:rPr>
                <w:rFonts w:ascii="Arial" w:hAnsi="Arial"/>
                <w:b/>
                <w:sz w:val="19"/>
              </w:rPr>
              <w:t>6</w:t>
            </w:r>
            <w:r w:rsidR="001764AE" w:rsidRPr="007920F0">
              <w:rPr>
                <w:rFonts w:ascii="Arial" w:hAnsi="Arial"/>
                <w:b/>
                <w:sz w:val="19"/>
              </w:rPr>
              <w:t xml:space="preserve">= </w:t>
            </w:r>
            <w:r w:rsidR="001764AE" w:rsidRPr="007920F0">
              <w:rPr>
                <w:rFonts w:ascii="Arial" w:hAnsi="Arial"/>
                <w:b/>
                <w:sz w:val="19"/>
              </w:rPr>
              <w:br/>
              <w:t>=100</w:t>
            </w:r>
          </w:p>
        </w:tc>
        <w:tc>
          <w:tcPr>
            <w:tcW w:w="1016" w:type="dxa"/>
          </w:tcPr>
          <w:p w:rsidR="001764AE" w:rsidRPr="007920F0" w:rsidRDefault="001764AE" w:rsidP="00275759">
            <w:pPr>
              <w:spacing w:before="120" w:after="120" w:line="240" w:lineRule="auto"/>
              <w:ind w:left="-57" w:right="-57"/>
              <w:jc w:val="center"/>
              <w:rPr>
                <w:rFonts w:ascii="Arial" w:hAnsi="Arial"/>
                <w:b/>
                <w:sz w:val="19"/>
              </w:rPr>
            </w:pPr>
            <w:r w:rsidRPr="007920F0">
              <w:rPr>
                <w:rFonts w:ascii="Arial" w:hAnsi="Arial"/>
                <w:b/>
                <w:sz w:val="19"/>
              </w:rPr>
              <w:t>XII 201</w:t>
            </w:r>
            <w:r w:rsidR="00275759">
              <w:rPr>
                <w:rFonts w:ascii="Arial" w:hAnsi="Arial"/>
                <w:b/>
                <w:sz w:val="19"/>
              </w:rPr>
              <w:t>5</w:t>
            </w:r>
            <w:r w:rsidRPr="007920F0">
              <w:rPr>
                <w:rFonts w:ascii="Arial" w:hAnsi="Arial"/>
                <w:b/>
                <w:sz w:val="19"/>
              </w:rPr>
              <w:t>= =100</w:t>
            </w:r>
          </w:p>
        </w:tc>
        <w:tc>
          <w:tcPr>
            <w:tcW w:w="1016" w:type="dxa"/>
          </w:tcPr>
          <w:p w:rsidR="001764AE" w:rsidRPr="007920F0" w:rsidRDefault="007B421B" w:rsidP="00275759">
            <w:pPr>
              <w:spacing w:before="120" w:after="120" w:line="240" w:lineRule="auto"/>
              <w:ind w:left="-57" w:right="-57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I-</w:t>
            </w:r>
            <w:r w:rsidR="001764AE">
              <w:rPr>
                <w:rFonts w:ascii="Arial" w:hAnsi="Arial"/>
                <w:b/>
                <w:sz w:val="19"/>
              </w:rPr>
              <w:t>V</w:t>
            </w:r>
            <w:r w:rsidR="00224733">
              <w:rPr>
                <w:rFonts w:ascii="Arial" w:hAnsi="Arial"/>
                <w:b/>
                <w:sz w:val="19"/>
              </w:rPr>
              <w:t>I</w:t>
            </w:r>
            <w:r w:rsidR="00C112F6">
              <w:rPr>
                <w:rFonts w:ascii="Arial" w:hAnsi="Arial"/>
                <w:b/>
                <w:sz w:val="19"/>
              </w:rPr>
              <w:t>I</w:t>
            </w:r>
            <w:r w:rsidR="00974F7C">
              <w:rPr>
                <w:rFonts w:ascii="Arial" w:hAnsi="Arial"/>
                <w:b/>
                <w:sz w:val="19"/>
              </w:rPr>
              <w:t>I</w:t>
            </w:r>
            <w:r w:rsidR="001764AE" w:rsidRPr="007920F0">
              <w:rPr>
                <w:rFonts w:ascii="Arial" w:hAnsi="Arial"/>
                <w:b/>
                <w:sz w:val="19"/>
              </w:rPr>
              <w:t xml:space="preserve"> 201</w:t>
            </w:r>
            <w:r w:rsidR="00275759">
              <w:rPr>
                <w:rFonts w:ascii="Arial" w:hAnsi="Arial"/>
                <w:b/>
                <w:sz w:val="19"/>
              </w:rPr>
              <w:t>5</w:t>
            </w:r>
            <w:r w:rsidR="001764AE" w:rsidRPr="007920F0">
              <w:rPr>
                <w:rFonts w:ascii="Arial" w:hAnsi="Arial"/>
                <w:b/>
                <w:sz w:val="19"/>
              </w:rPr>
              <w:t>= =100</w:t>
            </w:r>
          </w:p>
        </w:tc>
      </w:tr>
      <w:tr w:rsidR="001764AE" w:rsidTr="001764AE">
        <w:trPr>
          <w:trHeight w:val="412"/>
        </w:trPr>
        <w:tc>
          <w:tcPr>
            <w:tcW w:w="9766" w:type="dxa"/>
            <w:gridSpan w:val="7"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1764AE" w:rsidRPr="00336D24" w:rsidRDefault="001764AE" w:rsidP="001764AE">
            <w:pPr>
              <w:spacing w:before="120" w:after="120"/>
              <w:jc w:val="center"/>
              <w:rPr>
                <w:b/>
              </w:rPr>
            </w:pPr>
            <w:r w:rsidRPr="00336D24">
              <w:rPr>
                <w:rFonts w:ascii="Arial" w:hAnsi="Arial"/>
                <w:b/>
              </w:rPr>
              <w:t>WSKAŹNIKI CEN PRODUKCJI SPRZEDANEJ PRZEMYSŁU</w:t>
            </w:r>
          </w:p>
        </w:tc>
      </w:tr>
      <w:tr w:rsidR="00DA4C6B" w:rsidTr="001764AE">
        <w:trPr>
          <w:trHeight w:val="412"/>
        </w:trPr>
        <w:tc>
          <w:tcPr>
            <w:tcW w:w="3672" w:type="dxa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4C6B" w:rsidRPr="00336D24" w:rsidRDefault="00DA4C6B" w:rsidP="00DA4C6B">
            <w:pPr>
              <w:tabs>
                <w:tab w:val="left" w:leader="dot" w:pos="3402"/>
              </w:tabs>
              <w:spacing w:after="0" w:line="240" w:lineRule="auto"/>
              <w:rPr>
                <w:rFonts w:ascii="Arial" w:hAnsi="Arial"/>
                <w:b/>
                <w:spacing w:val="-2"/>
              </w:rPr>
            </w:pPr>
            <w:r w:rsidRPr="00336D24">
              <w:rPr>
                <w:rFonts w:ascii="Arial" w:hAnsi="Arial"/>
                <w:b/>
                <w:spacing w:val="-2"/>
              </w:rPr>
              <w:t xml:space="preserve">OGÓŁEM </w:t>
            </w:r>
            <w:r w:rsidRPr="00336D24">
              <w:rPr>
                <w:rFonts w:ascii="Arial" w:hAnsi="Arial"/>
                <w:b/>
                <w:spacing w:val="-2"/>
              </w:rPr>
              <w:tab/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4C6B" w:rsidRPr="00336D24" w:rsidRDefault="00DA4C6B" w:rsidP="00DA4C6B">
            <w:pPr>
              <w:tabs>
                <w:tab w:val="left" w:pos="717"/>
              </w:tabs>
              <w:spacing w:before="200" w:after="120" w:line="240" w:lineRule="auto"/>
              <w:ind w:firstLine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99,9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4C6B" w:rsidRPr="00336D24" w:rsidRDefault="00DA4C6B" w:rsidP="00DA4C6B">
            <w:pPr>
              <w:tabs>
                <w:tab w:val="left" w:pos="717"/>
              </w:tabs>
              <w:spacing w:before="200" w:after="120" w:line="240" w:lineRule="auto"/>
              <w:ind w:firstLine="22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99,5*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4C6B" w:rsidRPr="00336D24" w:rsidRDefault="00DA4C6B" w:rsidP="00DA4C6B">
            <w:pPr>
              <w:tabs>
                <w:tab w:val="left" w:pos="717"/>
              </w:tabs>
              <w:spacing w:before="200" w:after="120" w:line="240" w:lineRule="auto"/>
              <w:ind w:firstLine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99,9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4C6B" w:rsidRPr="00336D24" w:rsidRDefault="00DA4C6B" w:rsidP="00DA4C6B">
            <w:pPr>
              <w:tabs>
                <w:tab w:val="left" w:pos="717"/>
              </w:tabs>
              <w:spacing w:before="200" w:after="120" w:line="240" w:lineRule="auto"/>
              <w:ind w:firstLine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99,7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4C6B" w:rsidRPr="00336D24" w:rsidRDefault="00DA4C6B" w:rsidP="00DA4C6B">
            <w:pPr>
              <w:tabs>
                <w:tab w:val="left" w:pos="717"/>
              </w:tabs>
              <w:spacing w:before="200" w:after="12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DA4C6B" w:rsidRPr="00336D24" w:rsidRDefault="00DA4C6B" w:rsidP="00DA4C6B">
            <w:pPr>
              <w:tabs>
                <w:tab w:val="left" w:pos="501"/>
                <w:tab w:val="left" w:pos="717"/>
              </w:tabs>
              <w:spacing w:before="200" w:after="120" w:line="240" w:lineRule="auto"/>
              <w:ind w:firstLine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99,1</w:t>
            </w:r>
          </w:p>
        </w:tc>
      </w:tr>
      <w:tr w:rsidR="00DA4C6B" w:rsidTr="001764AE">
        <w:trPr>
          <w:trHeight w:val="412"/>
        </w:trPr>
        <w:tc>
          <w:tcPr>
            <w:tcW w:w="3672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DA4C6B" w:rsidRDefault="00DA4C6B" w:rsidP="00DA4C6B">
            <w:pPr>
              <w:tabs>
                <w:tab w:val="left" w:leader="dot" w:pos="3402"/>
              </w:tabs>
              <w:spacing w:after="0" w:line="240" w:lineRule="auto"/>
              <w:ind w:left="227"/>
            </w:pPr>
            <w:r w:rsidRPr="00336D24">
              <w:rPr>
                <w:rFonts w:ascii="Arial" w:hAnsi="Arial"/>
                <w:b/>
              </w:rPr>
              <w:t xml:space="preserve">Górnictwo i wydobywanie </w:t>
            </w:r>
            <w:r>
              <w:rPr>
                <w:rFonts w:ascii="Arial" w:hAnsi="Arial"/>
                <w:b/>
              </w:rPr>
              <w:tab/>
            </w:r>
          </w:p>
        </w:tc>
        <w:tc>
          <w:tcPr>
            <w:tcW w:w="1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4C6B" w:rsidRPr="00336D24" w:rsidRDefault="00DA4C6B" w:rsidP="00DA4C6B">
            <w:pPr>
              <w:tabs>
                <w:tab w:val="left" w:pos="717"/>
              </w:tabs>
              <w:spacing w:before="200" w:after="120" w:line="240" w:lineRule="auto"/>
              <w:ind w:firstLine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103,4*</w:t>
            </w:r>
          </w:p>
        </w:tc>
        <w:tc>
          <w:tcPr>
            <w:tcW w:w="1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4C6B" w:rsidRPr="00336D24" w:rsidRDefault="00DA4C6B" w:rsidP="00C15700">
            <w:pPr>
              <w:tabs>
                <w:tab w:val="left" w:pos="717"/>
              </w:tabs>
              <w:spacing w:before="200" w:after="120" w:line="240" w:lineRule="auto"/>
              <w:ind w:firstLine="22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99,</w:t>
            </w:r>
            <w:r w:rsidR="00C15700">
              <w:rPr>
                <w:rFonts w:ascii="Arial" w:hAnsi="Arial"/>
                <w:b/>
              </w:rPr>
              <w:t>0</w:t>
            </w:r>
            <w:r>
              <w:rPr>
                <w:rFonts w:ascii="Arial" w:hAnsi="Arial"/>
                <w:b/>
              </w:rPr>
              <w:t>*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4C6B" w:rsidRPr="00336D24" w:rsidRDefault="00DA4C6B" w:rsidP="00DA4C6B">
            <w:pPr>
              <w:tabs>
                <w:tab w:val="left" w:pos="717"/>
              </w:tabs>
              <w:spacing w:before="200" w:after="120" w:line="240" w:lineRule="auto"/>
              <w:ind w:firstLine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99,7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4C6B" w:rsidRPr="00336D24" w:rsidRDefault="00DA4C6B" w:rsidP="00DA4C6B">
            <w:pPr>
              <w:tabs>
                <w:tab w:val="left" w:pos="717"/>
              </w:tabs>
              <w:spacing w:before="200" w:after="120" w:line="240" w:lineRule="auto"/>
              <w:ind w:firstLine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99,0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4C6B" w:rsidRPr="00336D24" w:rsidRDefault="00DA4C6B" w:rsidP="00DA4C6B">
            <w:pPr>
              <w:tabs>
                <w:tab w:val="left" w:pos="717"/>
              </w:tabs>
              <w:spacing w:before="200" w:after="12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100,0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</w:tcBorders>
          </w:tcPr>
          <w:p w:rsidR="00DA4C6B" w:rsidRPr="00336D24" w:rsidRDefault="00DA4C6B" w:rsidP="00DA4C6B">
            <w:pPr>
              <w:tabs>
                <w:tab w:val="left" w:pos="717"/>
              </w:tabs>
              <w:spacing w:before="200" w:after="120" w:line="240" w:lineRule="auto"/>
              <w:ind w:firstLine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93,4</w:t>
            </w:r>
          </w:p>
        </w:tc>
      </w:tr>
      <w:tr w:rsidR="00DA4C6B" w:rsidTr="001764AE">
        <w:trPr>
          <w:trHeight w:val="412"/>
        </w:trPr>
        <w:tc>
          <w:tcPr>
            <w:tcW w:w="3672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DA4C6B" w:rsidRPr="00E17C1C" w:rsidRDefault="00DA4C6B" w:rsidP="00DA4C6B">
            <w:pPr>
              <w:tabs>
                <w:tab w:val="left" w:leader="dot" w:pos="3402"/>
              </w:tabs>
              <w:spacing w:after="0" w:line="240" w:lineRule="auto"/>
              <w:ind w:left="227"/>
            </w:pPr>
            <w:r w:rsidRPr="00336D24">
              <w:rPr>
                <w:rFonts w:ascii="Arial" w:hAnsi="Arial"/>
                <w:b/>
              </w:rPr>
              <w:t xml:space="preserve">Przetwórstwo przemysłowe </w:t>
            </w:r>
            <w:r w:rsidRPr="0077176F">
              <w:rPr>
                <w:b/>
              </w:rPr>
              <w:tab/>
            </w:r>
          </w:p>
        </w:tc>
        <w:tc>
          <w:tcPr>
            <w:tcW w:w="1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4C6B" w:rsidRPr="00336D24" w:rsidRDefault="00DA4C6B" w:rsidP="00DA4C6B">
            <w:pPr>
              <w:tabs>
                <w:tab w:val="left" w:pos="717"/>
              </w:tabs>
              <w:spacing w:before="200" w:after="120" w:line="240" w:lineRule="auto"/>
              <w:ind w:firstLine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99,8</w:t>
            </w:r>
          </w:p>
        </w:tc>
        <w:tc>
          <w:tcPr>
            <w:tcW w:w="1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4C6B" w:rsidRPr="00336D24" w:rsidRDefault="00DA4C6B" w:rsidP="00DA4C6B">
            <w:pPr>
              <w:tabs>
                <w:tab w:val="left" w:pos="717"/>
              </w:tabs>
              <w:spacing w:before="200" w:after="120" w:line="240" w:lineRule="auto"/>
              <w:ind w:firstLine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99,8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4C6B" w:rsidRPr="00336D24" w:rsidRDefault="00D05258" w:rsidP="00D05258">
            <w:pPr>
              <w:tabs>
                <w:tab w:val="left" w:pos="717"/>
              </w:tabs>
              <w:spacing w:before="200" w:after="12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100,2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4C6B" w:rsidRPr="00336D24" w:rsidRDefault="00D05258" w:rsidP="00DA4C6B">
            <w:pPr>
              <w:tabs>
                <w:tab w:val="left" w:pos="717"/>
              </w:tabs>
              <w:spacing w:before="200" w:after="120" w:line="240" w:lineRule="auto"/>
              <w:ind w:firstLine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99,7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4C6B" w:rsidRPr="00336D24" w:rsidRDefault="00D05258" w:rsidP="00DA4C6B">
            <w:pPr>
              <w:tabs>
                <w:tab w:val="left" w:pos="717"/>
              </w:tabs>
              <w:spacing w:before="200" w:after="12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100,3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</w:tcBorders>
          </w:tcPr>
          <w:p w:rsidR="00DA4C6B" w:rsidRPr="00336D24" w:rsidRDefault="00D05258" w:rsidP="00DA4C6B">
            <w:pPr>
              <w:tabs>
                <w:tab w:val="left" w:pos="717"/>
              </w:tabs>
              <w:spacing w:before="200" w:after="120" w:line="240" w:lineRule="auto"/>
              <w:ind w:firstLine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99,5</w:t>
            </w:r>
          </w:p>
        </w:tc>
      </w:tr>
      <w:tr w:rsidR="00DA4C6B" w:rsidTr="001764AE">
        <w:trPr>
          <w:trHeight w:val="412"/>
        </w:trPr>
        <w:tc>
          <w:tcPr>
            <w:tcW w:w="3672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DA4C6B" w:rsidRDefault="00DA4C6B" w:rsidP="00DA4C6B">
            <w:pPr>
              <w:tabs>
                <w:tab w:val="left" w:leader="dot" w:pos="3402"/>
                <w:tab w:val="left" w:leader="dot" w:pos="3912"/>
              </w:tabs>
              <w:spacing w:after="0" w:line="240" w:lineRule="auto"/>
              <w:ind w:left="397" w:hanging="170"/>
            </w:pPr>
            <w:r w:rsidRPr="00336D24">
              <w:rPr>
                <w:rFonts w:ascii="Arial" w:hAnsi="Arial"/>
                <w:b/>
                <w:spacing w:val="-2"/>
              </w:rPr>
              <w:t xml:space="preserve">Wytwarzanie i </w:t>
            </w:r>
            <w:r w:rsidRPr="007920F0">
              <w:rPr>
                <w:rFonts w:ascii="Arial" w:hAnsi="Arial"/>
                <w:b/>
                <w:spacing w:val="-2"/>
              </w:rPr>
              <w:t>zaopatrywanie</w:t>
            </w:r>
            <w:r w:rsidRPr="00336D24">
              <w:rPr>
                <w:rFonts w:ascii="Arial" w:hAnsi="Arial"/>
                <w:b/>
                <w:spacing w:val="-2"/>
              </w:rPr>
              <w:t xml:space="preserve"> w energię elektryczną, gaz, parę wodną i gorącą </w:t>
            </w:r>
            <w:proofErr w:type="spellStart"/>
            <w:r w:rsidRPr="00336D24">
              <w:rPr>
                <w:rFonts w:ascii="Arial" w:hAnsi="Arial"/>
                <w:b/>
                <w:spacing w:val="-2"/>
              </w:rPr>
              <w:t>wodę</w:t>
            </w:r>
            <w:r w:rsidRPr="00336D24">
              <w:rPr>
                <w:rFonts w:ascii="Arial" w:hAnsi="Arial" w:cs="Arial"/>
                <w:i/>
                <w:vertAlign w:val="superscript"/>
              </w:rPr>
              <w:t>a</w:t>
            </w:r>
            <w:proofErr w:type="spellEnd"/>
            <w:r w:rsidRPr="00336D24">
              <w:rPr>
                <w:rFonts w:ascii="Arial" w:hAnsi="Arial" w:cs="Arial"/>
                <w:vertAlign w:val="superscript"/>
              </w:rPr>
              <w:t xml:space="preserve">) </w:t>
            </w:r>
          </w:p>
        </w:tc>
        <w:tc>
          <w:tcPr>
            <w:tcW w:w="1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4C6B" w:rsidRPr="00336D24" w:rsidRDefault="00F029FA" w:rsidP="00F029FA">
            <w:pPr>
              <w:spacing w:before="600" w:after="120"/>
              <w:ind w:firstLine="22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99,5*</w:t>
            </w:r>
          </w:p>
        </w:tc>
        <w:tc>
          <w:tcPr>
            <w:tcW w:w="1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4C6B" w:rsidRPr="00336D24" w:rsidRDefault="00F029FA" w:rsidP="00F029FA">
            <w:pPr>
              <w:spacing w:before="600" w:after="120"/>
              <w:ind w:firstLine="22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97,0*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4C6B" w:rsidRPr="00336D24" w:rsidRDefault="00F029FA" w:rsidP="00DA4C6B">
            <w:pPr>
              <w:spacing w:before="600" w:after="120"/>
              <w:ind w:firstLine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97,4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4C6B" w:rsidRPr="00336D24" w:rsidRDefault="00F029FA" w:rsidP="00F029FA">
            <w:pPr>
              <w:spacing w:before="60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100,1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4C6B" w:rsidRPr="00336D24" w:rsidRDefault="00DA4C6B" w:rsidP="00DA4C6B">
            <w:pPr>
              <w:spacing w:before="60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98,1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</w:tcBorders>
          </w:tcPr>
          <w:p w:rsidR="00DA4C6B" w:rsidRPr="00336D24" w:rsidRDefault="00DA4C6B" w:rsidP="00DA4C6B">
            <w:pPr>
              <w:spacing w:before="60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97,5</w:t>
            </w:r>
          </w:p>
        </w:tc>
      </w:tr>
      <w:tr w:rsidR="00DA4C6B" w:rsidTr="001764AE">
        <w:trPr>
          <w:trHeight w:val="412"/>
        </w:trPr>
        <w:tc>
          <w:tcPr>
            <w:tcW w:w="3672" w:type="dxa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A4C6B" w:rsidRPr="00336D24" w:rsidRDefault="00DA4C6B" w:rsidP="00DA4C6B">
            <w:pPr>
              <w:tabs>
                <w:tab w:val="left" w:leader="dot" w:pos="3402"/>
                <w:tab w:val="left" w:leader="dot" w:pos="3912"/>
              </w:tabs>
              <w:spacing w:after="0" w:line="240" w:lineRule="auto"/>
              <w:ind w:left="397" w:hanging="170"/>
              <w:rPr>
                <w:rFonts w:ascii="Arial" w:hAnsi="Arial"/>
                <w:b/>
                <w:spacing w:val="-2"/>
              </w:rPr>
            </w:pPr>
            <w:r w:rsidRPr="00336D24">
              <w:rPr>
                <w:rFonts w:ascii="Arial" w:hAnsi="Arial"/>
                <w:b/>
                <w:spacing w:val="-4"/>
              </w:rPr>
              <w:t xml:space="preserve">Dostawa wody; gospodarowanie ściekami i odpadami; </w:t>
            </w:r>
            <w:proofErr w:type="spellStart"/>
            <w:r w:rsidRPr="00336D24">
              <w:rPr>
                <w:rFonts w:ascii="Arial" w:hAnsi="Arial"/>
                <w:b/>
                <w:spacing w:val="-4"/>
              </w:rPr>
              <w:t>rekultywacja</w:t>
            </w:r>
            <w:r w:rsidRPr="00336D24">
              <w:rPr>
                <w:rFonts w:ascii="Arial" w:hAnsi="Arial" w:cs="Arial"/>
                <w:i/>
                <w:vertAlign w:val="superscript"/>
              </w:rPr>
              <w:t>a</w:t>
            </w:r>
            <w:proofErr w:type="spellEnd"/>
            <w:r w:rsidRPr="00336D24">
              <w:rPr>
                <w:rFonts w:ascii="Arial" w:hAnsi="Arial" w:cs="Arial"/>
                <w:i/>
                <w:vertAlign w:val="superscript"/>
              </w:rPr>
              <w:t>)</w:t>
            </w:r>
            <w:r w:rsidRPr="00336D24">
              <w:rPr>
                <w:rFonts w:ascii="Arial" w:hAnsi="Arial" w:cs="Arial"/>
                <w:vertAlign w:val="superscript"/>
              </w:rPr>
              <w:t xml:space="preserve"> </w:t>
            </w:r>
            <w:r w:rsidRPr="00336D24">
              <w:rPr>
                <w:rFonts w:ascii="Arial" w:hAnsi="Arial"/>
                <w:b/>
              </w:rPr>
              <w:tab/>
            </w:r>
          </w:p>
        </w:tc>
        <w:tc>
          <w:tcPr>
            <w:tcW w:w="1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6B" w:rsidRPr="00336D24" w:rsidRDefault="00DA4C6B" w:rsidP="00DA4C6B">
            <w:pPr>
              <w:spacing w:before="60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100,2</w:t>
            </w:r>
          </w:p>
        </w:tc>
        <w:tc>
          <w:tcPr>
            <w:tcW w:w="1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6B" w:rsidRPr="00336D24" w:rsidRDefault="00DA4C6B" w:rsidP="00DA4C6B">
            <w:pPr>
              <w:spacing w:before="60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101,2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6B" w:rsidRPr="00336D24" w:rsidRDefault="00DA4C6B" w:rsidP="00DA4C6B">
            <w:pPr>
              <w:spacing w:before="60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101,2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6B" w:rsidRPr="00336D24" w:rsidRDefault="00DA4C6B" w:rsidP="00FE1A19">
            <w:pPr>
              <w:spacing w:before="60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</w:t>
            </w:r>
            <w:r w:rsidR="00FE1A19">
              <w:rPr>
                <w:rFonts w:ascii="Arial" w:hAnsi="Arial"/>
                <w:b/>
              </w:rPr>
              <w:t>1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6B" w:rsidRPr="00336D24" w:rsidRDefault="00DA4C6B" w:rsidP="00DA4C6B">
            <w:pPr>
              <w:spacing w:before="60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="00FE1A19">
              <w:rPr>
                <w:rFonts w:ascii="Arial" w:hAnsi="Arial"/>
                <w:b/>
              </w:rPr>
              <w:t>02,0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DA4C6B" w:rsidRPr="00336D24" w:rsidRDefault="00FE1A19" w:rsidP="00DA4C6B">
            <w:pPr>
              <w:spacing w:before="60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101,0</w:t>
            </w:r>
          </w:p>
        </w:tc>
      </w:tr>
      <w:tr w:rsidR="00DA4C6B" w:rsidTr="001764AE">
        <w:trPr>
          <w:trHeight w:val="412"/>
        </w:trPr>
        <w:tc>
          <w:tcPr>
            <w:tcW w:w="9766" w:type="dxa"/>
            <w:gridSpan w:val="7"/>
            <w:tcBorders>
              <w:top w:val="single" w:sz="6" w:space="0" w:color="auto"/>
            </w:tcBorders>
            <w:shd w:val="clear" w:color="auto" w:fill="E6E6E6"/>
            <w:vAlign w:val="center"/>
          </w:tcPr>
          <w:p w:rsidR="00DA4C6B" w:rsidRPr="00336D24" w:rsidRDefault="00DA4C6B" w:rsidP="00DA4C6B">
            <w:pPr>
              <w:tabs>
                <w:tab w:val="left" w:leader="dot" w:pos="3175"/>
              </w:tabs>
              <w:spacing w:before="120" w:after="120"/>
              <w:jc w:val="center"/>
              <w:rPr>
                <w:b/>
              </w:rPr>
            </w:pPr>
            <w:r w:rsidRPr="00336D24">
              <w:rPr>
                <w:rFonts w:ascii="Arial" w:hAnsi="Arial"/>
                <w:b/>
              </w:rPr>
              <w:t>WSKAŹNIKI CEN PRODUKCJI BUDOWLANO-MONTAŻOWEJ</w:t>
            </w:r>
          </w:p>
        </w:tc>
      </w:tr>
      <w:tr w:rsidR="00DA4C6B" w:rsidTr="001764AE">
        <w:trPr>
          <w:trHeight w:val="412"/>
        </w:trPr>
        <w:tc>
          <w:tcPr>
            <w:tcW w:w="3672" w:type="dxa"/>
            <w:vAlign w:val="center"/>
          </w:tcPr>
          <w:p w:rsidR="00DA4C6B" w:rsidRDefault="00DA4C6B" w:rsidP="00DA4C6B">
            <w:pPr>
              <w:tabs>
                <w:tab w:val="left" w:leader="dot" w:pos="3345"/>
              </w:tabs>
              <w:spacing w:after="0" w:line="240" w:lineRule="auto"/>
            </w:pPr>
            <w:r w:rsidRPr="00336D24">
              <w:rPr>
                <w:rFonts w:ascii="Arial" w:hAnsi="Arial"/>
                <w:b/>
                <w:spacing w:val="-2"/>
              </w:rPr>
              <w:t xml:space="preserve">OGÓŁEM </w:t>
            </w:r>
            <w:r w:rsidRPr="00336D24">
              <w:rPr>
                <w:rFonts w:ascii="Arial" w:hAnsi="Arial"/>
                <w:b/>
                <w:spacing w:val="-2"/>
              </w:rPr>
              <w:tab/>
            </w:r>
          </w:p>
        </w:tc>
        <w:tc>
          <w:tcPr>
            <w:tcW w:w="1015" w:type="dxa"/>
          </w:tcPr>
          <w:p w:rsidR="00DA4C6B" w:rsidRPr="00336D24" w:rsidRDefault="00DA4C6B" w:rsidP="00DA4C6B">
            <w:pPr>
              <w:spacing w:before="22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100,1</w:t>
            </w:r>
          </w:p>
        </w:tc>
        <w:tc>
          <w:tcPr>
            <w:tcW w:w="1015" w:type="dxa"/>
          </w:tcPr>
          <w:p w:rsidR="00DA4C6B" w:rsidRPr="00336D24" w:rsidRDefault="00DA4C6B" w:rsidP="00DA4C6B">
            <w:pPr>
              <w:spacing w:before="220" w:after="120"/>
              <w:ind w:firstLine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99,6</w:t>
            </w:r>
          </w:p>
        </w:tc>
        <w:tc>
          <w:tcPr>
            <w:tcW w:w="1016" w:type="dxa"/>
          </w:tcPr>
          <w:p w:rsidR="00DA4C6B" w:rsidRPr="00336D24" w:rsidRDefault="00DA4C6B" w:rsidP="00DA4C6B">
            <w:pPr>
              <w:spacing w:before="220" w:after="120"/>
              <w:ind w:firstLine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99,8</w:t>
            </w:r>
          </w:p>
        </w:tc>
        <w:tc>
          <w:tcPr>
            <w:tcW w:w="1016" w:type="dxa"/>
          </w:tcPr>
          <w:p w:rsidR="00DA4C6B" w:rsidRPr="00336D24" w:rsidRDefault="00DA4C6B" w:rsidP="00DA4C6B">
            <w:pPr>
              <w:spacing w:before="22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100,1</w:t>
            </w:r>
          </w:p>
        </w:tc>
        <w:tc>
          <w:tcPr>
            <w:tcW w:w="1016" w:type="dxa"/>
          </w:tcPr>
          <w:p w:rsidR="00DA4C6B" w:rsidRPr="00336D24" w:rsidRDefault="00DA4C6B" w:rsidP="00DA4C6B">
            <w:pPr>
              <w:spacing w:before="22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100,0</w:t>
            </w:r>
          </w:p>
        </w:tc>
        <w:tc>
          <w:tcPr>
            <w:tcW w:w="1016" w:type="dxa"/>
          </w:tcPr>
          <w:p w:rsidR="00DA4C6B" w:rsidRPr="00336D24" w:rsidRDefault="00DA4C6B" w:rsidP="00DA4C6B">
            <w:pPr>
              <w:spacing w:before="220" w:after="120"/>
              <w:ind w:firstLine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99,4</w:t>
            </w:r>
          </w:p>
        </w:tc>
      </w:tr>
    </w:tbl>
    <w:p w:rsidR="004925F0" w:rsidRDefault="004925F0" w:rsidP="004925F0">
      <w:pPr>
        <w:pStyle w:val="Nagwek"/>
        <w:tabs>
          <w:tab w:val="clear" w:pos="4536"/>
          <w:tab w:val="clear" w:pos="9072"/>
        </w:tabs>
        <w:rPr>
          <w:rFonts w:ascii="Arial" w:hAnsi="Arial" w:cs="Arial"/>
          <w:i/>
          <w:vertAlign w:val="superscript"/>
        </w:rPr>
      </w:pPr>
    </w:p>
    <w:p w:rsidR="004925F0" w:rsidRPr="000E2CB2" w:rsidRDefault="004925F0" w:rsidP="00FA743C">
      <w:pPr>
        <w:pStyle w:val="Nagwek"/>
        <w:tabs>
          <w:tab w:val="clear" w:pos="4536"/>
          <w:tab w:val="clear" w:pos="9072"/>
        </w:tabs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vertAlign w:val="superscript"/>
        </w:rPr>
        <w:t>a)</w:t>
      </w:r>
      <w:r w:rsidRPr="000E2CB2">
        <w:rPr>
          <w:rFonts w:ascii="Arial" w:hAnsi="Arial" w:cs="Arial"/>
          <w:i/>
          <w:vertAlign w:val="superscript"/>
        </w:rPr>
        <w:t xml:space="preserve"> </w:t>
      </w:r>
      <w:r w:rsidRPr="000E2CB2">
        <w:rPr>
          <w:rFonts w:ascii="Arial" w:hAnsi="Arial" w:cs="Arial"/>
          <w:sz w:val="18"/>
          <w:szCs w:val="18"/>
        </w:rPr>
        <w:t>Nazwa skrócona według PKD 2007</w:t>
      </w:r>
    </w:p>
    <w:p w:rsidR="004925F0" w:rsidRDefault="004925F0" w:rsidP="00FA743C">
      <w:pPr>
        <w:pStyle w:val="Nagwek"/>
        <w:tabs>
          <w:tab w:val="clear" w:pos="4536"/>
          <w:tab w:val="clear" w:pos="9072"/>
        </w:tabs>
        <w:ind w:firstLine="708"/>
        <w:rPr>
          <w:rFonts w:ascii="Arial" w:hAnsi="Arial" w:cs="Arial"/>
          <w:sz w:val="18"/>
          <w:szCs w:val="18"/>
        </w:rPr>
      </w:pPr>
      <w:r w:rsidRPr="000E2CB2">
        <w:rPr>
          <w:rFonts w:ascii="Arial" w:hAnsi="Arial" w:cs="Arial"/>
          <w:sz w:val="18"/>
          <w:szCs w:val="18"/>
        </w:rPr>
        <w:t>* Dane zmienione w stosunku do wcześniej opublikowanych.</w:t>
      </w:r>
    </w:p>
    <w:p w:rsidR="00B362C8" w:rsidRDefault="00B362C8">
      <w:pPr>
        <w:rPr>
          <w:rStyle w:val="Hipercze"/>
          <w:szCs w:val="24"/>
        </w:rPr>
      </w:pPr>
      <w:r>
        <w:rPr>
          <w:rStyle w:val="Hipercze"/>
          <w:szCs w:val="24"/>
        </w:rPr>
        <w:br w:type="page"/>
      </w:r>
    </w:p>
    <w:p w:rsidR="002F0207" w:rsidRDefault="001764AE" w:rsidP="00092CF1">
      <w:pPr>
        <w:spacing w:line="280" w:lineRule="exact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Według wstępnych danych, </w:t>
      </w:r>
      <w:r>
        <w:rPr>
          <w:rFonts w:ascii="Arial" w:hAnsi="Arial"/>
          <w:b/>
          <w:sz w:val="24"/>
        </w:rPr>
        <w:t>ceny produkcji sprzedanej przemysłu</w:t>
      </w:r>
      <w:r w:rsidR="002B389A">
        <w:rPr>
          <w:rFonts w:ascii="Arial" w:hAnsi="Arial"/>
          <w:sz w:val="24"/>
        </w:rPr>
        <w:t xml:space="preserve"> w </w:t>
      </w:r>
      <w:r w:rsidR="00D777D9">
        <w:rPr>
          <w:rFonts w:ascii="Arial" w:hAnsi="Arial"/>
          <w:sz w:val="24"/>
        </w:rPr>
        <w:t xml:space="preserve">sierpniu </w:t>
      </w:r>
      <w:r w:rsidR="002B389A">
        <w:rPr>
          <w:rFonts w:ascii="Arial" w:hAnsi="Arial"/>
          <w:sz w:val="24"/>
        </w:rPr>
        <w:t>2016</w:t>
      </w:r>
      <w:r w:rsidR="00D777D9">
        <w:rPr>
          <w:rFonts w:ascii="Arial" w:hAnsi="Arial"/>
          <w:sz w:val="24"/>
        </w:rPr>
        <w:t> r. były o 0,3</w:t>
      </w:r>
      <w:r>
        <w:rPr>
          <w:rFonts w:ascii="Arial" w:hAnsi="Arial"/>
          <w:sz w:val="24"/>
        </w:rPr>
        <w:t xml:space="preserve">% </w:t>
      </w:r>
      <w:r w:rsidR="001E7596">
        <w:rPr>
          <w:rFonts w:ascii="Arial" w:hAnsi="Arial"/>
          <w:sz w:val="24"/>
        </w:rPr>
        <w:t>niższe</w:t>
      </w:r>
      <w:r w:rsidR="002B389A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niż w poprzednim miesiącu. </w:t>
      </w:r>
      <w:r w:rsidR="00D777D9">
        <w:rPr>
          <w:rFonts w:ascii="Arial" w:hAnsi="Arial"/>
          <w:sz w:val="24"/>
        </w:rPr>
        <w:t>Spadek cen zanotowano w górnictwie i wydobywaniu o 1,0%,</w:t>
      </w:r>
      <w:r w:rsidR="00D777D9" w:rsidRPr="002F0207">
        <w:rPr>
          <w:rFonts w:ascii="Arial" w:hAnsi="Arial"/>
          <w:sz w:val="24"/>
        </w:rPr>
        <w:t xml:space="preserve"> </w:t>
      </w:r>
      <w:r w:rsidR="00D777D9">
        <w:rPr>
          <w:rFonts w:ascii="Arial" w:hAnsi="Arial"/>
          <w:sz w:val="24"/>
        </w:rPr>
        <w:t xml:space="preserve">w tym </w:t>
      </w:r>
      <w:r w:rsidR="00D777D9" w:rsidRPr="00326B37">
        <w:rPr>
          <w:rFonts w:ascii="Arial" w:hAnsi="Arial"/>
          <w:sz w:val="24"/>
        </w:rPr>
        <w:t>w górnictwie rud metali o</w:t>
      </w:r>
      <w:r w:rsidR="00D777D9">
        <w:rPr>
          <w:rFonts w:ascii="Arial" w:hAnsi="Arial"/>
          <w:sz w:val="24"/>
        </w:rPr>
        <w:t xml:space="preserve"> 5,4%, przy wzroście cen w</w:t>
      </w:r>
      <w:r w:rsidR="006C4D27">
        <w:rPr>
          <w:rFonts w:ascii="Arial" w:hAnsi="Arial"/>
          <w:sz w:val="24"/>
        </w:rPr>
        <w:t> </w:t>
      </w:r>
      <w:r w:rsidR="00D777D9" w:rsidRPr="00326B37">
        <w:rPr>
          <w:rFonts w:ascii="Arial" w:hAnsi="Arial"/>
          <w:sz w:val="24"/>
        </w:rPr>
        <w:t xml:space="preserve">wydobywaniu węgla kamiennego i węgla brunatnego (lignitu) </w:t>
      </w:r>
      <w:r w:rsidR="00D777D9">
        <w:rPr>
          <w:rFonts w:ascii="Arial" w:hAnsi="Arial"/>
          <w:sz w:val="24"/>
        </w:rPr>
        <w:t>o 2,5%.</w:t>
      </w:r>
      <w:r w:rsidR="00D777D9" w:rsidRPr="00D777D9">
        <w:rPr>
          <w:rFonts w:ascii="Arial" w:hAnsi="Arial"/>
          <w:sz w:val="24"/>
        </w:rPr>
        <w:t xml:space="preserve"> </w:t>
      </w:r>
      <w:r w:rsidR="00D777D9">
        <w:rPr>
          <w:rFonts w:ascii="Arial" w:hAnsi="Arial"/>
          <w:sz w:val="24"/>
        </w:rPr>
        <w:t>Spadły również ceny</w:t>
      </w:r>
      <w:r w:rsidR="001E7596">
        <w:rPr>
          <w:rFonts w:ascii="Arial" w:hAnsi="Arial"/>
          <w:sz w:val="24"/>
        </w:rPr>
        <w:t xml:space="preserve"> </w:t>
      </w:r>
      <w:r w:rsidR="00D777D9">
        <w:rPr>
          <w:rFonts w:ascii="Arial" w:hAnsi="Arial"/>
          <w:sz w:val="24"/>
        </w:rPr>
        <w:t>w przetwórstwie</w:t>
      </w:r>
      <w:r w:rsidR="001E7596">
        <w:rPr>
          <w:rFonts w:ascii="Arial" w:hAnsi="Arial"/>
          <w:sz w:val="24"/>
        </w:rPr>
        <w:t xml:space="preserve"> przemysłow</w:t>
      </w:r>
      <w:r w:rsidR="00D777D9">
        <w:rPr>
          <w:rFonts w:ascii="Arial" w:hAnsi="Arial"/>
          <w:sz w:val="24"/>
        </w:rPr>
        <w:t>ym o 0,3</w:t>
      </w:r>
      <w:r w:rsidR="001E7596">
        <w:rPr>
          <w:rFonts w:ascii="Arial" w:hAnsi="Arial"/>
          <w:sz w:val="24"/>
        </w:rPr>
        <w:t>%</w:t>
      </w:r>
      <w:r w:rsidR="00D777D9">
        <w:rPr>
          <w:rFonts w:ascii="Arial" w:hAnsi="Arial"/>
          <w:sz w:val="24"/>
        </w:rPr>
        <w:t>, w tym najbardziej w produkcji</w:t>
      </w:r>
      <w:r w:rsidR="00B24819">
        <w:rPr>
          <w:rFonts w:ascii="Arial" w:hAnsi="Arial"/>
          <w:sz w:val="24"/>
        </w:rPr>
        <w:t xml:space="preserve"> </w:t>
      </w:r>
      <w:r w:rsidR="00D777D9">
        <w:rPr>
          <w:rFonts w:ascii="Arial" w:hAnsi="Arial"/>
          <w:sz w:val="24"/>
        </w:rPr>
        <w:t>koksu i produktów rafinacji ropy naftowej (o 1,6%). Obniżono również</w:t>
      </w:r>
      <w:r w:rsidR="007E5332">
        <w:rPr>
          <w:rFonts w:ascii="Arial" w:hAnsi="Arial"/>
          <w:sz w:val="24"/>
        </w:rPr>
        <w:t xml:space="preserve"> ceny</w:t>
      </w:r>
      <w:r w:rsidR="001E7596">
        <w:rPr>
          <w:rFonts w:ascii="Arial" w:hAnsi="Arial"/>
          <w:sz w:val="24"/>
        </w:rPr>
        <w:t xml:space="preserve"> </w:t>
      </w:r>
      <w:r w:rsidR="0071438A">
        <w:rPr>
          <w:rFonts w:ascii="Arial" w:hAnsi="Arial"/>
          <w:sz w:val="24"/>
        </w:rPr>
        <w:t xml:space="preserve">m.in. </w:t>
      </w:r>
      <w:r w:rsidR="00D777D9">
        <w:rPr>
          <w:rFonts w:ascii="Arial" w:hAnsi="Arial"/>
          <w:sz w:val="24"/>
        </w:rPr>
        <w:t xml:space="preserve">w produkcji </w:t>
      </w:r>
      <w:r w:rsidR="00944C32">
        <w:rPr>
          <w:rFonts w:ascii="Arial" w:hAnsi="Arial"/>
          <w:sz w:val="24"/>
        </w:rPr>
        <w:t>chemikaliów i</w:t>
      </w:r>
      <w:r w:rsidR="006C4D27">
        <w:rPr>
          <w:rFonts w:ascii="Arial" w:hAnsi="Arial"/>
          <w:sz w:val="24"/>
        </w:rPr>
        <w:t> </w:t>
      </w:r>
      <w:r w:rsidR="00944C32">
        <w:rPr>
          <w:rFonts w:ascii="Arial" w:hAnsi="Arial"/>
          <w:sz w:val="24"/>
        </w:rPr>
        <w:t xml:space="preserve">wyrobów chemicznych, maszyn i urządzeń (po 0,7%), wyrobów z pozostałych mineralnych surowców niemetalicznych, papieru i wyrobów z papieru (po 0,6%), </w:t>
      </w:r>
      <w:r w:rsidR="007E5CC6">
        <w:rPr>
          <w:rFonts w:ascii="Arial" w:hAnsi="Arial"/>
          <w:sz w:val="24"/>
        </w:rPr>
        <w:t xml:space="preserve">pojazdów samochodowych, przyczep i naczep, urządzeń elektrycznych, </w:t>
      </w:r>
      <w:r w:rsidR="00287F5A">
        <w:rPr>
          <w:rFonts w:ascii="Arial" w:hAnsi="Arial"/>
          <w:sz w:val="24"/>
        </w:rPr>
        <w:t xml:space="preserve">pozostałego sprzętu transportowego, </w:t>
      </w:r>
      <w:r w:rsidR="00625214">
        <w:rPr>
          <w:rFonts w:ascii="Arial" w:hAnsi="Arial"/>
          <w:sz w:val="24"/>
        </w:rPr>
        <w:t>odzieży</w:t>
      </w:r>
      <w:r w:rsidR="00287F5A">
        <w:rPr>
          <w:rFonts w:ascii="Arial" w:hAnsi="Arial"/>
          <w:sz w:val="24"/>
        </w:rPr>
        <w:t xml:space="preserve"> (po 0,5%), wyrobów z drewna, k</w:t>
      </w:r>
      <w:r w:rsidR="00E025CC">
        <w:rPr>
          <w:rFonts w:ascii="Arial" w:hAnsi="Arial"/>
          <w:sz w:val="24"/>
        </w:rPr>
        <w:t xml:space="preserve">orka, słomy i wikliny, napojów </w:t>
      </w:r>
      <w:r w:rsidR="00287F5A">
        <w:rPr>
          <w:rFonts w:ascii="Arial" w:hAnsi="Arial"/>
          <w:sz w:val="24"/>
        </w:rPr>
        <w:t>(po</w:t>
      </w:r>
      <w:r w:rsidR="00E025CC">
        <w:rPr>
          <w:rFonts w:ascii="Arial" w:hAnsi="Arial"/>
          <w:sz w:val="24"/>
        </w:rPr>
        <w:t> </w:t>
      </w:r>
      <w:r w:rsidR="00287F5A">
        <w:rPr>
          <w:rFonts w:ascii="Arial" w:hAnsi="Arial"/>
          <w:sz w:val="24"/>
        </w:rPr>
        <w:t>0,4%),</w:t>
      </w:r>
      <w:r w:rsidR="00701CF4" w:rsidRPr="00701CF4">
        <w:rPr>
          <w:rFonts w:ascii="Arial" w:hAnsi="Arial"/>
          <w:sz w:val="24"/>
        </w:rPr>
        <w:t xml:space="preserve"> </w:t>
      </w:r>
      <w:r w:rsidR="003E411B">
        <w:rPr>
          <w:rFonts w:ascii="Arial" w:hAnsi="Arial"/>
          <w:sz w:val="24"/>
        </w:rPr>
        <w:t>metali</w:t>
      </w:r>
      <w:r w:rsidR="003E411B">
        <w:rPr>
          <w:rFonts w:ascii="Arial" w:hAnsi="Arial"/>
          <w:sz w:val="24"/>
        </w:rPr>
        <w:t xml:space="preserve">, </w:t>
      </w:r>
      <w:r w:rsidR="00701CF4">
        <w:rPr>
          <w:rFonts w:ascii="Arial" w:hAnsi="Arial"/>
          <w:sz w:val="24"/>
        </w:rPr>
        <w:t>wyrobów z metali</w:t>
      </w:r>
      <w:bookmarkStart w:id="0" w:name="_GoBack"/>
      <w:bookmarkEnd w:id="0"/>
      <w:r w:rsidR="00701CF4">
        <w:rPr>
          <w:rFonts w:ascii="Arial" w:hAnsi="Arial"/>
          <w:sz w:val="24"/>
        </w:rPr>
        <w:t xml:space="preserve"> (po 0,3%), </w:t>
      </w:r>
      <w:r w:rsidR="0071438A">
        <w:rPr>
          <w:rFonts w:ascii="Arial" w:hAnsi="Arial"/>
          <w:sz w:val="24"/>
        </w:rPr>
        <w:t>mebli oraz poligrafii i</w:t>
      </w:r>
      <w:r w:rsidR="00E025CC">
        <w:rPr>
          <w:rFonts w:ascii="Arial" w:hAnsi="Arial"/>
          <w:sz w:val="24"/>
        </w:rPr>
        <w:t xml:space="preserve"> </w:t>
      </w:r>
      <w:r w:rsidR="0071438A">
        <w:rPr>
          <w:rFonts w:ascii="Arial" w:hAnsi="Arial"/>
          <w:sz w:val="24"/>
        </w:rPr>
        <w:t>reprodukcji zapisanych nośników informacji (po 0,1%).</w:t>
      </w:r>
      <w:r w:rsidR="00E025CC">
        <w:rPr>
          <w:rFonts w:ascii="Arial" w:hAnsi="Arial"/>
          <w:sz w:val="24"/>
        </w:rPr>
        <w:t xml:space="preserve"> Wzrosły natomiast ceny m.in. w </w:t>
      </w:r>
      <w:r w:rsidR="0071438A">
        <w:rPr>
          <w:rFonts w:ascii="Arial" w:hAnsi="Arial"/>
          <w:sz w:val="24"/>
        </w:rPr>
        <w:t>produkcji</w:t>
      </w:r>
      <w:r w:rsidR="00FE5B1C">
        <w:rPr>
          <w:rFonts w:ascii="Arial" w:hAnsi="Arial"/>
          <w:sz w:val="24"/>
        </w:rPr>
        <w:t xml:space="preserve"> artykułów spożywczych, wyrobów z gumy i z tworzyw sztucznych, wyrobów farmaceutycznych, komputerów, wyrobów elektronicznych i optycznych </w:t>
      </w:r>
      <w:r w:rsidR="00C8600E">
        <w:rPr>
          <w:rFonts w:ascii="Arial" w:hAnsi="Arial"/>
          <w:sz w:val="24"/>
        </w:rPr>
        <w:t xml:space="preserve">oraz </w:t>
      </w:r>
      <w:r w:rsidR="00FE5B1C">
        <w:rPr>
          <w:rFonts w:ascii="Arial" w:hAnsi="Arial"/>
          <w:sz w:val="24"/>
        </w:rPr>
        <w:t>skór i</w:t>
      </w:r>
      <w:r w:rsidR="00C8600E">
        <w:rPr>
          <w:rFonts w:ascii="Arial" w:hAnsi="Arial"/>
          <w:sz w:val="24"/>
        </w:rPr>
        <w:t xml:space="preserve"> wyrobów skórzanych (po</w:t>
      </w:r>
      <w:r w:rsidR="00E025CC">
        <w:rPr>
          <w:rFonts w:ascii="Arial" w:hAnsi="Arial"/>
          <w:sz w:val="24"/>
        </w:rPr>
        <w:t> </w:t>
      </w:r>
      <w:r w:rsidR="00C8600E">
        <w:rPr>
          <w:rFonts w:ascii="Arial" w:hAnsi="Arial"/>
          <w:sz w:val="24"/>
        </w:rPr>
        <w:t>0,2%)</w:t>
      </w:r>
      <w:r w:rsidR="00FE5B1C">
        <w:rPr>
          <w:rFonts w:ascii="Arial" w:hAnsi="Arial"/>
          <w:sz w:val="24"/>
        </w:rPr>
        <w:t xml:space="preserve">. </w:t>
      </w:r>
      <w:r w:rsidR="001D4730">
        <w:rPr>
          <w:rFonts w:ascii="Arial" w:hAnsi="Arial"/>
          <w:sz w:val="24"/>
        </w:rPr>
        <w:t>Ceny w sekcjach:</w:t>
      </w:r>
      <w:r w:rsidR="001E7596" w:rsidRPr="00992532">
        <w:rPr>
          <w:rFonts w:ascii="Arial" w:hAnsi="Arial"/>
          <w:sz w:val="24"/>
        </w:rPr>
        <w:t xml:space="preserve"> </w:t>
      </w:r>
      <w:r w:rsidR="001D4730">
        <w:rPr>
          <w:rFonts w:ascii="Arial" w:hAnsi="Arial"/>
          <w:sz w:val="24"/>
        </w:rPr>
        <w:t xml:space="preserve">wytwarzanie i zaopatrywanie w energię elektryczną, gaz, parę wodną i gorącą wodę oraz </w:t>
      </w:r>
      <w:r w:rsidR="001E7596" w:rsidRPr="00992532">
        <w:rPr>
          <w:rFonts w:ascii="Arial" w:hAnsi="Arial"/>
          <w:sz w:val="24"/>
        </w:rPr>
        <w:t>dostawa wody; gospodarowanie ściekami i</w:t>
      </w:r>
      <w:r w:rsidR="00B24819">
        <w:rPr>
          <w:rFonts w:ascii="Arial" w:hAnsi="Arial"/>
          <w:sz w:val="24"/>
        </w:rPr>
        <w:t xml:space="preserve"> </w:t>
      </w:r>
      <w:r w:rsidR="001E7596" w:rsidRPr="00992532">
        <w:rPr>
          <w:rFonts w:ascii="Arial" w:hAnsi="Arial"/>
          <w:sz w:val="24"/>
        </w:rPr>
        <w:t xml:space="preserve">odpadami; rekultywacja </w:t>
      </w:r>
      <w:r w:rsidR="001E7596">
        <w:rPr>
          <w:rFonts w:ascii="Arial" w:hAnsi="Arial"/>
          <w:sz w:val="24"/>
        </w:rPr>
        <w:t xml:space="preserve">były </w:t>
      </w:r>
      <w:r w:rsidR="001D4730">
        <w:rPr>
          <w:rFonts w:ascii="Arial" w:hAnsi="Arial"/>
          <w:sz w:val="24"/>
        </w:rPr>
        <w:t>po 0,1% wyższe niż w lipcu br.</w:t>
      </w:r>
    </w:p>
    <w:p w:rsidR="00911748" w:rsidRPr="00326B37" w:rsidRDefault="00911748" w:rsidP="007B3629">
      <w:pPr>
        <w:spacing w:line="280" w:lineRule="exact"/>
        <w:ind w:firstLine="709"/>
        <w:jc w:val="both"/>
        <w:rPr>
          <w:rFonts w:ascii="Arial" w:hAnsi="Arial"/>
          <w:sz w:val="24"/>
        </w:rPr>
      </w:pPr>
      <w:r w:rsidRPr="00326B37">
        <w:rPr>
          <w:rFonts w:ascii="Arial" w:hAnsi="Arial"/>
          <w:sz w:val="24"/>
        </w:rPr>
        <w:t>W porównaniu z grudniem poprzedniego roku ceny produkcji sp</w:t>
      </w:r>
      <w:r w:rsidR="0024628A">
        <w:rPr>
          <w:rFonts w:ascii="Arial" w:hAnsi="Arial"/>
          <w:sz w:val="24"/>
        </w:rPr>
        <w:t>rzedanej przemysłu wzrosły o 0,1</w:t>
      </w:r>
      <w:r w:rsidRPr="00326B37">
        <w:rPr>
          <w:rFonts w:ascii="Arial" w:hAnsi="Arial"/>
          <w:sz w:val="24"/>
        </w:rPr>
        <w:t xml:space="preserve">%. </w:t>
      </w:r>
      <w:r w:rsidR="00326B37" w:rsidRPr="00326B37">
        <w:rPr>
          <w:rFonts w:ascii="Arial" w:hAnsi="Arial"/>
          <w:sz w:val="24"/>
        </w:rPr>
        <w:t>Ceny w sekcji dostawa wody; gospodarowanie ściekami i odpadami</w:t>
      </w:r>
      <w:r w:rsidR="00EB22FC">
        <w:rPr>
          <w:rFonts w:ascii="Arial" w:hAnsi="Arial"/>
          <w:sz w:val="24"/>
        </w:rPr>
        <w:t>; rekultywacja podniesiono o 2,0</w:t>
      </w:r>
      <w:r w:rsidR="00326B37" w:rsidRPr="00326B37">
        <w:rPr>
          <w:rFonts w:ascii="Arial" w:hAnsi="Arial"/>
          <w:sz w:val="24"/>
        </w:rPr>
        <w:t>%. Wzrost cen zanotowano również w sekcj</w:t>
      </w:r>
      <w:r w:rsidR="003942DC">
        <w:rPr>
          <w:rFonts w:ascii="Arial" w:hAnsi="Arial"/>
          <w:sz w:val="24"/>
        </w:rPr>
        <w:t>i przetwórst</w:t>
      </w:r>
      <w:r w:rsidR="00420952">
        <w:rPr>
          <w:rFonts w:ascii="Arial" w:hAnsi="Arial"/>
          <w:sz w:val="24"/>
        </w:rPr>
        <w:t>wo przemysłowe o 0,3</w:t>
      </w:r>
      <w:r w:rsidR="00326B37" w:rsidRPr="00326B37">
        <w:rPr>
          <w:rFonts w:ascii="Arial" w:hAnsi="Arial"/>
          <w:sz w:val="24"/>
        </w:rPr>
        <w:t xml:space="preserve">%, w tym największy w produkcji koksu i produktów rafinacji ropy naftowej </w:t>
      </w:r>
      <w:r w:rsidR="003122AA">
        <w:rPr>
          <w:rFonts w:ascii="Arial" w:hAnsi="Arial"/>
          <w:sz w:val="24"/>
        </w:rPr>
        <w:t>(</w:t>
      </w:r>
      <w:r w:rsidR="00C33407">
        <w:rPr>
          <w:rFonts w:ascii="Arial" w:hAnsi="Arial"/>
          <w:sz w:val="24"/>
        </w:rPr>
        <w:t>o 5,7</w:t>
      </w:r>
      <w:r w:rsidR="00326B37" w:rsidRPr="00326B37">
        <w:rPr>
          <w:rFonts w:ascii="Arial" w:hAnsi="Arial"/>
          <w:sz w:val="24"/>
        </w:rPr>
        <w:t>%</w:t>
      </w:r>
      <w:r w:rsidR="003122AA">
        <w:rPr>
          <w:rFonts w:ascii="Arial" w:hAnsi="Arial"/>
          <w:sz w:val="24"/>
        </w:rPr>
        <w:t>)</w:t>
      </w:r>
      <w:r w:rsidR="00326B37" w:rsidRPr="00326B37">
        <w:rPr>
          <w:rFonts w:ascii="Arial" w:hAnsi="Arial"/>
          <w:sz w:val="24"/>
        </w:rPr>
        <w:t>. Wzrosły również ceny</w:t>
      </w:r>
      <w:r w:rsidR="00E55CAA">
        <w:rPr>
          <w:rFonts w:ascii="Arial" w:hAnsi="Arial"/>
          <w:sz w:val="24"/>
        </w:rPr>
        <w:t xml:space="preserve"> m.in. w produkcj</w:t>
      </w:r>
      <w:r w:rsidR="00883E04">
        <w:rPr>
          <w:rFonts w:ascii="Arial" w:hAnsi="Arial"/>
          <w:sz w:val="24"/>
        </w:rPr>
        <w:t>i metali (o 4,1</w:t>
      </w:r>
      <w:r w:rsidR="00326B37" w:rsidRPr="00326B37">
        <w:rPr>
          <w:rFonts w:ascii="Arial" w:hAnsi="Arial"/>
          <w:sz w:val="24"/>
        </w:rPr>
        <w:t xml:space="preserve">%), </w:t>
      </w:r>
      <w:r w:rsidR="00CC5CDA">
        <w:rPr>
          <w:rFonts w:ascii="Arial" w:hAnsi="Arial"/>
          <w:sz w:val="24"/>
        </w:rPr>
        <w:t xml:space="preserve">poligrafii i reprodukcji zapisanych nośników informacji (o 2,1%), </w:t>
      </w:r>
      <w:r w:rsidR="00484E25">
        <w:rPr>
          <w:rFonts w:ascii="Arial" w:hAnsi="Arial"/>
          <w:sz w:val="24"/>
        </w:rPr>
        <w:t xml:space="preserve">w produkcji </w:t>
      </w:r>
      <w:r w:rsidR="00C90608">
        <w:rPr>
          <w:rFonts w:ascii="Arial" w:hAnsi="Arial"/>
          <w:sz w:val="24"/>
        </w:rPr>
        <w:t xml:space="preserve">skór i wyrobów skórzanych (o 1,8%), </w:t>
      </w:r>
      <w:r w:rsidR="00EC50E0" w:rsidRPr="00326B37">
        <w:rPr>
          <w:rFonts w:ascii="Arial" w:hAnsi="Arial"/>
          <w:sz w:val="24"/>
        </w:rPr>
        <w:t xml:space="preserve">wyrobów farmaceutycznych </w:t>
      </w:r>
      <w:r w:rsidR="00EC50E0">
        <w:rPr>
          <w:rFonts w:ascii="Arial" w:hAnsi="Arial"/>
          <w:sz w:val="24"/>
        </w:rPr>
        <w:t xml:space="preserve">(o 1,1%), </w:t>
      </w:r>
      <w:r w:rsidR="00883E04" w:rsidRPr="00326B37">
        <w:rPr>
          <w:rFonts w:ascii="Arial" w:hAnsi="Arial"/>
          <w:sz w:val="24"/>
        </w:rPr>
        <w:t>napojów</w:t>
      </w:r>
      <w:r w:rsidR="00883E04">
        <w:rPr>
          <w:rFonts w:ascii="Arial" w:hAnsi="Arial"/>
          <w:sz w:val="24"/>
        </w:rPr>
        <w:t xml:space="preserve"> (o 1,0%),</w:t>
      </w:r>
      <w:r w:rsidR="00883E04" w:rsidRPr="00326B37">
        <w:rPr>
          <w:rFonts w:ascii="Arial" w:hAnsi="Arial"/>
          <w:sz w:val="24"/>
        </w:rPr>
        <w:t xml:space="preserve"> </w:t>
      </w:r>
      <w:r w:rsidR="00EC50E0">
        <w:rPr>
          <w:rFonts w:ascii="Arial" w:hAnsi="Arial"/>
          <w:sz w:val="24"/>
        </w:rPr>
        <w:t>artykułów spożywczych (o 0,9%),</w:t>
      </w:r>
      <w:r w:rsidR="00EC50E0" w:rsidRPr="003B777C">
        <w:rPr>
          <w:rFonts w:ascii="Arial" w:hAnsi="Arial"/>
          <w:sz w:val="24"/>
        </w:rPr>
        <w:t xml:space="preserve"> </w:t>
      </w:r>
      <w:r w:rsidR="00E14604" w:rsidRPr="00326B37">
        <w:rPr>
          <w:rFonts w:ascii="Arial" w:hAnsi="Arial"/>
          <w:sz w:val="24"/>
        </w:rPr>
        <w:t>pojazdów samochodowych, przyczep i</w:t>
      </w:r>
      <w:r w:rsidR="00C94E89">
        <w:rPr>
          <w:rFonts w:ascii="Arial" w:hAnsi="Arial"/>
          <w:sz w:val="24"/>
        </w:rPr>
        <w:t xml:space="preserve"> </w:t>
      </w:r>
      <w:r w:rsidR="00E14604" w:rsidRPr="00326B37">
        <w:rPr>
          <w:rFonts w:ascii="Arial" w:hAnsi="Arial"/>
          <w:sz w:val="24"/>
        </w:rPr>
        <w:t>naczep</w:t>
      </w:r>
      <w:r w:rsidR="00EC50E0">
        <w:rPr>
          <w:rFonts w:ascii="Arial" w:hAnsi="Arial"/>
          <w:sz w:val="24"/>
        </w:rPr>
        <w:t>,</w:t>
      </w:r>
      <w:r w:rsidR="00E14604" w:rsidRPr="00326B37">
        <w:rPr>
          <w:rFonts w:ascii="Arial" w:hAnsi="Arial"/>
          <w:sz w:val="24"/>
        </w:rPr>
        <w:t xml:space="preserve"> </w:t>
      </w:r>
      <w:r w:rsidR="00EC50E0">
        <w:rPr>
          <w:rFonts w:ascii="Arial" w:hAnsi="Arial"/>
          <w:sz w:val="24"/>
        </w:rPr>
        <w:t xml:space="preserve">wyrobów z gumy i z tworzyw sztucznych </w:t>
      </w:r>
      <w:r w:rsidR="00E55CAA">
        <w:rPr>
          <w:rFonts w:ascii="Arial" w:hAnsi="Arial"/>
          <w:sz w:val="24"/>
        </w:rPr>
        <w:t>(</w:t>
      </w:r>
      <w:r w:rsidR="00EC50E0">
        <w:rPr>
          <w:rFonts w:ascii="Arial" w:hAnsi="Arial"/>
          <w:sz w:val="24"/>
        </w:rPr>
        <w:t>p</w:t>
      </w:r>
      <w:r w:rsidR="00E55CAA">
        <w:rPr>
          <w:rFonts w:ascii="Arial" w:hAnsi="Arial"/>
          <w:sz w:val="24"/>
        </w:rPr>
        <w:t>o</w:t>
      </w:r>
      <w:r w:rsidR="00C94E89">
        <w:rPr>
          <w:rFonts w:ascii="Arial" w:hAnsi="Arial"/>
          <w:sz w:val="24"/>
        </w:rPr>
        <w:t> </w:t>
      </w:r>
      <w:r w:rsidR="00883E04">
        <w:rPr>
          <w:rFonts w:ascii="Arial" w:hAnsi="Arial"/>
          <w:sz w:val="24"/>
        </w:rPr>
        <w:t>0,8</w:t>
      </w:r>
      <w:r w:rsidR="00E14604">
        <w:rPr>
          <w:rFonts w:ascii="Arial" w:hAnsi="Arial"/>
          <w:sz w:val="24"/>
        </w:rPr>
        <w:t xml:space="preserve">%), </w:t>
      </w:r>
      <w:r w:rsidR="00326B37" w:rsidRPr="00326B37">
        <w:rPr>
          <w:rFonts w:ascii="Arial" w:hAnsi="Arial"/>
          <w:sz w:val="24"/>
        </w:rPr>
        <w:t xml:space="preserve">pozostałego sprzętu transportowego </w:t>
      </w:r>
      <w:r w:rsidR="00EC50E0">
        <w:rPr>
          <w:rFonts w:ascii="Arial" w:hAnsi="Arial"/>
          <w:sz w:val="24"/>
        </w:rPr>
        <w:t>(</w:t>
      </w:r>
      <w:r w:rsidR="00E55CAA">
        <w:rPr>
          <w:rFonts w:ascii="Arial" w:hAnsi="Arial"/>
          <w:sz w:val="24"/>
        </w:rPr>
        <w:t xml:space="preserve">o </w:t>
      </w:r>
      <w:r w:rsidR="00EC50E0">
        <w:rPr>
          <w:rFonts w:ascii="Arial" w:hAnsi="Arial"/>
          <w:sz w:val="24"/>
        </w:rPr>
        <w:t xml:space="preserve">0,5%). </w:t>
      </w:r>
      <w:r w:rsidR="00E14604" w:rsidRPr="00326B37">
        <w:rPr>
          <w:rFonts w:ascii="Arial" w:hAnsi="Arial"/>
          <w:sz w:val="24"/>
        </w:rPr>
        <w:t xml:space="preserve">Spadły natomiast ceny m.in. </w:t>
      </w:r>
      <w:r w:rsidR="00E14604">
        <w:rPr>
          <w:rFonts w:ascii="Arial" w:hAnsi="Arial"/>
          <w:sz w:val="24"/>
        </w:rPr>
        <w:t>w</w:t>
      </w:r>
      <w:r w:rsidR="00C94E89">
        <w:rPr>
          <w:rFonts w:ascii="Arial" w:hAnsi="Arial"/>
          <w:sz w:val="24"/>
        </w:rPr>
        <w:t> </w:t>
      </w:r>
      <w:r w:rsidR="00E14604" w:rsidRPr="00326B37">
        <w:rPr>
          <w:rFonts w:ascii="Arial" w:hAnsi="Arial"/>
          <w:sz w:val="24"/>
        </w:rPr>
        <w:t>produkcji</w:t>
      </w:r>
      <w:r w:rsidR="00E14604" w:rsidRPr="00E14604">
        <w:rPr>
          <w:rFonts w:ascii="Arial" w:hAnsi="Arial"/>
          <w:sz w:val="24"/>
        </w:rPr>
        <w:t xml:space="preserve"> </w:t>
      </w:r>
      <w:r w:rsidR="00EC50E0">
        <w:rPr>
          <w:rFonts w:ascii="Arial" w:hAnsi="Arial"/>
          <w:sz w:val="24"/>
        </w:rPr>
        <w:t xml:space="preserve">wyrobów z pozostałych mineralnych surowców niemetalicznych (o 0,1%), papieru i wyrobów z papieru (o 0,3%), </w:t>
      </w:r>
      <w:r w:rsidR="00EC50E0" w:rsidRPr="00326B37">
        <w:rPr>
          <w:rFonts w:ascii="Arial" w:hAnsi="Arial"/>
          <w:sz w:val="24"/>
        </w:rPr>
        <w:t>wyrobów z</w:t>
      </w:r>
      <w:r w:rsidR="00EC50E0">
        <w:rPr>
          <w:rFonts w:ascii="Arial" w:hAnsi="Arial"/>
          <w:sz w:val="24"/>
        </w:rPr>
        <w:t xml:space="preserve"> </w:t>
      </w:r>
      <w:r w:rsidR="00EC50E0" w:rsidRPr="00326B37">
        <w:rPr>
          <w:rFonts w:ascii="Arial" w:hAnsi="Arial"/>
          <w:sz w:val="24"/>
        </w:rPr>
        <w:t>drewn</w:t>
      </w:r>
      <w:r w:rsidR="00EC50E0">
        <w:rPr>
          <w:rFonts w:ascii="Arial" w:hAnsi="Arial"/>
          <w:sz w:val="24"/>
        </w:rPr>
        <w:t>a, korka, słomy i wikliny (o 0,5</w:t>
      </w:r>
      <w:r w:rsidR="00EC50E0" w:rsidRPr="00326B37">
        <w:rPr>
          <w:rFonts w:ascii="Arial" w:hAnsi="Arial"/>
          <w:sz w:val="24"/>
        </w:rPr>
        <w:t>%),</w:t>
      </w:r>
      <w:r w:rsidR="00EC50E0" w:rsidRPr="00EC50E0">
        <w:rPr>
          <w:rFonts w:ascii="Arial" w:hAnsi="Arial"/>
          <w:sz w:val="24"/>
        </w:rPr>
        <w:t xml:space="preserve"> </w:t>
      </w:r>
      <w:r w:rsidR="00C90608">
        <w:rPr>
          <w:rFonts w:ascii="Arial" w:hAnsi="Arial"/>
          <w:sz w:val="24"/>
        </w:rPr>
        <w:t>odzieży (o</w:t>
      </w:r>
      <w:r w:rsidR="00C94E89">
        <w:rPr>
          <w:rFonts w:ascii="Arial" w:hAnsi="Arial"/>
          <w:sz w:val="24"/>
        </w:rPr>
        <w:t> </w:t>
      </w:r>
      <w:r w:rsidR="00C90608">
        <w:rPr>
          <w:rFonts w:ascii="Arial" w:hAnsi="Arial"/>
          <w:sz w:val="24"/>
        </w:rPr>
        <w:t xml:space="preserve">0,6%), </w:t>
      </w:r>
      <w:r w:rsidR="00EC50E0" w:rsidRPr="00326B37">
        <w:rPr>
          <w:rFonts w:ascii="Arial" w:hAnsi="Arial"/>
          <w:sz w:val="24"/>
        </w:rPr>
        <w:t>wyrobów z metali</w:t>
      </w:r>
      <w:r w:rsidR="00EC50E0">
        <w:rPr>
          <w:rFonts w:ascii="Arial" w:hAnsi="Arial"/>
          <w:sz w:val="24"/>
        </w:rPr>
        <w:t>,</w:t>
      </w:r>
      <w:r w:rsidR="00EC50E0" w:rsidRPr="00326B37">
        <w:rPr>
          <w:rFonts w:ascii="Arial" w:hAnsi="Arial"/>
          <w:sz w:val="24"/>
        </w:rPr>
        <w:t xml:space="preserve"> urządzeń elektrycznych</w:t>
      </w:r>
      <w:r w:rsidR="00EC50E0">
        <w:rPr>
          <w:rFonts w:ascii="Arial" w:hAnsi="Arial"/>
          <w:sz w:val="24"/>
        </w:rPr>
        <w:t>, mebli (po 0,8%),</w:t>
      </w:r>
      <w:r w:rsidR="00FB4C78" w:rsidRPr="00FB4C78">
        <w:rPr>
          <w:rFonts w:ascii="Arial" w:hAnsi="Arial"/>
          <w:sz w:val="24"/>
        </w:rPr>
        <w:t xml:space="preserve"> </w:t>
      </w:r>
      <w:r w:rsidR="00FB4C78">
        <w:rPr>
          <w:rFonts w:ascii="Arial" w:hAnsi="Arial"/>
          <w:sz w:val="24"/>
        </w:rPr>
        <w:t>maszyn i urządzeń (o</w:t>
      </w:r>
      <w:r w:rsidR="00C94E89">
        <w:rPr>
          <w:rFonts w:ascii="Arial" w:hAnsi="Arial"/>
          <w:sz w:val="24"/>
        </w:rPr>
        <w:t> </w:t>
      </w:r>
      <w:r w:rsidR="00FB4C78">
        <w:rPr>
          <w:rFonts w:ascii="Arial" w:hAnsi="Arial"/>
          <w:sz w:val="24"/>
        </w:rPr>
        <w:t>1,3%),</w:t>
      </w:r>
      <w:r w:rsidR="00FB4C78" w:rsidRPr="00FB4C78">
        <w:rPr>
          <w:rFonts w:ascii="Arial" w:hAnsi="Arial"/>
          <w:sz w:val="24"/>
        </w:rPr>
        <w:t xml:space="preserve"> </w:t>
      </w:r>
      <w:r w:rsidR="007B3629" w:rsidRPr="00326B37">
        <w:rPr>
          <w:rFonts w:ascii="Arial" w:hAnsi="Arial"/>
          <w:sz w:val="24"/>
        </w:rPr>
        <w:t>komputerów, wyrobów elektronicznych i</w:t>
      </w:r>
      <w:r w:rsidR="007B3629">
        <w:rPr>
          <w:rFonts w:ascii="Arial" w:hAnsi="Arial"/>
          <w:sz w:val="24"/>
        </w:rPr>
        <w:t xml:space="preserve"> </w:t>
      </w:r>
      <w:r w:rsidR="007B3629" w:rsidRPr="00326B37">
        <w:rPr>
          <w:rFonts w:ascii="Arial" w:hAnsi="Arial"/>
          <w:sz w:val="24"/>
        </w:rPr>
        <w:t xml:space="preserve">optycznych </w:t>
      </w:r>
      <w:r w:rsidR="007B3629">
        <w:rPr>
          <w:rFonts w:ascii="Arial" w:hAnsi="Arial"/>
          <w:sz w:val="24"/>
        </w:rPr>
        <w:t xml:space="preserve">(o 2,4%) oraz </w:t>
      </w:r>
      <w:r w:rsidR="00FB4C78" w:rsidRPr="00326B37">
        <w:rPr>
          <w:rFonts w:ascii="Arial" w:hAnsi="Arial"/>
          <w:sz w:val="24"/>
        </w:rPr>
        <w:t>chemikal</w:t>
      </w:r>
      <w:r w:rsidR="00FB4C78">
        <w:rPr>
          <w:rFonts w:ascii="Arial" w:hAnsi="Arial"/>
          <w:sz w:val="24"/>
        </w:rPr>
        <w:t>iów i</w:t>
      </w:r>
      <w:r w:rsidR="00C94E89">
        <w:rPr>
          <w:rFonts w:ascii="Arial" w:hAnsi="Arial"/>
          <w:sz w:val="24"/>
        </w:rPr>
        <w:t> </w:t>
      </w:r>
      <w:r w:rsidR="00FB4C78">
        <w:rPr>
          <w:rFonts w:ascii="Arial" w:hAnsi="Arial"/>
          <w:sz w:val="24"/>
        </w:rPr>
        <w:t>wyrobów chemicznych (o 3,0%)</w:t>
      </w:r>
      <w:r w:rsidR="007B3629">
        <w:rPr>
          <w:rFonts w:ascii="Arial" w:hAnsi="Arial"/>
          <w:sz w:val="24"/>
        </w:rPr>
        <w:t xml:space="preserve">. </w:t>
      </w:r>
      <w:r w:rsidR="00EB22FC">
        <w:rPr>
          <w:rFonts w:ascii="Arial" w:hAnsi="Arial"/>
          <w:sz w:val="24"/>
        </w:rPr>
        <w:t>C</w:t>
      </w:r>
      <w:r w:rsidR="00EB22FC" w:rsidRPr="00326B37">
        <w:rPr>
          <w:rFonts w:ascii="Arial" w:hAnsi="Arial"/>
          <w:sz w:val="24"/>
        </w:rPr>
        <w:t>eny w górnictwie i</w:t>
      </w:r>
      <w:r w:rsidR="00EB22FC">
        <w:rPr>
          <w:rFonts w:ascii="Arial" w:hAnsi="Arial"/>
          <w:sz w:val="24"/>
        </w:rPr>
        <w:t xml:space="preserve"> </w:t>
      </w:r>
      <w:r w:rsidR="00EB22FC" w:rsidRPr="00326B37">
        <w:rPr>
          <w:rFonts w:ascii="Arial" w:hAnsi="Arial"/>
          <w:sz w:val="24"/>
        </w:rPr>
        <w:t xml:space="preserve">wydobywaniu </w:t>
      </w:r>
      <w:r w:rsidR="00EB22FC">
        <w:rPr>
          <w:rFonts w:ascii="Arial" w:hAnsi="Arial"/>
          <w:sz w:val="24"/>
        </w:rPr>
        <w:t>ukształtowały się na poziomie zbliżonym do zanotowanego w grudniu ub. roku. Spadły natomiast c</w:t>
      </w:r>
      <w:r w:rsidR="00326B37" w:rsidRPr="00326B37">
        <w:rPr>
          <w:rFonts w:ascii="Arial" w:hAnsi="Arial"/>
          <w:sz w:val="24"/>
        </w:rPr>
        <w:t>eny w</w:t>
      </w:r>
      <w:r w:rsidRPr="00326B37">
        <w:rPr>
          <w:rFonts w:ascii="Arial" w:hAnsi="Arial"/>
          <w:sz w:val="24"/>
        </w:rPr>
        <w:t xml:space="preserve"> sekcji wytwarzanie i zaopatrywanie w energię elektryczną, gaz, parę wodną i gorącą wodę o </w:t>
      </w:r>
      <w:r w:rsidR="00FD3760">
        <w:rPr>
          <w:rFonts w:ascii="Arial" w:hAnsi="Arial"/>
          <w:sz w:val="24"/>
        </w:rPr>
        <w:t>1,9</w:t>
      </w:r>
      <w:r w:rsidRPr="00326B37">
        <w:rPr>
          <w:rFonts w:ascii="Arial" w:hAnsi="Arial"/>
          <w:sz w:val="24"/>
        </w:rPr>
        <w:t xml:space="preserve">%. </w:t>
      </w:r>
    </w:p>
    <w:p w:rsidR="001A54C6" w:rsidRDefault="00866B6E" w:rsidP="00092CF1">
      <w:pPr>
        <w:spacing w:line="280" w:lineRule="exact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W </w:t>
      </w:r>
      <w:r w:rsidR="0041747C">
        <w:rPr>
          <w:rFonts w:ascii="Arial" w:hAnsi="Arial"/>
          <w:sz w:val="24"/>
        </w:rPr>
        <w:t>sierpniu</w:t>
      </w:r>
      <w:r w:rsidR="00B955D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2016</w:t>
      </w:r>
      <w:r w:rsidR="001764AE">
        <w:rPr>
          <w:rFonts w:ascii="Arial" w:hAnsi="Arial"/>
          <w:sz w:val="24"/>
        </w:rPr>
        <w:t xml:space="preserve"> r. ceny produkcji sprzedanej przemysłu były o </w:t>
      </w:r>
      <w:r w:rsidR="0041747C">
        <w:rPr>
          <w:rFonts w:ascii="Arial" w:hAnsi="Arial"/>
          <w:sz w:val="24"/>
        </w:rPr>
        <w:t>0,1</w:t>
      </w:r>
      <w:r w:rsidR="001764AE">
        <w:rPr>
          <w:rFonts w:ascii="Arial" w:hAnsi="Arial"/>
          <w:sz w:val="24"/>
        </w:rPr>
        <w:t xml:space="preserve">% niższe niż przed rokiem (wobec spadku o </w:t>
      </w:r>
      <w:r w:rsidR="0041747C">
        <w:rPr>
          <w:rFonts w:ascii="Arial" w:hAnsi="Arial"/>
          <w:sz w:val="24"/>
        </w:rPr>
        <w:t>2,7</w:t>
      </w:r>
      <w:r w:rsidR="001764AE">
        <w:rPr>
          <w:rFonts w:ascii="Arial" w:hAnsi="Arial"/>
          <w:sz w:val="24"/>
        </w:rPr>
        <w:t xml:space="preserve">% w </w:t>
      </w:r>
      <w:r w:rsidR="0041747C">
        <w:rPr>
          <w:rFonts w:ascii="Arial" w:hAnsi="Arial"/>
          <w:sz w:val="24"/>
        </w:rPr>
        <w:t>sierpniu</w:t>
      </w:r>
      <w:r w:rsidR="00DD4071">
        <w:rPr>
          <w:rFonts w:ascii="Arial" w:hAnsi="Arial"/>
          <w:sz w:val="24"/>
        </w:rPr>
        <w:t xml:space="preserve"> </w:t>
      </w:r>
      <w:r w:rsidR="001764AE">
        <w:rPr>
          <w:rFonts w:ascii="Arial" w:hAnsi="Arial"/>
          <w:sz w:val="24"/>
        </w:rPr>
        <w:t>201</w:t>
      </w:r>
      <w:r>
        <w:rPr>
          <w:rFonts w:ascii="Arial" w:hAnsi="Arial"/>
          <w:sz w:val="24"/>
        </w:rPr>
        <w:t>5 r.</w:t>
      </w:r>
      <w:r w:rsidR="001764AE">
        <w:rPr>
          <w:rFonts w:ascii="Arial" w:hAnsi="Arial"/>
          <w:sz w:val="24"/>
        </w:rPr>
        <w:t>). Obniżono cen</w:t>
      </w:r>
      <w:r w:rsidR="004D6E02">
        <w:rPr>
          <w:rFonts w:ascii="Arial" w:hAnsi="Arial"/>
          <w:sz w:val="24"/>
        </w:rPr>
        <w:t xml:space="preserve">y </w:t>
      </w:r>
      <w:r w:rsidR="001A54C6">
        <w:rPr>
          <w:rFonts w:ascii="Arial" w:hAnsi="Arial"/>
          <w:sz w:val="24"/>
        </w:rPr>
        <w:t>w sekcjach:</w:t>
      </w:r>
      <w:r w:rsidR="00127A77">
        <w:rPr>
          <w:rFonts w:ascii="Arial" w:hAnsi="Arial"/>
          <w:sz w:val="24"/>
        </w:rPr>
        <w:t xml:space="preserve"> </w:t>
      </w:r>
      <w:r w:rsidR="009A6808">
        <w:rPr>
          <w:rFonts w:ascii="Arial" w:hAnsi="Arial"/>
          <w:sz w:val="24"/>
        </w:rPr>
        <w:t xml:space="preserve">wytwarzanie i zaopatrywanie w energię elektryczną, gaz, </w:t>
      </w:r>
      <w:r w:rsidR="0041747C">
        <w:rPr>
          <w:rFonts w:ascii="Arial" w:hAnsi="Arial"/>
          <w:sz w:val="24"/>
        </w:rPr>
        <w:t>parę wodną i gorącą wodę - o 2,6% oraz</w:t>
      </w:r>
      <w:r w:rsidR="009A6808">
        <w:rPr>
          <w:rFonts w:ascii="Arial" w:hAnsi="Arial"/>
          <w:sz w:val="24"/>
        </w:rPr>
        <w:t xml:space="preserve"> </w:t>
      </w:r>
      <w:r w:rsidR="0041747C">
        <w:rPr>
          <w:rFonts w:ascii="Arial" w:hAnsi="Arial"/>
          <w:sz w:val="24"/>
        </w:rPr>
        <w:t>górnictwo i wydobywanie - o 0,3</w:t>
      </w:r>
      <w:r w:rsidR="001A54C6">
        <w:rPr>
          <w:rFonts w:ascii="Arial" w:hAnsi="Arial"/>
          <w:sz w:val="24"/>
        </w:rPr>
        <w:t>%</w:t>
      </w:r>
      <w:r w:rsidR="0041747C">
        <w:rPr>
          <w:rFonts w:ascii="Arial" w:hAnsi="Arial"/>
          <w:sz w:val="24"/>
        </w:rPr>
        <w:t xml:space="preserve">. </w:t>
      </w:r>
      <w:r w:rsidR="00001112">
        <w:rPr>
          <w:rFonts w:ascii="Arial" w:hAnsi="Arial"/>
          <w:sz w:val="24"/>
        </w:rPr>
        <w:t>P</w:t>
      </w:r>
      <w:r w:rsidR="001A54C6">
        <w:rPr>
          <w:rFonts w:ascii="Arial" w:hAnsi="Arial"/>
          <w:sz w:val="24"/>
        </w:rPr>
        <w:t>od</w:t>
      </w:r>
      <w:r w:rsidR="0041747C">
        <w:rPr>
          <w:rFonts w:ascii="Arial" w:hAnsi="Arial"/>
          <w:sz w:val="24"/>
        </w:rPr>
        <w:t>niesiono natomiast ceny w sekcjach:</w:t>
      </w:r>
      <w:r w:rsidR="001A54C6">
        <w:rPr>
          <w:rFonts w:ascii="Arial" w:hAnsi="Arial"/>
          <w:sz w:val="24"/>
        </w:rPr>
        <w:t xml:space="preserve"> </w:t>
      </w:r>
      <w:r w:rsidR="0041747C">
        <w:rPr>
          <w:rFonts w:ascii="Arial" w:hAnsi="Arial"/>
          <w:sz w:val="24"/>
        </w:rPr>
        <w:t xml:space="preserve">przetwórstwo przemysłowe - o 0,2% oraz </w:t>
      </w:r>
      <w:r w:rsidR="001A54C6">
        <w:rPr>
          <w:rFonts w:ascii="Arial" w:hAnsi="Arial"/>
          <w:sz w:val="24"/>
        </w:rPr>
        <w:t xml:space="preserve">dostawa wody; gospodarowanie ściekami </w:t>
      </w:r>
      <w:r w:rsidR="00B955D3">
        <w:rPr>
          <w:rFonts w:ascii="Arial" w:hAnsi="Arial"/>
          <w:sz w:val="24"/>
        </w:rPr>
        <w:t>i odpadami; rekultywacj</w:t>
      </w:r>
      <w:r w:rsidR="009A6808">
        <w:rPr>
          <w:rFonts w:ascii="Arial" w:hAnsi="Arial"/>
          <w:sz w:val="24"/>
        </w:rPr>
        <w:t>a - o 1,2</w:t>
      </w:r>
      <w:r w:rsidR="001A54C6">
        <w:rPr>
          <w:rFonts w:ascii="Arial" w:hAnsi="Arial"/>
          <w:sz w:val="24"/>
        </w:rPr>
        <w:t>%.</w:t>
      </w:r>
    </w:p>
    <w:p w:rsidR="00556BEC" w:rsidRDefault="001764AE" w:rsidP="00092CF1">
      <w:pPr>
        <w:spacing w:line="280" w:lineRule="exact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Szacuje się, że </w:t>
      </w:r>
      <w:r w:rsidR="004E52BD">
        <w:rPr>
          <w:rFonts w:ascii="Arial" w:hAnsi="Arial"/>
          <w:sz w:val="24"/>
        </w:rPr>
        <w:t xml:space="preserve">w </w:t>
      </w:r>
      <w:r w:rsidR="004D4E1C">
        <w:rPr>
          <w:rFonts w:ascii="Arial" w:hAnsi="Arial"/>
          <w:sz w:val="24"/>
        </w:rPr>
        <w:t xml:space="preserve">sierpniu </w:t>
      </w:r>
      <w:r w:rsidR="004E52BD">
        <w:rPr>
          <w:rFonts w:ascii="Arial" w:hAnsi="Arial"/>
          <w:sz w:val="24"/>
        </w:rPr>
        <w:t xml:space="preserve">2016 r. </w:t>
      </w:r>
      <w:r>
        <w:rPr>
          <w:rFonts w:ascii="Arial" w:hAnsi="Arial"/>
          <w:b/>
          <w:sz w:val="24"/>
        </w:rPr>
        <w:t>ceny produkcji budowlano-montażowej</w:t>
      </w:r>
      <w:r w:rsidR="004E52BD">
        <w:rPr>
          <w:rFonts w:ascii="Arial" w:hAnsi="Arial"/>
          <w:sz w:val="24"/>
        </w:rPr>
        <w:t xml:space="preserve">, w tym ceny </w:t>
      </w:r>
      <w:r w:rsidR="004D4E1C">
        <w:rPr>
          <w:rFonts w:ascii="Arial" w:hAnsi="Arial"/>
          <w:sz w:val="24"/>
        </w:rPr>
        <w:t xml:space="preserve">budowy budynków, </w:t>
      </w:r>
      <w:r w:rsidR="00556BEC">
        <w:rPr>
          <w:rFonts w:ascii="Arial" w:hAnsi="Arial"/>
          <w:sz w:val="24"/>
        </w:rPr>
        <w:t xml:space="preserve">budowy obiektów inżynierii lądowej i wodnej </w:t>
      </w:r>
      <w:r w:rsidR="008E6CC7">
        <w:rPr>
          <w:rFonts w:ascii="Arial" w:hAnsi="Arial"/>
          <w:sz w:val="24"/>
        </w:rPr>
        <w:t xml:space="preserve">oraz </w:t>
      </w:r>
      <w:r>
        <w:rPr>
          <w:rFonts w:ascii="Arial" w:hAnsi="Arial"/>
          <w:sz w:val="24"/>
        </w:rPr>
        <w:t xml:space="preserve">robót budowlanych specjalistycznych </w:t>
      </w:r>
      <w:r w:rsidR="00556BEC">
        <w:rPr>
          <w:rFonts w:ascii="Arial" w:hAnsi="Arial"/>
          <w:sz w:val="24"/>
        </w:rPr>
        <w:t xml:space="preserve">były po 0,1% wyższe niż </w:t>
      </w:r>
      <w:r>
        <w:rPr>
          <w:rFonts w:ascii="Arial" w:hAnsi="Arial"/>
          <w:sz w:val="24"/>
        </w:rPr>
        <w:t xml:space="preserve">w </w:t>
      </w:r>
      <w:r w:rsidR="004E52BD">
        <w:rPr>
          <w:rFonts w:ascii="Arial" w:hAnsi="Arial"/>
          <w:sz w:val="24"/>
        </w:rPr>
        <w:t>poprzednim miesiącu</w:t>
      </w:r>
      <w:r w:rsidR="007A3DAE">
        <w:rPr>
          <w:rFonts w:ascii="Arial" w:hAnsi="Arial"/>
          <w:sz w:val="24"/>
        </w:rPr>
        <w:t>.</w:t>
      </w:r>
    </w:p>
    <w:p w:rsidR="00911748" w:rsidRPr="00AE5CFF" w:rsidRDefault="00911748" w:rsidP="00092CF1">
      <w:pPr>
        <w:spacing w:line="280" w:lineRule="exact"/>
        <w:ind w:firstLine="709"/>
        <w:jc w:val="both"/>
      </w:pPr>
      <w:r>
        <w:rPr>
          <w:rFonts w:ascii="Arial" w:hAnsi="Arial"/>
          <w:sz w:val="24"/>
        </w:rPr>
        <w:t xml:space="preserve">Ceny produkcji budowlano-montażowej w </w:t>
      </w:r>
      <w:r w:rsidR="004D4E1C">
        <w:rPr>
          <w:rFonts w:ascii="Arial" w:hAnsi="Arial"/>
          <w:sz w:val="24"/>
        </w:rPr>
        <w:t xml:space="preserve">sierpniu </w:t>
      </w:r>
      <w:r w:rsidR="00A10542">
        <w:rPr>
          <w:rFonts w:ascii="Arial" w:hAnsi="Arial"/>
          <w:sz w:val="24"/>
        </w:rPr>
        <w:t xml:space="preserve">br. </w:t>
      </w:r>
      <w:r w:rsidR="006A2ACA">
        <w:rPr>
          <w:rFonts w:ascii="Arial" w:hAnsi="Arial"/>
          <w:sz w:val="24"/>
        </w:rPr>
        <w:t xml:space="preserve">ukształtowały się na poziomie zbliżonym do zanotowanego w </w:t>
      </w:r>
      <w:r w:rsidR="004D4E1C">
        <w:rPr>
          <w:rFonts w:ascii="Arial" w:hAnsi="Arial"/>
          <w:sz w:val="24"/>
        </w:rPr>
        <w:t xml:space="preserve">grudniu ub. roku i </w:t>
      </w:r>
      <w:r w:rsidR="006A2ACA">
        <w:rPr>
          <w:rFonts w:ascii="Arial" w:hAnsi="Arial"/>
          <w:sz w:val="24"/>
        </w:rPr>
        <w:t xml:space="preserve">były </w:t>
      </w:r>
      <w:r w:rsidR="004D4E1C">
        <w:rPr>
          <w:rFonts w:ascii="Arial" w:hAnsi="Arial"/>
          <w:sz w:val="24"/>
        </w:rPr>
        <w:t>o 0,2</w:t>
      </w:r>
      <w:r>
        <w:rPr>
          <w:rFonts w:ascii="Arial" w:hAnsi="Arial"/>
          <w:sz w:val="24"/>
        </w:rPr>
        <w:t>% niższe niż przed rokiem.</w:t>
      </w:r>
    </w:p>
    <w:p w:rsidR="001E0387" w:rsidRDefault="001E0387" w:rsidP="00FA743C">
      <w:pPr>
        <w:ind w:left="708" w:firstLine="708"/>
        <w:rPr>
          <w:noProof/>
        </w:rPr>
      </w:pPr>
    </w:p>
    <w:p w:rsidR="00336E5E" w:rsidRDefault="005642FE" w:rsidP="00FA743C">
      <w:pPr>
        <w:ind w:left="708" w:firstLine="708"/>
      </w:pPr>
      <w:r>
        <w:rPr>
          <w:noProof/>
        </w:rPr>
        <w:lastRenderedPageBreak/>
        <w:drawing>
          <wp:inline distT="0" distB="0" distL="0" distR="0" wp14:anchorId="747F8BEC" wp14:editId="345C0046">
            <wp:extent cx="4867275" cy="3657600"/>
            <wp:effectExtent l="0" t="0" r="9525" b="0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A4F5C" w:rsidRDefault="005642FE" w:rsidP="00FA743C">
      <w:pPr>
        <w:ind w:left="708" w:firstLine="708"/>
      </w:pPr>
      <w:r>
        <w:rPr>
          <w:noProof/>
        </w:rPr>
        <w:drawing>
          <wp:inline distT="0" distB="0" distL="0" distR="0" wp14:anchorId="3D40F089" wp14:editId="034FC56D">
            <wp:extent cx="4876800" cy="3676650"/>
            <wp:effectExtent l="0" t="0" r="0" b="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A4F5C" w:rsidRDefault="005642FE" w:rsidP="00FA743C">
      <w:pPr>
        <w:ind w:left="708" w:firstLine="708"/>
      </w:pPr>
      <w:r>
        <w:rPr>
          <w:noProof/>
        </w:rPr>
        <w:lastRenderedPageBreak/>
        <w:drawing>
          <wp:inline distT="0" distB="0" distL="0" distR="0" wp14:anchorId="5B8E822F" wp14:editId="130DF896">
            <wp:extent cx="4829175" cy="3762375"/>
            <wp:effectExtent l="0" t="0" r="9525" b="9525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36E5E" w:rsidRDefault="005642FE" w:rsidP="00FA743C">
      <w:pPr>
        <w:ind w:left="708" w:firstLine="708"/>
      </w:pPr>
      <w:r>
        <w:rPr>
          <w:noProof/>
        </w:rPr>
        <w:drawing>
          <wp:inline distT="0" distB="0" distL="0" distR="0" wp14:anchorId="4E8E1719" wp14:editId="74B0979C">
            <wp:extent cx="4819650" cy="3971925"/>
            <wp:effectExtent l="0" t="0" r="0" b="9525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81"/>
      </w:tblGrid>
      <w:tr w:rsidR="006B0AC7" w:rsidRPr="003E411B" w:rsidTr="006B0AC7">
        <w:tc>
          <w:tcPr>
            <w:tcW w:w="4871" w:type="dxa"/>
          </w:tcPr>
          <w:p w:rsidR="006B0AC7" w:rsidRPr="00334194" w:rsidRDefault="006B0AC7" w:rsidP="00A20A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34194">
              <w:rPr>
                <w:rFonts w:asciiTheme="minorHAnsi" w:hAnsiTheme="minorHAnsi" w:cstheme="minorHAnsi"/>
                <w:sz w:val="20"/>
              </w:rPr>
              <w:t>Opracowanie merytoryczne:</w:t>
            </w:r>
          </w:p>
          <w:p w:rsidR="006B0AC7" w:rsidRPr="00334194" w:rsidRDefault="006B0AC7" w:rsidP="00A20A5A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34194">
              <w:rPr>
                <w:rFonts w:asciiTheme="minorHAnsi" w:hAnsiTheme="minorHAnsi" w:cstheme="minorHAnsi"/>
                <w:b/>
                <w:sz w:val="20"/>
              </w:rPr>
              <w:t xml:space="preserve">Departament </w:t>
            </w:r>
            <w:r>
              <w:rPr>
                <w:rFonts w:asciiTheme="minorHAnsi" w:hAnsiTheme="minorHAnsi" w:cstheme="minorHAnsi"/>
                <w:b/>
                <w:sz w:val="20"/>
              </w:rPr>
              <w:t>Produkcji</w:t>
            </w:r>
            <w:r w:rsidRPr="00334194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334194">
              <w:rPr>
                <w:rFonts w:asciiTheme="minorHAnsi" w:hAnsiTheme="minorHAnsi" w:cstheme="minorHAnsi"/>
                <w:b/>
                <w:sz w:val="20"/>
              </w:rPr>
              <w:br/>
            </w:r>
            <w:r>
              <w:rPr>
                <w:rFonts w:asciiTheme="minorHAnsi" w:hAnsiTheme="minorHAnsi" w:cstheme="minorHAnsi"/>
                <w:b/>
                <w:sz w:val="20"/>
              </w:rPr>
              <w:t>Bożena Kudelska</w:t>
            </w:r>
          </w:p>
          <w:p w:rsidR="006B0AC7" w:rsidRPr="00334194" w:rsidRDefault="006B0AC7" w:rsidP="00A20A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34194">
              <w:rPr>
                <w:rFonts w:asciiTheme="minorHAnsi" w:hAnsiTheme="minorHAnsi" w:cstheme="minorHAnsi"/>
                <w:sz w:val="20"/>
                <w:lang w:val="fi-FI"/>
              </w:rPr>
              <w:t>Tel: 22</w:t>
            </w:r>
            <w:r>
              <w:rPr>
                <w:rFonts w:asciiTheme="minorHAnsi" w:hAnsiTheme="minorHAnsi" w:cstheme="minorHAnsi"/>
                <w:sz w:val="20"/>
                <w:lang w:val="fi-FI"/>
              </w:rPr>
              <w:t> 608 3607</w:t>
            </w:r>
          </w:p>
        </w:tc>
        <w:tc>
          <w:tcPr>
            <w:tcW w:w="4881" w:type="dxa"/>
          </w:tcPr>
          <w:p w:rsidR="006B0AC7" w:rsidRPr="00334194" w:rsidRDefault="006B0AC7" w:rsidP="00A20A5A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34194">
              <w:rPr>
                <w:rFonts w:asciiTheme="minorHAnsi" w:hAnsiTheme="minorHAnsi" w:cstheme="minorHAnsi"/>
                <w:sz w:val="20"/>
              </w:rPr>
              <w:t>Rozpowszechnianie:</w:t>
            </w:r>
            <w:r w:rsidRPr="00334194">
              <w:rPr>
                <w:rFonts w:asciiTheme="minorHAnsi" w:hAnsiTheme="minorHAnsi" w:cstheme="minorHAnsi"/>
                <w:sz w:val="20"/>
              </w:rPr>
              <w:br/>
            </w:r>
            <w:r w:rsidRPr="00334194">
              <w:rPr>
                <w:rFonts w:asciiTheme="minorHAnsi" w:hAnsiTheme="minorHAnsi" w:cstheme="minorHAnsi"/>
                <w:b/>
                <w:sz w:val="20"/>
              </w:rPr>
              <w:t>Rzecznik Prasowy Prezesa GUS</w:t>
            </w:r>
          </w:p>
          <w:p w:rsidR="006B0AC7" w:rsidRPr="00334194" w:rsidRDefault="006B0AC7" w:rsidP="00A20A5A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34194">
              <w:rPr>
                <w:rFonts w:asciiTheme="minorHAnsi" w:hAnsiTheme="minorHAnsi" w:cstheme="minorHAnsi"/>
                <w:b/>
                <w:bCs/>
                <w:sz w:val="20"/>
              </w:rPr>
              <w:t xml:space="preserve">Artur </w:t>
            </w:r>
            <w:proofErr w:type="spellStart"/>
            <w:r w:rsidRPr="00334194">
              <w:rPr>
                <w:rFonts w:asciiTheme="minorHAnsi" w:hAnsiTheme="minorHAnsi" w:cstheme="minorHAnsi"/>
                <w:b/>
                <w:bCs/>
                <w:sz w:val="20"/>
              </w:rPr>
              <w:t>Satora</w:t>
            </w:r>
            <w:proofErr w:type="spellEnd"/>
          </w:p>
          <w:p w:rsidR="006B0AC7" w:rsidRPr="00334194" w:rsidRDefault="000F12D1" w:rsidP="00A20A5A">
            <w:pPr>
              <w:pStyle w:val="Nagwek3"/>
              <w:spacing w:line="240" w:lineRule="auto"/>
              <w:outlineLvl w:val="2"/>
              <w:rPr>
                <w:rFonts w:asciiTheme="minorHAnsi" w:hAnsiTheme="minorHAnsi" w:cstheme="minorHAnsi"/>
                <w:sz w:val="20"/>
                <w:szCs w:val="22"/>
                <w:lang w:val="fi-FI"/>
              </w:rPr>
            </w:pPr>
            <w:r>
              <w:rPr>
                <w:rFonts w:asciiTheme="minorHAnsi" w:hAnsiTheme="minorHAnsi" w:cstheme="minorHAnsi"/>
                <w:sz w:val="20"/>
                <w:szCs w:val="22"/>
                <w:lang w:val="fi-FI"/>
              </w:rPr>
              <w:t>Tel: 22 608 347</w:t>
            </w:r>
            <w:r w:rsidR="006B0AC7" w:rsidRPr="00334194">
              <w:rPr>
                <w:rFonts w:asciiTheme="minorHAnsi" w:hAnsiTheme="minorHAnsi" w:cstheme="minorHAnsi"/>
                <w:sz w:val="20"/>
                <w:szCs w:val="22"/>
                <w:lang w:val="fi-FI"/>
              </w:rPr>
              <w:t>5, 22 608 3009</w:t>
            </w:r>
          </w:p>
          <w:p w:rsidR="006B0AC7" w:rsidRPr="00334194" w:rsidRDefault="006B0AC7" w:rsidP="00A20A5A">
            <w:pPr>
              <w:pStyle w:val="Nagwek3"/>
              <w:spacing w:line="240" w:lineRule="auto"/>
              <w:outlineLvl w:val="2"/>
              <w:rPr>
                <w:rFonts w:asciiTheme="minorHAnsi" w:hAnsiTheme="minorHAnsi" w:cstheme="minorHAnsi"/>
                <w:sz w:val="20"/>
                <w:szCs w:val="22"/>
                <w:lang w:val="en-US"/>
              </w:rPr>
            </w:pPr>
            <w:r w:rsidRPr="00334194">
              <w:rPr>
                <w:rFonts w:asciiTheme="minorHAnsi" w:hAnsiTheme="minorHAnsi" w:cstheme="minorHAnsi"/>
                <w:b w:val="0"/>
                <w:sz w:val="20"/>
                <w:szCs w:val="22"/>
                <w:lang w:val="en-US"/>
              </w:rPr>
              <w:t>e-mail</w:t>
            </w:r>
            <w:r w:rsidRPr="00334194">
              <w:rPr>
                <w:rFonts w:asciiTheme="minorHAnsi" w:hAnsiTheme="minorHAnsi" w:cstheme="minorHAnsi"/>
                <w:b w:val="0"/>
                <w:sz w:val="20"/>
                <w:szCs w:val="22"/>
              </w:rPr>
              <w:t xml:space="preserve">: </w:t>
            </w:r>
            <w:hyperlink r:id="rId12" w:history="1">
              <w:r w:rsidRPr="00334194">
                <w:rPr>
                  <w:rStyle w:val="Hipercze"/>
                  <w:rFonts w:asciiTheme="minorHAnsi" w:hAnsiTheme="minorHAnsi" w:cstheme="minorHAnsi"/>
                  <w:b w:val="0"/>
                  <w:szCs w:val="22"/>
                </w:rPr>
                <w:t>rzecznik@stat.gov.pl</w:t>
              </w:r>
            </w:hyperlink>
          </w:p>
        </w:tc>
      </w:tr>
    </w:tbl>
    <w:p w:rsidR="001E0387" w:rsidRPr="004A2A28" w:rsidRDefault="001E0387" w:rsidP="00B362C8">
      <w:pPr>
        <w:spacing w:after="0" w:line="240" w:lineRule="auto"/>
        <w:rPr>
          <w:rFonts w:cs="Calibri"/>
          <w:sz w:val="20"/>
          <w:szCs w:val="24"/>
          <w:lang w:val="en-US"/>
        </w:rPr>
      </w:pPr>
    </w:p>
    <w:p w:rsidR="004925F0" w:rsidRPr="004925F0" w:rsidRDefault="006B0AC7" w:rsidP="00B362C8">
      <w:pPr>
        <w:spacing w:after="0" w:line="240" w:lineRule="auto"/>
      </w:pPr>
      <w:r w:rsidRPr="00334194">
        <w:rPr>
          <w:rFonts w:cs="Calibri"/>
          <w:sz w:val="20"/>
          <w:szCs w:val="24"/>
        </w:rPr>
        <w:t xml:space="preserve">Więcej na: </w:t>
      </w:r>
      <w:hyperlink r:id="rId13" w:history="1">
        <w:r w:rsidRPr="000B6DDF">
          <w:rPr>
            <w:rStyle w:val="Hipercze"/>
            <w:sz w:val="22"/>
          </w:rPr>
          <w:t>http://stat.gov.pl/obszary-tematyczne/ceny-handel</w:t>
        </w:r>
      </w:hyperlink>
    </w:p>
    <w:sectPr w:rsidR="004925F0" w:rsidRPr="004925F0" w:rsidSect="000D7BE1">
      <w:footerReference w:type="default" r:id="rId14"/>
      <w:pgSz w:w="11906" w:h="16838" w:code="9"/>
      <w:pgMar w:top="1134" w:right="1077" w:bottom="992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2A7" w:rsidRDefault="00FB12A7" w:rsidP="000D7BE1">
      <w:pPr>
        <w:spacing w:after="0" w:line="240" w:lineRule="auto"/>
      </w:pPr>
      <w:r>
        <w:separator/>
      </w:r>
    </w:p>
  </w:endnote>
  <w:endnote w:type="continuationSeparator" w:id="0">
    <w:p w:rsidR="00FB12A7" w:rsidRDefault="00FB12A7" w:rsidP="000D7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6479381"/>
      <w:docPartObj>
        <w:docPartGallery w:val="Page Numbers (Bottom of Page)"/>
        <w:docPartUnique/>
      </w:docPartObj>
    </w:sdtPr>
    <w:sdtEndPr/>
    <w:sdtContent>
      <w:p w:rsidR="000D7BE1" w:rsidRDefault="000D7BE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11B">
          <w:rPr>
            <w:noProof/>
          </w:rPr>
          <w:t>4</w:t>
        </w:r>
        <w:r>
          <w:fldChar w:fldCharType="end"/>
        </w:r>
      </w:p>
    </w:sdtContent>
  </w:sdt>
  <w:p w:rsidR="000D7BE1" w:rsidRDefault="000D7B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2A7" w:rsidRDefault="00FB12A7" w:rsidP="000D7BE1">
      <w:pPr>
        <w:spacing w:after="0" w:line="240" w:lineRule="auto"/>
      </w:pPr>
      <w:r>
        <w:separator/>
      </w:r>
    </w:p>
  </w:footnote>
  <w:footnote w:type="continuationSeparator" w:id="0">
    <w:p w:rsidR="00FB12A7" w:rsidRDefault="00FB12A7" w:rsidP="000D7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C45"/>
    <w:rsid w:val="00001112"/>
    <w:rsid w:val="00005401"/>
    <w:rsid w:val="00006A1D"/>
    <w:rsid w:val="000109D7"/>
    <w:rsid w:val="00010C45"/>
    <w:rsid w:val="00023939"/>
    <w:rsid w:val="00030267"/>
    <w:rsid w:val="000340E0"/>
    <w:rsid w:val="00034B19"/>
    <w:rsid w:val="0005303F"/>
    <w:rsid w:val="00092CF1"/>
    <w:rsid w:val="000B1D8A"/>
    <w:rsid w:val="000B685B"/>
    <w:rsid w:val="000D084D"/>
    <w:rsid w:val="000D78F1"/>
    <w:rsid w:val="000D7BE1"/>
    <w:rsid w:val="000E102F"/>
    <w:rsid w:val="000E2503"/>
    <w:rsid w:val="000E5DC3"/>
    <w:rsid w:val="000F12D1"/>
    <w:rsid w:val="000F1916"/>
    <w:rsid w:val="000F62B6"/>
    <w:rsid w:val="00110343"/>
    <w:rsid w:val="001126D7"/>
    <w:rsid w:val="0012005A"/>
    <w:rsid w:val="00127A77"/>
    <w:rsid w:val="001432C9"/>
    <w:rsid w:val="00153AFD"/>
    <w:rsid w:val="00161520"/>
    <w:rsid w:val="001764AE"/>
    <w:rsid w:val="001764D3"/>
    <w:rsid w:val="001839FF"/>
    <w:rsid w:val="001963F8"/>
    <w:rsid w:val="001A04F4"/>
    <w:rsid w:val="001A075A"/>
    <w:rsid w:val="001A54C6"/>
    <w:rsid w:val="001B2113"/>
    <w:rsid w:val="001C01EA"/>
    <w:rsid w:val="001D4730"/>
    <w:rsid w:val="001D5DC1"/>
    <w:rsid w:val="001E0387"/>
    <w:rsid w:val="001E546E"/>
    <w:rsid w:val="001E7596"/>
    <w:rsid w:val="001F0582"/>
    <w:rsid w:val="001F0AB9"/>
    <w:rsid w:val="002123F2"/>
    <w:rsid w:val="00224733"/>
    <w:rsid w:val="00243FE2"/>
    <w:rsid w:val="00244348"/>
    <w:rsid w:val="0024628A"/>
    <w:rsid w:val="00246A1D"/>
    <w:rsid w:val="0025003A"/>
    <w:rsid w:val="0025005F"/>
    <w:rsid w:val="002509C3"/>
    <w:rsid w:val="00260D31"/>
    <w:rsid w:val="0027367B"/>
    <w:rsid w:val="00275759"/>
    <w:rsid w:val="002869BC"/>
    <w:rsid w:val="00287F5A"/>
    <w:rsid w:val="00295604"/>
    <w:rsid w:val="002A5A01"/>
    <w:rsid w:val="002B2AE6"/>
    <w:rsid w:val="002B389A"/>
    <w:rsid w:val="002D58E1"/>
    <w:rsid w:val="002D607B"/>
    <w:rsid w:val="002E53BB"/>
    <w:rsid w:val="002F0207"/>
    <w:rsid w:val="002F6634"/>
    <w:rsid w:val="0030357F"/>
    <w:rsid w:val="003122AA"/>
    <w:rsid w:val="00326B37"/>
    <w:rsid w:val="00334194"/>
    <w:rsid w:val="00336E5E"/>
    <w:rsid w:val="00341C66"/>
    <w:rsid w:val="00352D0D"/>
    <w:rsid w:val="00380821"/>
    <w:rsid w:val="003942DC"/>
    <w:rsid w:val="003A7E46"/>
    <w:rsid w:val="003B3A82"/>
    <w:rsid w:val="003B777C"/>
    <w:rsid w:val="003C5DFF"/>
    <w:rsid w:val="003C6B0C"/>
    <w:rsid w:val="003C7173"/>
    <w:rsid w:val="003D3F73"/>
    <w:rsid w:val="003E2046"/>
    <w:rsid w:val="003E3E24"/>
    <w:rsid w:val="003E411B"/>
    <w:rsid w:val="003E670F"/>
    <w:rsid w:val="003F1AC9"/>
    <w:rsid w:val="00400F49"/>
    <w:rsid w:val="0041337A"/>
    <w:rsid w:val="0041747C"/>
    <w:rsid w:val="00420952"/>
    <w:rsid w:val="00424BFB"/>
    <w:rsid w:val="004254CB"/>
    <w:rsid w:val="00427AC9"/>
    <w:rsid w:val="00460601"/>
    <w:rsid w:val="00463040"/>
    <w:rsid w:val="00474D11"/>
    <w:rsid w:val="00484E25"/>
    <w:rsid w:val="004925F0"/>
    <w:rsid w:val="004A0873"/>
    <w:rsid w:val="004A2A28"/>
    <w:rsid w:val="004A4EEF"/>
    <w:rsid w:val="004A5E00"/>
    <w:rsid w:val="004B4589"/>
    <w:rsid w:val="004C4700"/>
    <w:rsid w:val="004D421B"/>
    <w:rsid w:val="004D4E1C"/>
    <w:rsid w:val="004D6E02"/>
    <w:rsid w:val="004E4677"/>
    <w:rsid w:val="004E52BD"/>
    <w:rsid w:val="004F317C"/>
    <w:rsid w:val="004F7BF4"/>
    <w:rsid w:val="0050086D"/>
    <w:rsid w:val="005034AB"/>
    <w:rsid w:val="00505188"/>
    <w:rsid w:val="00505C87"/>
    <w:rsid w:val="00507CD1"/>
    <w:rsid w:val="00517F7B"/>
    <w:rsid w:val="00520D69"/>
    <w:rsid w:val="005236A8"/>
    <w:rsid w:val="00526A02"/>
    <w:rsid w:val="00536670"/>
    <w:rsid w:val="0055206A"/>
    <w:rsid w:val="00556BEC"/>
    <w:rsid w:val="005642FE"/>
    <w:rsid w:val="00564FFB"/>
    <w:rsid w:val="005660FC"/>
    <w:rsid w:val="00574A42"/>
    <w:rsid w:val="00592C62"/>
    <w:rsid w:val="005A035F"/>
    <w:rsid w:val="005F0AAA"/>
    <w:rsid w:val="005F37F3"/>
    <w:rsid w:val="00605D51"/>
    <w:rsid w:val="0061176E"/>
    <w:rsid w:val="0061372B"/>
    <w:rsid w:val="00625214"/>
    <w:rsid w:val="00627028"/>
    <w:rsid w:val="00636B26"/>
    <w:rsid w:val="00644712"/>
    <w:rsid w:val="006557F3"/>
    <w:rsid w:val="00661F88"/>
    <w:rsid w:val="00664218"/>
    <w:rsid w:val="006843ED"/>
    <w:rsid w:val="00686713"/>
    <w:rsid w:val="00691E3C"/>
    <w:rsid w:val="006A2ACA"/>
    <w:rsid w:val="006B0AC7"/>
    <w:rsid w:val="006B6B08"/>
    <w:rsid w:val="006C13C6"/>
    <w:rsid w:val="006C2C3B"/>
    <w:rsid w:val="006C4D27"/>
    <w:rsid w:val="006D49BF"/>
    <w:rsid w:val="006E2D8D"/>
    <w:rsid w:val="006F1043"/>
    <w:rsid w:val="00701CF4"/>
    <w:rsid w:val="00707A30"/>
    <w:rsid w:val="00710E85"/>
    <w:rsid w:val="007115E9"/>
    <w:rsid w:val="0071438A"/>
    <w:rsid w:val="007466A5"/>
    <w:rsid w:val="00760B1E"/>
    <w:rsid w:val="0077176F"/>
    <w:rsid w:val="00797CAF"/>
    <w:rsid w:val="007A3DAE"/>
    <w:rsid w:val="007B17E3"/>
    <w:rsid w:val="007B3629"/>
    <w:rsid w:val="007B421B"/>
    <w:rsid w:val="007B6721"/>
    <w:rsid w:val="007B7530"/>
    <w:rsid w:val="007C04CA"/>
    <w:rsid w:val="007C66FC"/>
    <w:rsid w:val="007C6776"/>
    <w:rsid w:val="007D5885"/>
    <w:rsid w:val="007D7696"/>
    <w:rsid w:val="007E3902"/>
    <w:rsid w:val="007E5332"/>
    <w:rsid w:val="007E5CC6"/>
    <w:rsid w:val="007F47A9"/>
    <w:rsid w:val="0081128F"/>
    <w:rsid w:val="00826A4D"/>
    <w:rsid w:val="00827EAB"/>
    <w:rsid w:val="008509CD"/>
    <w:rsid w:val="00851A05"/>
    <w:rsid w:val="0085400B"/>
    <w:rsid w:val="00863CEA"/>
    <w:rsid w:val="00866B6E"/>
    <w:rsid w:val="00871C92"/>
    <w:rsid w:val="008771B1"/>
    <w:rsid w:val="00883E04"/>
    <w:rsid w:val="0088733F"/>
    <w:rsid w:val="008A1560"/>
    <w:rsid w:val="008B4DC1"/>
    <w:rsid w:val="008B6DD2"/>
    <w:rsid w:val="008C2E78"/>
    <w:rsid w:val="008D0E0D"/>
    <w:rsid w:val="008D1F92"/>
    <w:rsid w:val="008D7C80"/>
    <w:rsid w:val="008E6CC7"/>
    <w:rsid w:val="00901264"/>
    <w:rsid w:val="00906A6E"/>
    <w:rsid w:val="00911748"/>
    <w:rsid w:val="00915A60"/>
    <w:rsid w:val="009233BC"/>
    <w:rsid w:val="009263FE"/>
    <w:rsid w:val="00937AE7"/>
    <w:rsid w:val="00944ACF"/>
    <w:rsid w:val="00944C32"/>
    <w:rsid w:val="0096220A"/>
    <w:rsid w:val="00966A22"/>
    <w:rsid w:val="00974F7C"/>
    <w:rsid w:val="009828CE"/>
    <w:rsid w:val="0098599A"/>
    <w:rsid w:val="00992532"/>
    <w:rsid w:val="009A6808"/>
    <w:rsid w:val="009B2B55"/>
    <w:rsid w:val="009C0C35"/>
    <w:rsid w:val="009E1417"/>
    <w:rsid w:val="009E23D9"/>
    <w:rsid w:val="009E5615"/>
    <w:rsid w:val="009E58B4"/>
    <w:rsid w:val="009F67B9"/>
    <w:rsid w:val="00A10542"/>
    <w:rsid w:val="00A1198B"/>
    <w:rsid w:val="00A1642C"/>
    <w:rsid w:val="00A42463"/>
    <w:rsid w:val="00A75AE8"/>
    <w:rsid w:val="00AA4F5C"/>
    <w:rsid w:val="00AB00C3"/>
    <w:rsid w:val="00AC1613"/>
    <w:rsid w:val="00AD2A92"/>
    <w:rsid w:val="00AE46FD"/>
    <w:rsid w:val="00AF3652"/>
    <w:rsid w:val="00B16B9F"/>
    <w:rsid w:val="00B24819"/>
    <w:rsid w:val="00B362C8"/>
    <w:rsid w:val="00B503DE"/>
    <w:rsid w:val="00B615C6"/>
    <w:rsid w:val="00B62933"/>
    <w:rsid w:val="00B73A00"/>
    <w:rsid w:val="00B73D73"/>
    <w:rsid w:val="00B74418"/>
    <w:rsid w:val="00B77930"/>
    <w:rsid w:val="00B955D3"/>
    <w:rsid w:val="00BA22A3"/>
    <w:rsid w:val="00BA5DC2"/>
    <w:rsid w:val="00BC342D"/>
    <w:rsid w:val="00BC6C42"/>
    <w:rsid w:val="00BD2D64"/>
    <w:rsid w:val="00BE081A"/>
    <w:rsid w:val="00BF2A34"/>
    <w:rsid w:val="00BF4734"/>
    <w:rsid w:val="00C112F6"/>
    <w:rsid w:val="00C15700"/>
    <w:rsid w:val="00C27E4D"/>
    <w:rsid w:val="00C33407"/>
    <w:rsid w:val="00C36819"/>
    <w:rsid w:val="00C4433D"/>
    <w:rsid w:val="00C46402"/>
    <w:rsid w:val="00C72106"/>
    <w:rsid w:val="00C8298F"/>
    <w:rsid w:val="00C83569"/>
    <w:rsid w:val="00C83871"/>
    <w:rsid w:val="00C8600E"/>
    <w:rsid w:val="00C90608"/>
    <w:rsid w:val="00C94E89"/>
    <w:rsid w:val="00CA3364"/>
    <w:rsid w:val="00CB33E0"/>
    <w:rsid w:val="00CB624A"/>
    <w:rsid w:val="00CC5CDA"/>
    <w:rsid w:val="00CD0855"/>
    <w:rsid w:val="00CD26C2"/>
    <w:rsid w:val="00CD7479"/>
    <w:rsid w:val="00CD7F0E"/>
    <w:rsid w:val="00D05258"/>
    <w:rsid w:val="00D129D2"/>
    <w:rsid w:val="00D253BE"/>
    <w:rsid w:val="00D312BD"/>
    <w:rsid w:val="00D466BD"/>
    <w:rsid w:val="00D777D9"/>
    <w:rsid w:val="00D875EB"/>
    <w:rsid w:val="00D90BDB"/>
    <w:rsid w:val="00DA1EE5"/>
    <w:rsid w:val="00DA2F88"/>
    <w:rsid w:val="00DA3620"/>
    <w:rsid w:val="00DA4C6B"/>
    <w:rsid w:val="00DC061F"/>
    <w:rsid w:val="00DD395E"/>
    <w:rsid w:val="00DD3E5D"/>
    <w:rsid w:val="00DD4071"/>
    <w:rsid w:val="00DE115A"/>
    <w:rsid w:val="00DE4168"/>
    <w:rsid w:val="00E025CC"/>
    <w:rsid w:val="00E02A36"/>
    <w:rsid w:val="00E03D7E"/>
    <w:rsid w:val="00E05687"/>
    <w:rsid w:val="00E140A7"/>
    <w:rsid w:val="00E14604"/>
    <w:rsid w:val="00E17C1C"/>
    <w:rsid w:val="00E201FE"/>
    <w:rsid w:val="00E43A31"/>
    <w:rsid w:val="00E55A6C"/>
    <w:rsid w:val="00E55CAA"/>
    <w:rsid w:val="00E6203D"/>
    <w:rsid w:val="00EA3942"/>
    <w:rsid w:val="00EA7620"/>
    <w:rsid w:val="00EB1B1A"/>
    <w:rsid w:val="00EB2040"/>
    <w:rsid w:val="00EB22FC"/>
    <w:rsid w:val="00EB3720"/>
    <w:rsid w:val="00EC1A65"/>
    <w:rsid w:val="00EC2631"/>
    <w:rsid w:val="00EC50E0"/>
    <w:rsid w:val="00ED27C6"/>
    <w:rsid w:val="00EE073F"/>
    <w:rsid w:val="00EE3440"/>
    <w:rsid w:val="00EE4CDA"/>
    <w:rsid w:val="00EE4EE1"/>
    <w:rsid w:val="00EE5CA2"/>
    <w:rsid w:val="00F029FA"/>
    <w:rsid w:val="00F14060"/>
    <w:rsid w:val="00F32BAD"/>
    <w:rsid w:val="00F50A07"/>
    <w:rsid w:val="00F61DEE"/>
    <w:rsid w:val="00F73B20"/>
    <w:rsid w:val="00F844B3"/>
    <w:rsid w:val="00FA35A2"/>
    <w:rsid w:val="00FA743C"/>
    <w:rsid w:val="00FB12A7"/>
    <w:rsid w:val="00FB4C78"/>
    <w:rsid w:val="00FC049A"/>
    <w:rsid w:val="00FD3760"/>
    <w:rsid w:val="00FE0C8C"/>
    <w:rsid w:val="00FE1A19"/>
    <w:rsid w:val="00FE5B1C"/>
    <w:rsid w:val="00FE728E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03154F-525C-468B-BD46-D370B6E5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C45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867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334194"/>
    <w:pPr>
      <w:keepNext/>
      <w:spacing w:after="0" w:line="360" w:lineRule="auto"/>
      <w:jc w:val="center"/>
      <w:outlineLvl w:val="2"/>
    </w:pPr>
    <w:rPr>
      <w:rFonts w:ascii="Arial" w:hAnsi="Arial"/>
      <w:b/>
      <w:sz w:val="24"/>
      <w:szCs w:val="20"/>
      <w:lang w:val="en-GB" w:eastAsia="en-GB"/>
    </w:rPr>
  </w:style>
  <w:style w:type="paragraph" w:styleId="Nagwek7">
    <w:name w:val="heading 7"/>
    <w:basedOn w:val="Normalny"/>
    <w:next w:val="Normalny"/>
    <w:link w:val="Nagwek7Znak"/>
    <w:unhideWhenUsed/>
    <w:qFormat/>
    <w:rsid w:val="00FA743C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??wek 1"/>
    <w:basedOn w:val="Normalny"/>
    <w:next w:val="Normalny"/>
    <w:rsid w:val="00010C45"/>
    <w:pPr>
      <w:keepNext/>
      <w:widowControl w:val="0"/>
      <w:spacing w:before="240" w:after="0" w:line="300" w:lineRule="auto"/>
      <w:jc w:val="both"/>
    </w:pPr>
    <w:rPr>
      <w:rFonts w:ascii="Times New Roman" w:hAnsi="Times New Roman"/>
      <w:b/>
      <w:sz w:val="36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0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C4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010C45"/>
    <w:rPr>
      <w:vertAlign w:val="superscript"/>
    </w:rPr>
  </w:style>
  <w:style w:type="table" w:styleId="Tabela-Siatka">
    <w:name w:val="Table Grid"/>
    <w:basedOn w:val="Standardowy"/>
    <w:uiPriority w:val="59"/>
    <w:rsid w:val="00334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334194"/>
    <w:rPr>
      <w:rFonts w:ascii="Arial" w:eastAsia="Times New Roman" w:hAnsi="Arial" w:cs="Times New Roman"/>
      <w:b/>
      <w:sz w:val="24"/>
      <w:szCs w:val="20"/>
      <w:lang w:val="en-GB" w:eastAsia="en-GB"/>
    </w:rPr>
  </w:style>
  <w:style w:type="character" w:styleId="Hipercze">
    <w:name w:val="Hyperlink"/>
    <w:rsid w:val="00334194"/>
    <w:rPr>
      <w:color w:val="0000FF"/>
      <w:sz w:val="20"/>
      <w:u w:val="single"/>
    </w:rPr>
  </w:style>
  <w:style w:type="paragraph" w:styleId="Nagwek">
    <w:name w:val="header"/>
    <w:basedOn w:val="Normalny"/>
    <w:link w:val="NagwekZnak"/>
    <w:unhideWhenUsed/>
    <w:rsid w:val="000D7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BE1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7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BE1"/>
    <w:rPr>
      <w:rFonts w:ascii="Calibri" w:eastAsia="Times New Roman" w:hAnsi="Calibri" w:cs="Times New Roman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E3E24"/>
    <w:rPr>
      <w:color w:val="800080" w:themeColor="followedHyperlink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rsid w:val="00FA743C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68671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://stat.gov.pl/obszary-tematyczne/ceny-hande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rzecznik@stat.gov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Arkusz_programu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Arkusz_programu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pl-PL"/>
              <a:t>Dynamika cen produkcji sprzedanej przemysłu 
w latach 2015-2016
</a:t>
            </a:r>
          </a:p>
        </c:rich>
      </c:tx>
      <c:layout>
        <c:manualLayout>
          <c:xMode val="edge"/>
          <c:yMode val="edge"/>
          <c:x val="0.17808239723459224"/>
          <c:y val="3.125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1154609484514016"/>
          <c:y val="0.22916724946911995"/>
          <c:w val="0.76908096972175588"/>
          <c:h val="0.57552229696222168"/>
        </c:manualLayout>
      </c:layout>
      <c:lineChart>
        <c:grouping val="standard"/>
        <c:varyColors val="0"/>
        <c:ser>
          <c:idx val="0"/>
          <c:order val="0"/>
          <c:tx>
            <c:strRef>
              <c:f>rys1!$C$27</c:f>
              <c:strCache>
                <c:ptCount val="1"/>
                <c:pt idx="0">
                  <c:v>2015 r.</c:v>
                </c:pt>
              </c:strCache>
            </c:strRef>
          </c:tx>
          <c:spPr>
            <a:ln w="25400">
              <a:solidFill>
                <a:srgbClr val="8080FF"/>
              </a:solidFill>
              <a:prstDash val="solid"/>
            </a:ln>
          </c:spPr>
          <c:marker>
            <c:symbol val="square"/>
            <c:size val="5"/>
            <c:spPr>
              <a:noFill/>
              <a:ln w="9525">
                <a:noFill/>
              </a:ln>
            </c:spPr>
          </c:marker>
          <c:cat>
            <c:strRef>
              <c:f>'rys1'!$A$28:$A$39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'rys1'!$C$28:$C$39</c:f>
              <c:numCache>
                <c:formatCode>0.0</c:formatCode>
                <c:ptCount val="12"/>
                <c:pt idx="0">
                  <c:v>99.9</c:v>
                </c:pt>
                <c:pt idx="1">
                  <c:v>99.8</c:v>
                </c:pt>
                <c:pt idx="2">
                  <c:v>99.9</c:v>
                </c:pt>
                <c:pt idx="3">
                  <c:v>99.5</c:v>
                </c:pt>
                <c:pt idx="4" formatCode="General">
                  <c:v>99.9</c:v>
                </c:pt>
                <c:pt idx="5">
                  <c:v>100.5</c:v>
                </c:pt>
                <c:pt idx="6" formatCode="General">
                  <c:v>100.1</c:v>
                </c:pt>
                <c:pt idx="7" formatCode="General">
                  <c:v>99.4</c:v>
                </c:pt>
                <c:pt idx="8" formatCode="General">
                  <c:v>99.3</c:v>
                </c:pt>
                <c:pt idx="9">
                  <c:v>99.4</c:v>
                </c:pt>
                <c:pt idx="10" formatCode="General">
                  <c:v>99.4</c:v>
                </c:pt>
                <c:pt idx="11">
                  <c:v>99.2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rys1!$D$27</c:f>
              <c:strCache>
                <c:ptCount val="1"/>
                <c:pt idx="0">
                  <c:v>2016 r.</c:v>
                </c:pt>
              </c:strCache>
            </c:strRef>
          </c:tx>
          <c:spPr>
            <a:ln w="25400">
              <a:solidFill>
                <a:srgbClr val="FF8080"/>
              </a:solidFill>
              <a:prstDash val="lgDash"/>
            </a:ln>
          </c:spPr>
          <c:marker>
            <c:symbol val="none"/>
          </c:marker>
          <c:cat>
            <c:strRef>
              <c:f>'rys1'!$A$28:$A$39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'rys1'!$D$28:$D$39</c:f>
              <c:numCache>
                <c:formatCode>0.0</c:formatCode>
                <c:ptCount val="12"/>
                <c:pt idx="0" formatCode="General">
                  <c:v>99.5</c:v>
                </c:pt>
                <c:pt idx="1">
                  <c:v>99.1</c:v>
                </c:pt>
                <c:pt idx="2">
                  <c:v>98.8</c:v>
                </c:pt>
                <c:pt idx="3">
                  <c:v>99.1</c:v>
                </c:pt>
                <c:pt idx="4">
                  <c:v>100.3</c:v>
                </c:pt>
                <c:pt idx="5" formatCode="General">
                  <c:v>100.5</c:v>
                </c:pt>
                <c:pt idx="6" formatCode="General">
                  <c:v>100.4</c:v>
                </c:pt>
                <c:pt idx="7" formatCode="General">
                  <c:v>100.1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31018424"/>
        <c:axId val="331016464"/>
      </c:lineChart>
      <c:catAx>
        <c:axId val="33101842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331016464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331016464"/>
        <c:scaling>
          <c:orientation val="minMax"/>
          <c:max val="102"/>
          <c:min val="97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331018424"/>
        <c:crosses val="autoZero"/>
        <c:crossBetween val="between"/>
        <c:majorUnit val="1"/>
      </c:valAx>
      <c:spPr>
        <a:noFill/>
        <a:ln w="3175">
          <a:solidFill>
            <a:srgbClr val="000000"/>
          </a:solidFill>
          <a:prstDash val="solid"/>
        </a:ln>
      </c:spPr>
    </c:plotArea>
    <c:legend>
      <c:legendPos val="b"/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127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765625E-2"/>
          <c:y val="0.22538860103626943"/>
          <c:w val="0.79296875"/>
          <c:h val="0.57253886010362698"/>
        </c:manualLayout>
      </c:layout>
      <c:lineChart>
        <c:grouping val="standard"/>
        <c:varyColors val="0"/>
        <c:ser>
          <c:idx val="0"/>
          <c:order val="0"/>
          <c:tx>
            <c:strRef>
              <c:f>rys2!$C$8</c:f>
              <c:strCache>
                <c:ptCount val="1"/>
                <c:pt idx="0">
                  <c:v>2015 r.</c:v>
                </c:pt>
              </c:strCache>
            </c:strRef>
          </c:tx>
          <c:spPr>
            <a:ln w="25400">
              <a:solidFill>
                <a:srgbClr val="8080FF"/>
              </a:solidFill>
              <a:prstDash val="solid"/>
            </a:ln>
          </c:spPr>
          <c:marker>
            <c:symbol val="none"/>
          </c:marker>
          <c:cat>
            <c:strRef>
              <c:f>'rys2'!$A$9:$A$20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'rys2'!$C$9:$C$20</c:f>
              <c:numCache>
                <c:formatCode>0.0</c:formatCode>
                <c:ptCount val="12"/>
                <c:pt idx="0">
                  <c:v>99.9</c:v>
                </c:pt>
                <c:pt idx="1">
                  <c:v>99.8</c:v>
                </c:pt>
                <c:pt idx="2">
                  <c:v>99.8</c:v>
                </c:pt>
                <c:pt idx="3">
                  <c:v>99.8</c:v>
                </c:pt>
                <c:pt idx="4">
                  <c:v>99.7</c:v>
                </c:pt>
                <c:pt idx="5">
                  <c:v>99.7</c:v>
                </c:pt>
                <c:pt idx="6">
                  <c:v>99.6</c:v>
                </c:pt>
                <c:pt idx="7">
                  <c:v>99.5</c:v>
                </c:pt>
                <c:pt idx="8">
                  <c:v>99.4</c:v>
                </c:pt>
                <c:pt idx="9">
                  <c:v>99.3</c:v>
                </c:pt>
                <c:pt idx="10">
                  <c:v>99.2</c:v>
                </c:pt>
                <c:pt idx="11">
                  <c:v>99.1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rys2!$D$8</c:f>
              <c:strCache>
                <c:ptCount val="1"/>
                <c:pt idx="0">
                  <c:v>2016 r.</c:v>
                </c:pt>
              </c:strCache>
            </c:strRef>
          </c:tx>
          <c:spPr>
            <a:ln w="25400">
              <a:solidFill>
                <a:srgbClr val="FF8080"/>
              </a:solidFill>
              <a:prstDash val="lgDash"/>
            </a:ln>
          </c:spPr>
          <c:marker>
            <c:symbol val="none"/>
          </c:marker>
          <c:cat>
            <c:strRef>
              <c:f>'rys2'!$A$9:$A$20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'rys2'!$D$9:$D$20</c:f>
              <c:numCache>
                <c:formatCode>0.0</c:formatCode>
                <c:ptCount val="12"/>
                <c:pt idx="0">
                  <c:v>99.9</c:v>
                </c:pt>
                <c:pt idx="1">
                  <c:v>99.8</c:v>
                </c:pt>
                <c:pt idx="2">
                  <c:v>99.7</c:v>
                </c:pt>
                <c:pt idx="3">
                  <c:v>99.7</c:v>
                </c:pt>
                <c:pt idx="4">
                  <c:v>99.7</c:v>
                </c:pt>
                <c:pt idx="5">
                  <c:v>99.8</c:v>
                </c:pt>
                <c:pt idx="6">
                  <c:v>99.9</c:v>
                </c:pt>
                <c:pt idx="7" formatCode="0.000">
                  <c:v>100.001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31013328"/>
        <c:axId val="331015680"/>
      </c:lineChart>
      <c:catAx>
        <c:axId val="33101332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331015680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331015680"/>
        <c:scaling>
          <c:orientation val="minMax"/>
          <c:max val="101"/>
          <c:min val="98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331013328"/>
        <c:crosses val="autoZero"/>
        <c:crossBetween val="between"/>
        <c:majorUnit val="1"/>
      </c:valAx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plotArea>
    <c:legend>
      <c:legendPos val="b"/>
      <c:overlay val="0"/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12700">
      <a:solidFill>
        <a:srgbClr val="000000"/>
      </a:solidFill>
      <a:prstDash val="solid"/>
    </a:ln>
  </c:spPr>
  <c:txPr>
    <a:bodyPr/>
    <a:lstStyle/>
    <a:p>
      <a:pPr>
        <a:defRPr sz="19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MS Sans Serif"/>
                <a:ea typeface="MS Sans Serif"/>
                <a:cs typeface="MS Sans Serif"/>
              </a:defRPr>
            </a:pPr>
            <a:r>
              <a:rPr lang="pl-PL" sz="1100" b="1" i="0" u="none" strike="noStrike" baseline="0">
                <a:solidFill>
                  <a:srgbClr val="000000"/>
                </a:solidFill>
                <a:latin typeface="Arial CE"/>
                <a:cs typeface="Arial CE"/>
              </a:rPr>
              <a:t>Dynamika cen w 2016 r.</a:t>
            </a: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MS Sans Serif"/>
                <a:ea typeface="MS Sans Serif"/>
                <a:cs typeface="MS Sans Serif"/>
              </a:defRPr>
            </a:pPr>
            <a:r>
              <a:rPr lang="pl-PL" sz="900" b="0" i="0" u="none" strike="noStrike" baseline="0">
                <a:solidFill>
                  <a:srgbClr val="000000"/>
                </a:solidFill>
                <a:latin typeface="Arial CE"/>
                <a:cs typeface="Arial CE"/>
              </a:rPr>
              <a:t>XII roku poprzedniego = 100</a:t>
            </a:r>
          </a:p>
        </c:rich>
      </c:tx>
      <c:layout>
        <c:manualLayout>
          <c:xMode val="edge"/>
          <c:yMode val="edge"/>
          <c:x val="0.33852179720138537"/>
          <c:y val="3.2911392405063293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116741128044755"/>
          <c:y val="0.18734177215189873"/>
          <c:w val="0.80350270882355457"/>
          <c:h val="0.50126582278481013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rys3!$B$67</c:f>
              <c:strCache>
                <c:ptCount val="1"/>
                <c:pt idx="0">
                  <c:v>  ceny produkcji sprzedanej przemysłu</c:v>
                </c:pt>
              </c:strCache>
            </c:strRef>
          </c:tx>
          <c:spPr>
            <a:solidFill>
              <a:srgbClr val="FF808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'rys3'!$B$71:$B$78</c:f>
              <c:strCache>
                <c:ptCount val="8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</c:strCache>
            </c:strRef>
          </c:cat>
          <c:val>
            <c:numRef>
              <c:f>'rys3'!$C$71:$C$78</c:f>
              <c:numCache>
                <c:formatCode>0.0</c:formatCode>
                <c:ptCount val="8"/>
                <c:pt idx="0">
                  <c:v>99.5</c:v>
                </c:pt>
                <c:pt idx="1">
                  <c:v>99.1</c:v>
                </c:pt>
                <c:pt idx="2">
                  <c:v>98.8</c:v>
                </c:pt>
                <c:pt idx="3">
                  <c:v>99.1</c:v>
                </c:pt>
                <c:pt idx="4">
                  <c:v>100.3</c:v>
                </c:pt>
                <c:pt idx="5" formatCode="General">
                  <c:v>100.5</c:v>
                </c:pt>
                <c:pt idx="6" formatCode="General">
                  <c:v>100.4</c:v>
                </c:pt>
                <c:pt idx="7" formatCode="General">
                  <c:v>100.1</c:v>
                </c:pt>
              </c:numCache>
            </c:numRef>
          </c:val>
        </c:ser>
        <c:ser>
          <c:idx val="4"/>
          <c:order val="1"/>
          <c:tx>
            <c:strRef>
              <c:f>rys3!$B$68</c:f>
              <c:strCache>
                <c:ptCount val="1"/>
                <c:pt idx="0">
                  <c:v>  ceny produkcji budowlano-montażowej</c:v>
                </c:pt>
              </c:strCache>
            </c:strRef>
          </c:tx>
          <c:spPr>
            <a:solidFill>
              <a:schemeClr val="accent4">
                <a:lumMod val="40000"/>
                <a:lumOff val="60000"/>
              </a:schemeClr>
            </a:solidFill>
            <a:ln w="12700">
              <a:solidFill>
                <a:schemeClr val="tx1"/>
              </a:solidFill>
              <a:prstDash val="solid"/>
            </a:ln>
          </c:spPr>
          <c:invertIfNegative val="0"/>
          <c:cat>
            <c:strRef>
              <c:f>'rys3'!$B$71:$B$78</c:f>
              <c:strCache>
                <c:ptCount val="8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</c:strCache>
            </c:strRef>
          </c:cat>
          <c:val>
            <c:numRef>
              <c:f>'rys3'!$D$71:$D$78</c:f>
              <c:numCache>
                <c:formatCode>0.0</c:formatCode>
                <c:ptCount val="8"/>
                <c:pt idx="0">
                  <c:v>99.9</c:v>
                </c:pt>
                <c:pt idx="1">
                  <c:v>99.8</c:v>
                </c:pt>
                <c:pt idx="2">
                  <c:v>99.7</c:v>
                </c:pt>
                <c:pt idx="3">
                  <c:v>99.7</c:v>
                </c:pt>
                <c:pt idx="4">
                  <c:v>99.7</c:v>
                </c:pt>
                <c:pt idx="5">
                  <c:v>99.8</c:v>
                </c:pt>
                <c:pt idx="6">
                  <c:v>99.9</c:v>
                </c:pt>
                <c:pt idx="7" formatCode="0.000">
                  <c:v>100.001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1014896"/>
        <c:axId val="331017248"/>
      </c:barChart>
      <c:catAx>
        <c:axId val="3310148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331017248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331017248"/>
        <c:scaling>
          <c:orientation val="minMax"/>
          <c:max val="101"/>
          <c:min val="98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331014896"/>
        <c:crosses val="autoZero"/>
        <c:crossBetween val="between"/>
        <c:majorUnit val="1"/>
      </c:valAx>
      <c:spPr>
        <a:noFill/>
        <a:ln w="3175">
          <a:solidFill>
            <a:srgbClr val="000000"/>
          </a:solidFill>
          <a:prstDash val="solid"/>
        </a:ln>
      </c:spPr>
    </c:plotArea>
    <c:legend>
      <c:legendPos val="b"/>
      <c:legendEntry>
        <c:idx val="1"/>
        <c:txPr>
          <a:bodyPr/>
          <a:lstStyle/>
          <a:p>
            <a:pPr>
              <a:defRPr sz="735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</c:legendEntry>
      <c:layout>
        <c:manualLayout>
          <c:xMode val="edge"/>
          <c:yMode val="edge"/>
          <c:x val="9.7275414537679843E-3"/>
          <c:y val="0.82784810126582276"/>
          <c:w val="0.98638235309343736"/>
          <c:h val="0.10379746835443038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127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MS Sans Serif"/>
                <a:ea typeface="MS Sans Serif"/>
                <a:cs typeface="MS Sans Serif"/>
              </a:defRPr>
            </a:pPr>
            <a:r>
              <a:rPr lang="pl-PL" sz="1100" b="1" i="0" u="none" strike="noStrike" baseline="0">
                <a:solidFill>
                  <a:srgbClr val="000000"/>
                </a:solidFill>
                <a:latin typeface="Arial CE"/>
                <a:cs typeface="Arial CE"/>
              </a:rPr>
              <a:t>Dynamika cen produkcji sprzedanej sekcji przemysłu </a:t>
            </a: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MS Sans Serif"/>
                <a:ea typeface="MS Sans Serif"/>
                <a:cs typeface="MS Sans Serif"/>
              </a:defRPr>
            </a:pPr>
            <a:r>
              <a:rPr lang="pl-PL" sz="1100" b="1" i="0" u="none" strike="noStrike" baseline="0">
                <a:solidFill>
                  <a:srgbClr val="000000"/>
                </a:solidFill>
                <a:latin typeface="Arial CE"/>
                <a:cs typeface="Arial CE"/>
              </a:rPr>
              <a:t>w 2016 r.</a:t>
            </a: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MS Sans Serif"/>
                <a:ea typeface="MS Sans Serif"/>
                <a:cs typeface="MS Sans Serif"/>
              </a:defRPr>
            </a:pPr>
            <a:r>
              <a:rPr lang="pl-PL" sz="900" b="0" i="0" u="none" strike="noStrike" baseline="0">
                <a:solidFill>
                  <a:srgbClr val="000000"/>
                </a:solidFill>
                <a:latin typeface="Arial CE"/>
                <a:cs typeface="Arial CE"/>
              </a:rPr>
              <a:t>XII roku poprzedniego = 100</a:t>
            </a:r>
          </a:p>
        </c:rich>
      </c:tx>
      <c:layout>
        <c:manualLayout>
          <c:xMode val="edge"/>
          <c:yMode val="edge"/>
          <c:x val="0.13009716980643693"/>
          <c:y val="2.708805564064217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1067961165048544"/>
          <c:y val="0.19638826185101579"/>
          <c:w val="0.78446601941747574"/>
          <c:h val="0.4627539503386004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rys4!$C$4</c:f>
              <c:strCache>
                <c:ptCount val="1"/>
                <c:pt idx="0">
                  <c:v>  ceny produkcji sprzedanej przemysłu</c:v>
                </c:pt>
              </c:strCache>
            </c:strRef>
          </c:tx>
          <c:spPr>
            <a:solidFill>
              <a:srgbClr val="FF808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'rys4'!$B$6:$B$13</c:f>
              <c:strCache>
                <c:ptCount val="8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</c:strCache>
            </c:strRef>
          </c:cat>
          <c:val>
            <c:numRef>
              <c:f>'rys4'!$C$6:$C$13</c:f>
              <c:numCache>
                <c:formatCode>General</c:formatCode>
                <c:ptCount val="8"/>
                <c:pt idx="0" formatCode="0.0">
                  <c:v>99.5</c:v>
                </c:pt>
                <c:pt idx="1">
                  <c:v>99.1</c:v>
                </c:pt>
                <c:pt idx="2" formatCode="0.0">
                  <c:v>98.8</c:v>
                </c:pt>
                <c:pt idx="3" formatCode="0.0">
                  <c:v>99.1</c:v>
                </c:pt>
                <c:pt idx="4" formatCode="0.0">
                  <c:v>100.3</c:v>
                </c:pt>
                <c:pt idx="5">
                  <c:v>100.5</c:v>
                </c:pt>
                <c:pt idx="6">
                  <c:v>100.4</c:v>
                </c:pt>
                <c:pt idx="7">
                  <c:v>100.1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1016072"/>
        <c:axId val="331015288"/>
      </c:barChart>
      <c:lineChart>
        <c:grouping val="standard"/>
        <c:varyColors val="0"/>
        <c:ser>
          <c:idx val="1"/>
          <c:order val="1"/>
          <c:tx>
            <c:strRef>
              <c:f>rys4!$D$4</c:f>
              <c:strCache>
                <c:ptCount val="1"/>
                <c:pt idx="0">
                  <c:v> górnictwo i wydobywanie</c:v>
                </c:pt>
              </c:strCache>
            </c:strRef>
          </c:tx>
          <c:spPr>
            <a:ln w="25400">
              <a:solidFill>
                <a:srgbClr val="666699"/>
              </a:solidFill>
              <a:prstDash val="lgDashDot"/>
            </a:ln>
          </c:spPr>
          <c:marker>
            <c:symbol val="none"/>
          </c:marker>
          <c:cat>
            <c:strRef>
              <c:f>'rys4'!$B$6:$B$13</c:f>
              <c:strCache>
                <c:ptCount val="8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</c:strCache>
            </c:strRef>
          </c:cat>
          <c:val>
            <c:numRef>
              <c:f>'rys4'!$D$6:$D$13</c:f>
              <c:numCache>
                <c:formatCode>0.0</c:formatCode>
                <c:ptCount val="8"/>
                <c:pt idx="0">
                  <c:v>96</c:v>
                </c:pt>
                <c:pt idx="1">
                  <c:v>96.5</c:v>
                </c:pt>
                <c:pt idx="2">
                  <c:v>97.7</c:v>
                </c:pt>
                <c:pt idx="3">
                  <c:v>97</c:v>
                </c:pt>
                <c:pt idx="4">
                  <c:v>97.2</c:v>
                </c:pt>
                <c:pt idx="5">
                  <c:v>97.7</c:v>
                </c:pt>
                <c:pt idx="6">
                  <c:v>101</c:v>
                </c:pt>
                <c:pt idx="7">
                  <c:v>100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rys4!$E$4</c:f>
              <c:strCache>
                <c:ptCount val="1"/>
                <c:pt idx="0">
                  <c:v>przetwórstwo przemysłowe</c:v>
                </c:pt>
              </c:strCache>
            </c:strRef>
          </c:tx>
          <c:spPr>
            <a:ln w="25400">
              <a:pattFill prst="pct75">
                <a:fgClr>
                  <a:srgbClr val="000000"/>
                </a:fgClr>
                <a:bgClr>
                  <a:srgbClr val="FFFFFF"/>
                </a:bgClr>
              </a:pattFill>
              <a:prstDash val="solid"/>
            </a:ln>
          </c:spPr>
          <c:marker>
            <c:symbol val="none"/>
          </c:marker>
          <c:cat>
            <c:strRef>
              <c:f>'rys4'!$B$6:$B$13</c:f>
              <c:strCache>
                <c:ptCount val="8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</c:strCache>
            </c:strRef>
          </c:cat>
          <c:val>
            <c:numRef>
              <c:f>'rys4'!$E$6:$E$13</c:f>
              <c:numCache>
                <c:formatCode>0.0</c:formatCode>
                <c:ptCount val="8"/>
                <c:pt idx="0">
                  <c:v>99.8</c:v>
                </c:pt>
                <c:pt idx="1">
                  <c:v>99.3</c:v>
                </c:pt>
                <c:pt idx="2">
                  <c:v>98.9</c:v>
                </c:pt>
                <c:pt idx="3">
                  <c:v>99.3</c:v>
                </c:pt>
                <c:pt idx="4">
                  <c:v>100.6</c:v>
                </c:pt>
                <c:pt idx="5">
                  <c:v>100.8</c:v>
                </c:pt>
                <c:pt idx="6">
                  <c:v>100.6</c:v>
                </c:pt>
                <c:pt idx="7">
                  <c:v>100.3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rys4!$F$4</c:f>
              <c:strCache>
                <c:ptCount val="1"/>
                <c:pt idx="0">
                  <c:v> wytwarzanie i zaopatrywanie w energię 
 elektryczną, gaz, parę wodną i gorącą wodę</c:v>
                </c:pt>
              </c:strCache>
            </c:strRef>
          </c:tx>
          <c:spPr>
            <a:ln w="25400">
              <a:solidFill>
                <a:srgbClr val="8080FF"/>
              </a:solidFill>
              <a:prstDash val="solid"/>
            </a:ln>
          </c:spPr>
          <c:marker>
            <c:symbol val="none"/>
          </c:marker>
          <c:cat>
            <c:strRef>
              <c:f>'rys4'!$B$6:$B$13</c:f>
              <c:strCache>
                <c:ptCount val="8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</c:strCache>
            </c:strRef>
          </c:cat>
          <c:val>
            <c:numRef>
              <c:f>'rys4'!$F$6:$F$13</c:f>
              <c:numCache>
                <c:formatCode>0.0</c:formatCode>
                <c:ptCount val="8"/>
                <c:pt idx="0">
                  <c:v>98.7</c:v>
                </c:pt>
                <c:pt idx="1">
                  <c:v>98.5</c:v>
                </c:pt>
                <c:pt idx="2">
                  <c:v>98.5</c:v>
                </c:pt>
                <c:pt idx="3">
                  <c:v>97.7</c:v>
                </c:pt>
                <c:pt idx="4">
                  <c:v>97.9</c:v>
                </c:pt>
                <c:pt idx="5">
                  <c:v>98.5</c:v>
                </c:pt>
                <c:pt idx="6">
                  <c:v>98</c:v>
                </c:pt>
                <c:pt idx="7">
                  <c:v>98.1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rys4!$G$4</c:f>
              <c:strCache>
                <c:ptCount val="1"/>
                <c:pt idx="0">
                  <c:v>dostawa wody; gospodarowanie
ściekami i odpadami; rekultywacja</c:v>
                </c:pt>
              </c:strCache>
            </c:strRef>
          </c:tx>
          <c:spPr>
            <a:ln w="254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'rys4'!$B$6:$B$13</c:f>
              <c:strCache>
                <c:ptCount val="8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</c:strCache>
            </c:strRef>
          </c:cat>
          <c:val>
            <c:numRef>
              <c:f>'rys4'!$G$6:$G$13</c:f>
              <c:numCache>
                <c:formatCode>0.0</c:formatCode>
                <c:ptCount val="8"/>
                <c:pt idx="0">
                  <c:v>100.6</c:v>
                </c:pt>
                <c:pt idx="1">
                  <c:v>100.7</c:v>
                </c:pt>
                <c:pt idx="2">
                  <c:v>100.9</c:v>
                </c:pt>
                <c:pt idx="3">
                  <c:v>101.3</c:v>
                </c:pt>
                <c:pt idx="4">
                  <c:v>101.7</c:v>
                </c:pt>
                <c:pt idx="5">
                  <c:v>101.7</c:v>
                </c:pt>
                <c:pt idx="6">
                  <c:v>101.9</c:v>
                </c:pt>
                <c:pt idx="7">
                  <c:v>102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31016072"/>
        <c:axId val="331015288"/>
      </c:lineChart>
      <c:catAx>
        <c:axId val="3310160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331015288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331015288"/>
        <c:scaling>
          <c:orientation val="minMax"/>
          <c:max val="103"/>
          <c:min val="95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331016072"/>
        <c:crosses val="autoZero"/>
        <c:crossBetween val="between"/>
        <c:majorUnit val="1"/>
      </c:valAx>
      <c:spPr>
        <a:noFill/>
        <a:ln w="3175">
          <a:solidFill>
            <a:srgbClr val="000000"/>
          </a:solidFill>
          <a:prstDash val="solid"/>
        </a:ln>
      </c:spPr>
    </c:plotArea>
    <c:legend>
      <c:legendPos val="b"/>
      <c:legendEntry>
        <c:idx val="0"/>
        <c:txPr>
          <a:bodyPr/>
          <a:lstStyle/>
          <a:p>
            <a:pPr>
              <a:defRPr sz="64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</c:legendEntry>
      <c:legendEntry>
        <c:idx val="1"/>
        <c:txPr>
          <a:bodyPr/>
          <a:lstStyle/>
          <a:p>
            <a:pPr>
              <a:defRPr sz="64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</c:legendEntry>
      <c:legendEntry>
        <c:idx val="2"/>
        <c:txPr>
          <a:bodyPr/>
          <a:lstStyle/>
          <a:p>
            <a:pPr>
              <a:defRPr sz="64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</c:legendEntry>
      <c:layout>
        <c:manualLayout>
          <c:xMode val="edge"/>
          <c:yMode val="edge"/>
          <c:x val="9.7086976553966264E-3"/>
          <c:y val="0.74040637368841489"/>
          <c:w val="0.98446608375136535"/>
          <c:h val="0.25282161240142464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64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127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0.02423</cdr:x>
      <cdr:y>0.15252</cdr:y>
    </cdr:from>
    <cdr:to>
      <cdr:x>0.13355</cdr:x>
      <cdr:y>0.20438</cdr:y>
    </cdr:to>
    <cdr:sp macro="" textlink="">
      <cdr:nvSpPr>
        <cdr:cNvPr id="8193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21328" y="562471"/>
          <a:ext cx="533143" cy="1902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%</a:t>
          </a:r>
        </a:p>
      </cdr:txBody>
    </cdr:sp>
  </cdr:relSizeAnchor>
  <cdr:relSizeAnchor xmlns:cdr="http://schemas.openxmlformats.org/drawingml/2006/chartDrawing">
    <cdr:from>
      <cdr:x>0.87331</cdr:x>
      <cdr:y>0.82338</cdr:y>
    </cdr:from>
    <cdr:to>
      <cdr:x>0.97479</cdr:x>
      <cdr:y>0.88304</cdr:y>
    </cdr:to>
    <cdr:sp macro="" textlink="">
      <cdr:nvSpPr>
        <cdr:cNvPr id="8194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262150" y="3022600"/>
          <a:ext cx="494891" cy="21877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m-ce</a:t>
          </a:r>
        </a:p>
      </cdr:txBody>
    </cdr:sp>
  </cdr:relSizeAnchor>
  <cdr:relSizeAnchor xmlns:cdr="http://schemas.openxmlformats.org/drawingml/2006/chartDrawing">
    <cdr:from>
      <cdr:x>0.02748</cdr:x>
      <cdr:y>0.01379</cdr:y>
    </cdr:from>
    <cdr:to>
      <cdr:x>0.11706</cdr:x>
      <cdr:y>0.06673</cdr:y>
    </cdr:to>
    <cdr:sp macro="" textlink="">
      <cdr:nvSpPr>
        <cdr:cNvPr id="8195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33749" y="50433"/>
          <a:ext cx="436017" cy="19364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10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Rys. 1.</a:t>
          </a:r>
        </a:p>
      </cdr:txBody>
    </cdr:sp>
  </cdr:relSizeAnchor>
  <cdr:relSizeAnchor xmlns:cdr="http://schemas.openxmlformats.org/drawingml/2006/chartDrawing">
    <cdr:from>
      <cdr:x>0.27008</cdr:x>
      <cdr:y>0.14594</cdr:y>
    </cdr:from>
    <cdr:to>
      <cdr:x>0.74071</cdr:x>
      <cdr:y>0.21875</cdr:y>
    </cdr:to>
    <cdr:sp macro="" textlink="">
      <cdr:nvSpPr>
        <cdr:cNvPr id="8197" name="Tekst 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320302" y="538361"/>
          <a:ext cx="2295144" cy="26699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9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XII roku poprzedniego = 100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0.07985</cdr:x>
      <cdr:y>0.05676</cdr:y>
    </cdr:from>
    <cdr:to>
      <cdr:x>0.94147</cdr:x>
      <cdr:y>0.16002</cdr:y>
    </cdr:to>
    <cdr:sp macro="" textlink="">
      <cdr:nvSpPr>
        <cdr:cNvPr id="9217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93362" y="212392"/>
          <a:ext cx="4210157" cy="38063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7432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1100" b="1" i="0" u="none" strike="noStrike" baseline="0">
              <a:solidFill>
                <a:srgbClr val="000000"/>
              </a:solidFill>
              <a:latin typeface="Arial CE"/>
              <a:cs typeface="Arial CE"/>
            </a:rPr>
            <a:t>Dynamika cen produkcji budowlano-montażowej</a:t>
          </a:r>
        </a:p>
        <a:p xmlns:a="http://schemas.openxmlformats.org/drawingml/2006/main">
          <a:pPr algn="ctr" rtl="0">
            <a:defRPr sz="1000"/>
          </a:pPr>
          <a:r>
            <a:rPr lang="pl-PL" sz="1100" b="1" i="0" u="none" strike="noStrike" baseline="0">
              <a:solidFill>
                <a:srgbClr val="000000"/>
              </a:solidFill>
              <a:latin typeface="Arial CE"/>
              <a:cs typeface="Arial CE"/>
            </a:rPr>
            <a:t> w latach 2015-2016</a:t>
          </a:r>
        </a:p>
      </cdr:txBody>
    </cdr:sp>
  </cdr:relSizeAnchor>
  <cdr:relSizeAnchor xmlns:cdr="http://schemas.openxmlformats.org/drawingml/2006/chartDrawing">
    <cdr:from>
      <cdr:x>0.31052</cdr:x>
      <cdr:y>0.16026</cdr:y>
    </cdr:from>
    <cdr:to>
      <cdr:x>0.71988</cdr:x>
      <cdr:y>0.2248</cdr:y>
    </cdr:to>
    <cdr:sp macro="" textlink="">
      <cdr:nvSpPr>
        <cdr:cNvPr id="9218" name="Tekst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520462" y="593927"/>
          <a:ext cx="2000274" cy="2378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9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XII roku poprzedniego = 100</a:t>
          </a:r>
        </a:p>
      </cdr:txBody>
    </cdr:sp>
  </cdr:relSizeAnchor>
  <cdr:relSizeAnchor xmlns:cdr="http://schemas.openxmlformats.org/drawingml/2006/chartDrawing">
    <cdr:from>
      <cdr:x>0.01563</cdr:x>
      <cdr:y>0.01803</cdr:y>
    </cdr:from>
    <cdr:to>
      <cdr:x>0.13452</cdr:x>
      <cdr:y>0.09304</cdr:y>
    </cdr:to>
    <cdr:sp macro="" textlink="">
      <cdr:nvSpPr>
        <cdr:cNvPr id="9219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9546" y="69652"/>
          <a:ext cx="580918" cy="2765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95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Rys. 2.</a:t>
          </a:r>
        </a:p>
      </cdr:txBody>
    </cdr:sp>
  </cdr:relSizeAnchor>
  <cdr:relSizeAnchor xmlns:cdr="http://schemas.openxmlformats.org/drawingml/2006/chartDrawing">
    <cdr:from>
      <cdr:x>0.04872</cdr:x>
      <cdr:y>0.16026</cdr:y>
    </cdr:from>
    <cdr:to>
      <cdr:x>0.07985</cdr:x>
      <cdr:y>0.19387</cdr:y>
    </cdr:to>
    <cdr:sp macro="" textlink="">
      <cdr:nvSpPr>
        <cdr:cNvPr id="9220" name="Tekst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41245" y="593927"/>
          <a:ext cx="152117" cy="12388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%</a:t>
          </a:r>
        </a:p>
      </cdr:txBody>
    </cdr:sp>
  </cdr:relSizeAnchor>
  <cdr:relSizeAnchor xmlns:cdr="http://schemas.openxmlformats.org/drawingml/2006/chartDrawing">
    <cdr:from>
      <cdr:x>0.88902</cdr:x>
      <cdr:y>0.81514</cdr:y>
    </cdr:from>
    <cdr:to>
      <cdr:x>0.99614</cdr:x>
      <cdr:y>0.87724</cdr:y>
    </cdr:to>
    <cdr:sp macro="" textlink="">
      <cdr:nvSpPr>
        <cdr:cNvPr id="9221" name="Tekst 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47197" y="3007927"/>
          <a:ext cx="523424" cy="22892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m-ce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0.05629</cdr:x>
      <cdr:y>0.11497</cdr:y>
    </cdr:from>
    <cdr:to>
      <cdr:x>0.08136</cdr:x>
      <cdr:y>0.1625</cdr:y>
    </cdr:to>
    <cdr:sp macro="" textlink="">
      <cdr:nvSpPr>
        <cdr:cNvPr id="4100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71834" y="432557"/>
          <a:ext cx="121059" cy="17883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none" lIns="18288" tIns="22860" rIns="0" bIns="22860" anchor="ctr" upright="1">
          <a:spAutoFit/>
        </a:bodyPr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9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%</a:t>
          </a:r>
        </a:p>
      </cdr:txBody>
    </cdr:sp>
  </cdr:relSizeAnchor>
  <cdr:relSizeAnchor xmlns:cdr="http://schemas.openxmlformats.org/drawingml/2006/chartDrawing">
    <cdr:from>
      <cdr:x>0.01535</cdr:x>
      <cdr:y>0.01263</cdr:y>
    </cdr:from>
    <cdr:to>
      <cdr:x>0.16489</cdr:x>
      <cdr:y>0.0733</cdr:y>
    </cdr:to>
    <cdr:sp macro="" textlink="">
      <cdr:nvSpPr>
        <cdr:cNvPr id="4101" name="Tekst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8458" y="50800"/>
          <a:ext cx="733544" cy="22887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10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Rys. 3.</a:t>
          </a:r>
        </a:p>
      </cdr:txBody>
    </cdr:sp>
  </cdr:relSizeAnchor>
  <cdr:relSizeAnchor xmlns:cdr="http://schemas.openxmlformats.org/drawingml/2006/chartDrawing">
    <cdr:from>
      <cdr:x>0.90621</cdr:x>
      <cdr:y>0.68934</cdr:y>
    </cdr:from>
    <cdr:to>
      <cdr:x>0.98588</cdr:x>
      <cdr:y>0.76757</cdr:y>
    </cdr:to>
    <cdr:sp macro="" textlink="">
      <cdr:nvSpPr>
        <cdr:cNvPr id="4102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448457" y="2603314"/>
          <a:ext cx="390822" cy="2950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m-ce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0.06166</cdr:x>
      <cdr:y>0.1183</cdr:y>
    </cdr:from>
    <cdr:to>
      <cdr:x>0.1102</cdr:x>
      <cdr:y>0.16326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06241" y="503457"/>
          <a:ext cx="238573" cy="19015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9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%</a:t>
          </a:r>
        </a:p>
      </cdr:txBody>
    </cdr:sp>
  </cdr:relSizeAnchor>
  <cdr:relSizeAnchor xmlns:cdr="http://schemas.openxmlformats.org/drawingml/2006/chartDrawing">
    <cdr:from>
      <cdr:x>0.00969</cdr:x>
      <cdr:y>0.0117</cdr:y>
    </cdr:from>
    <cdr:to>
      <cdr:x>0.09615</cdr:x>
      <cdr:y>0.05823</cdr:y>
    </cdr:to>
    <cdr:sp macro="" textlink="">
      <cdr:nvSpPr>
        <cdr:cNvPr id="5122" name="Tekst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6795" y="48718"/>
          <a:ext cx="417550" cy="19364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none" lIns="18288" tIns="22860" rIns="0" bIns="22860" anchor="ctr" upright="1">
          <a:spAutoFit/>
        </a:bodyPr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10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Rys. 4.</a:t>
          </a:r>
        </a:p>
      </cdr:txBody>
    </cdr:sp>
  </cdr:relSizeAnchor>
  <cdr:relSizeAnchor xmlns:cdr="http://schemas.openxmlformats.org/drawingml/2006/chartDrawing">
    <cdr:from>
      <cdr:x>0.87386</cdr:x>
      <cdr:y>0.67735</cdr:y>
    </cdr:from>
    <cdr:to>
      <cdr:x>0.99006</cdr:x>
      <cdr:y>0.73455</cdr:y>
    </cdr:to>
    <cdr:sp macro="" textlink="">
      <cdr:nvSpPr>
        <cdr:cNvPr id="5123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220023" y="2819401"/>
          <a:ext cx="561150" cy="2381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m-ce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C137F-80C7-49F5-92A1-379C68753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765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5348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Łukaszewicz Mirosława</dc:creator>
  <cp:lastModifiedBy>Wierzbicka  Agnieszka</cp:lastModifiedBy>
  <cp:revision>51</cp:revision>
  <cp:lastPrinted>2016-08-16T06:35:00Z</cp:lastPrinted>
  <dcterms:created xsi:type="dcterms:W3CDTF">2016-09-14T08:31:00Z</dcterms:created>
  <dcterms:modified xsi:type="dcterms:W3CDTF">2016-09-15T11:03:00Z</dcterms:modified>
</cp:coreProperties>
</file>