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1C0FB9" w:rsidTr="001C0FB9">
        <w:tc>
          <w:tcPr>
            <w:tcW w:w="1214" w:type="dxa"/>
          </w:tcPr>
          <w:p w:rsidR="00010C45" w:rsidRPr="001C0FB9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1C0FB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DF73984" wp14:editId="40668134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4762B7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4762B7">
              <w:rPr>
                <w:rFonts w:ascii="Arial" w:hAnsi="Arial" w:cs="Arial"/>
                <w:b/>
                <w:sz w:val="30"/>
                <w:szCs w:val="30"/>
              </w:rPr>
              <w:t xml:space="preserve">GŁÓWNY URZĄD STATYSTYCZNY </w:t>
            </w:r>
          </w:p>
          <w:p w:rsidR="00010C45" w:rsidRPr="004762B7" w:rsidRDefault="009437E5" w:rsidP="004762B7">
            <w:pPr>
              <w:spacing w:after="0" w:line="288" w:lineRule="auto"/>
              <w:ind w:left="62"/>
              <w:rPr>
                <w:rFonts w:ascii="Arial" w:hAnsi="Arial" w:cs="Arial"/>
                <w:b/>
                <w:sz w:val="26"/>
                <w:szCs w:val="26"/>
              </w:rPr>
            </w:pPr>
            <w:r w:rsidRPr="004762B7">
              <w:rPr>
                <w:rFonts w:ascii="Arial" w:hAnsi="Arial" w:cs="Arial"/>
                <w:sz w:val="26"/>
                <w:szCs w:val="26"/>
              </w:rPr>
              <w:t>Notatka informacyjna</w:t>
            </w:r>
            <w:r w:rsidR="006843ED" w:rsidRPr="004762B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</w:tcPr>
          <w:p w:rsidR="00010C45" w:rsidRPr="001C0FB9" w:rsidRDefault="00010C45" w:rsidP="0033143B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C0FB9">
              <w:rPr>
                <w:rFonts w:ascii="Arial" w:hAnsi="Arial" w:cs="Arial"/>
                <w:sz w:val="24"/>
                <w:szCs w:val="24"/>
              </w:rPr>
              <w:t xml:space="preserve">Warszawa, </w:t>
            </w:r>
            <w:r w:rsidR="009437E5">
              <w:rPr>
                <w:rFonts w:ascii="Arial" w:hAnsi="Arial" w:cs="Arial"/>
                <w:sz w:val="24"/>
                <w:szCs w:val="24"/>
              </w:rPr>
              <w:t>1</w:t>
            </w:r>
            <w:r w:rsidR="00627E2B">
              <w:rPr>
                <w:rFonts w:ascii="Arial" w:hAnsi="Arial" w:cs="Arial"/>
                <w:sz w:val="24"/>
                <w:szCs w:val="24"/>
              </w:rPr>
              <w:t>9</w:t>
            </w:r>
            <w:r w:rsidR="006843ED" w:rsidRPr="001C0FB9">
              <w:rPr>
                <w:rFonts w:ascii="Arial" w:hAnsi="Arial" w:cs="Arial"/>
                <w:sz w:val="24"/>
                <w:szCs w:val="24"/>
              </w:rPr>
              <w:t>.</w:t>
            </w:r>
            <w:r w:rsidR="0033143B">
              <w:rPr>
                <w:rFonts w:ascii="Arial" w:hAnsi="Arial" w:cs="Arial"/>
                <w:sz w:val="24"/>
                <w:szCs w:val="24"/>
              </w:rPr>
              <w:t>10</w:t>
            </w:r>
            <w:r w:rsidR="00627E2B">
              <w:rPr>
                <w:rFonts w:ascii="Arial" w:hAnsi="Arial" w:cs="Arial"/>
                <w:sz w:val="24"/>
                <w:szCs w:val="24"/>
              </w:rPr>
              <w:t>.2016</w:t>
            </w:r>
          </w:p>
        </w:tc>
      </w:tr>
    </w:tbl>
    <w:p w:rsidR="00B07E7F" w:rsidRDefault="00B07E7F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:rsidR="005F45E0" w:rsidRDefault="009437E5" w:rsidP="00C729FE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762B7">
        <w:rPr>
          <w:rFonts w:ascii="Arial" w:hAnsi="Arial" w:cs="Arial"/>
          <w:b/>
          <w:sz w:val="28"/>
          <w:szCs w:val="28"/>
        </w:rPr>
        <w:t xml:space="preserve">Komunikat dotyczący deficytu i długu sektora instytucji </w:t>
      </w:r>
    </w:p>
    <w:p w:rsidR="006843ED" w:rsidRPr="004762B7" w:rsidRDefault="00627E2B" w:rsidP="00C729FE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8"/>
        </w:rPr>
      </w:pPr>
      <w:r w:rsidRPr="004762B7">
        <w:rPr>
          <w:rFonts w:ascii="Arial" w:hAnsi="Arial" w:cs="Arial"/>
          <w:b/>
          <w:sz w:val="28"/>
          <w:szCs w:val="28"/>
        </w:rPr>
        <w:t>rządowych i samorządowych w 2015</w:t>
      </w:r>
      <w:r w:rsidR="009437E5" w:rsidRPr="004762B7">
        <w:rPr>
          <w:rFonts w:ascii="Arial" w:hAnsi="Arial" w:cs="Arial"/>
          <w:b/>
          <w:sz w:val="28"/>
          <w:szCs w:val="28"/>
        </w:rPr>
        <w:t xml:space="preserve"> r.</w:t>
      </w:r>
      <w:bookmarkEnd w:id="0"/>
    </w:p>
    <w:p w:rsidR="001E73D6" w:rsidRPr="004B1235" w:rsidRDefault="001E73D6" w:rsidP="004762B7">
      <w:pPr>
        <w:spacing w:after="0" w:line="288" w:lineRule="auto"/>
        <w:ind w:left="142" w:right="96"/>
        <w:jc w:val="center"/>
        <w:rPr>
          <w:rFonts w:ascii="Arial" w:hAnsi="Arial" w:cs="Arial"/>
          <w:b/>
          <w:sz w:val="24"/>
          <w:szCs w:val="30"/>
        </w:rPr>
      </w:pPr>
    </w:p>
    <w:p w:rsidR="00FF010A" w:rsidRDefault="007662CE" w:rsidP="004762B7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dniu 3</w:t>
      </w:r>
      <w:r w:rsidR="0033143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33143B">
        <w:rPr>
          <w:rFonts w:ascii="Arial" w:hAnsi="Arial" w:cs="Arial"/>
          <w:sz w:val="20"/>
          <w:szCs w:val="20"/>
        </w:rPr>
        <w:t>września</w:t>
      </w:r>
      <w:r w:rsidR="005212FC">
        <w:rPr>
          <w:rFonts w:ascii="Arial" w:hAnsi="Arial" w:cs="Arial"/>
          <w:sz w:val="20"/>
          <w:szCs w:val="20"/>
        </w:rPr>
        <w:t xml:space="preserve"> </w:t>
      </w:r>
      <w:r w:rsidR="00627E2B"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 xml:space="preserve"> r.</w:t>
      </w:r>
      <w:r w:rsidR="009437E5" w:rsidRPr="009437E5">
        <w:rPr>
          <w:rFonts w:ascii="Arial" w:hAnsi="Arial" w:cs="Arial"/>
          <w:sz w:val="20"/>
          <w:szCs w:val="20"/>
        </w:rPr>
        <w:t xml:space="preserve">, stosownie do </w:t>
      </w:r>
      <w:r w:rsidR="009437E5" w:rsidRPr="009437E5">
        <w:rPr>
          <w:rFonts w:ascii="Arial" w:hAnsi="Arial" w:cs="Arial"/>
          <w:i/>
          <w:sz w:val="20"/>
          <w:szCs w:val="20"/>
        </w:rPr>
        <w:t xml:space="preserve">Rozporządzenia Rady (WE) nr 479/2009 z dnia </w:t>
      </w:r>
      <w:r>
        <w:rPr>
          <w:rFonts w:ascii="Arial" w:hAnsi="Arial" w:cs="Arial"/>
          <w:i/>
          <w:sz w:val="20"/>
          <w:szCs w:val="20"/>
        </w:rPr>
        <w:br/>
      </w:r>
      <w:r w:rsidR="009437E5" w:rsidRPr="009437E5">
        <w:rPr>
          <w:rFonts w:ascii="Arial" w:hAnsi="Arial" w:cs="Arial"/>
          <w:i/>
          <w:sz w:val="20"/>
          <w:szCs w:val="20"/>
        </w:rPr>
        <w:t>25 maja 2009 r. o stosowaniu Protokołu w sprawie procedury dotyczącej nadmiernego deficytu (EDP) załączonego do Traktatu ustanawiającego Wspólnotę Europejską, z późniejszymi zmianami</w:t>
      </w:r>
      <w:r w:rsidR="009437E5" w:rsidRPr="009437E5">
        <w:rPr>
          <w:rFonts w:ascii="Arial" w:hAnsi="Arial" w:cs="Arial"/>
          <w:sz w:val="20"/>
          <w:szCs w:val="20"/>
        </w:rPr>
        <w:t>, Prezes GUS przesłał do Komisji Europejskiej (Eurostat</w:t>
      </w:r>
      <w:r w:rsidR="002C557E">
        <w:rPr>
          <w:rFonts w:ascii="Arial" w:hAnsi="Arial" w:cs="Arial"/>
          <w:sz w:val="20"/>
          <w:szCs w:val="20"/>
        </w:rPr>
        <w:t>u</w:t>
      </w:r>
      <w:r w:rsidR="009437E5" w:rsidRPr="009437E5">
        <w:rPr>
          <w:rFonts w:ascii="Arial" w:hAnsi="Arial" w:cs="Arial"/>
          <w:sz w:val="20"/>
          <w:szCs w:val="20"/>
        </w:rPr>
        <w:t xml:space="preserve">) dane dotyczące deficytu i długu sektora instytucji rządowych </w:t>
      </w:r>
      <w:r w:rsidR="00E85087">
        <w:rPr>
          <w:rFonts w:ascii="Arial" w:hAnsi="Arial" w:cs="Arial"/>
          <w:sz w:val="20"/>
          <w:szCs w:val="20"/>
        </w:rPr>
        <w:br/>
      </w:r>
      <w:r w:rsidR="009437E5" w:rsidRPr="009437E5">
        <w:rPr>
          <w:rFonts w:ascii="Arial" w:hAnsi="Arial" w:cs="Arial"/>
          <w:sz w:val="20"/>
          <w:szCs w:val="20"/>
        </w:rPr>
        <w:t>i samorządowych (tzw. notyfikacja fiskalna).</w:t>
      </w:r>
      <w:r w:rsidR="00A06410">
        <w:rPr>
          <w:rFonts w:ascii="Arial" w:hAnsi="Arial" w:cs="Arial"/>
          <w:sz w:val="20"/>
          <w:szCs w:val="20"/>
        </w:rPr>
        <w:t xml:space="preserve"> </w:t>
      </w:r>
    </w:p>
    <w:p w:rsidR="009437E5" w:rsidRDefault="00A06410" w:rsidP="004762B7">
      <w:pPr>
        <w:spacing w:after="60" w:line="288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zostały opracowane zgodnie z metod</w:t>
      </w:r>
      <w:r w:rsidR="005A66FB">
        <w:rPr>
          <w:rFonts w:ascii="Arial" w:hAnsi="Arial" w:cs="Arial"/>
          <w:sz w:val="20"/>
          <w:szCs w:val="20"/>
        </w:rPr>
        <w:t>yką</w:t>
      </w:r>
      <w:r>
        <w:rPr>
          <w:rFonts w:ascii="Arial" w:hAnsi="Arial" w:cs="Arial"/>
          <w:sz w:val="20"/>
          <w:szCs w:val="20"/>
        </w:rPr>
        <w:t xml:space="preserve"> Europejskiego Systemu Rachunków Narodowych </w:t>
      </w:r>
      <w:r w:rsidR="00FF010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Regionalnych w Unii Europejskiej (ESA2010) wprowadzonego w życie Rozporządzeniem Parlamentu Europejskiego i Rady (UE) nr 549/2013 z dnia 21 maja 2013 roku oraz</w:t>
      </w:r>
      <w:r w:rsidR="00776817">
        <w:rPr>
          <w:rFonts w:ascii="Arial" w:hAnsi="Arial" w:cs="Arial"/>
          <w:sz w:val="20"/>
          <w:szCs w:val="20"/>
        </w:rPr>
        <w:t xml:space="preserve"> wytycznymi zawartymi </w:t>
      </w:r>
      <w:r w:rsidR="007E500B">
        <w:rPr>
          <w:rFonts w:ascii="Arial" w:hAnsi="Arial" w:cs="Arial"/>
          <w:sz w:val="20"/>
          <w:szCs w:val="20"/>
        </w:rPr>
        <w:br/>
      </w:r>
      <w:r w:rsidR="0077681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dostosowanym do ESA2010 Podręczniku deficytu i długu sektora instytucji rządowych i samorządowych </w:t>
      </w:r>
      <w:r w:rsidRPr="00D61F05">
        <w:rPr>
          <w:rFonts w:ascii="Arial" w:hAnsi="Arial" w:cs="Arial"/>
          <w:sz w:val="20"/>
          <w:szCs w:val="20"/>
        </w:rPr>
        <w:t>(</w:t>
      </w:r>
      <w:r w:rsidR="00D61F05">
        <w:rPr>
          <w:rFonts w:ascii="Arial" w:hAnsi="Arial" w:cs="Arial"/>
          <w:sz w:val="20"/>
          <w:szCs w:val="20"/>
        </w:rPr>
        <w:t xml:space="preserve">Manual on </w:t>
      </w:r>
      <w:proofErr w:type="spellStart"/>
      <w:r w:rsidR="00D61F05">
        <w:rPr>
          <w:rFonts w:ascii="Arial" w:hAnsi="Arial" w:cs="Arial"/>
          <w:sz w:val="20"/>
          <w:szCs w:val="20"/>
        </w:rPr>
        <w:t>Government</w:t>
      </w:r>
      <w:proofErr w:type="spellEnd"/>
      <w:r w:rsidR="00D61F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5087">
        <w:rPr>
          <w:rFonts w:ascii="Arial" w:hAnsi="Arial" w:cs="Arial"/>
          <w:sz w:val="20"/>
          <w:szCs w:val="20"/>
        </w:rPr>
        <w:t>D</w:t>
      </w:r>
      <w:r w:rsidR="00D61F05">
        <w:rPr>
          <w:rFonts w:ascii="Arial" w:hAnsi="Arial" w:cs="Arial"/>
          <w:sz w:val="20"/>
          <w:szCs w:val="20"/>
        </w:rPr>
        <w:t>efic</w:t>
      </w:r>
      <w:r w:rsidR="00E85087">
        <w:rPr>
          <w:rFonts w:ascii="Arial" w:hAnsi="Arial" w:cs="Arial"/>
          <w:sz w:val="20"/>
          <w:szCs w:val="20"/>
        </w:rPr>
        <w:t>i</w:t>
      </w:r>
      <w:r w:rsidR="00D61F05">
        <w:rPr>
          <w:rFonts w:ascii="Arial" w:hAnsi="Arial" w:cs="Arial"/>
          <w:sz w:val="20"/>
          <w:szCs w:val="20"/>
        </w:rPr>
        <w:t>t</w:t>
      </w:r>
      <w:proofErr w:type="spellEnd"/>
      <w:r w:rsidR="00D61F0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85087">
        <w:rPr>
          <w:rFonts w:ascii="Arial" w:hAnsi="Arial" w:cs="Arial"/>
          <w:sz w:val="20"/>
          <w:szCs w:val="20"/>
        </w:rPr>
        <w:t>D</w:t>
      </w:r>
      <w:r w:rsidR="00D61F05">
        <w:rPr>
          <w:rFonts w:ascii="Arial" w:hAnsi="Arial" w:cs="Arial"/>
          <w:sz w:val="20"/>
          <w:szCs w:val="20"/>
        </w:rPr>
        <w:t>ebt</w:t>
      </w:r>
      <w:proofErr w:type="spellEnd"/>
      <w:r w:rsidR="0086465F">
        <w:rPr>
          <w:rFonts w:ascii="Arial" w:hAnsi="Arial" w:cs="Arial"/>
          <w:sz w:val="20"/>
          <w:szCs w:val="20"/>
        </w:rPr>
        <w:t xml:space="preserve"> (MGDD)</w:t>
      </w:r>
      <w:r w:rsidR="00484E96">
        <w:rPr>
          <w:rFonts w:ascii="Arial" w:hAnsi="Arial" w:cs="Arial"/>
          <w:sz w:val="20"/>
          <w:szCs w:val="20"/>
        </w:rPr>
        <w:t>, edycja 201</w:t>
      </w:r>
      <w:r w:rsidR="000A5A3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="0065501F" w:rsidRPr="0065501F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5501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:rsidR="00C41949" w:rsidRDefault="009437E5" w:rsidP="004762B7">
      <w:pPr>
        <w:spacing w:after="0" w:line="288" w:lineRule="auto"/>
        <w:ind w:firstLine="425"/>
        <w:jc w:val="both"/>
        <w:rPr>
          <w:rFonts w:ascii="Arial" w:hAnsi="Arial" w:cs="Arial"/>
          <w:b/>
          <w:sz w:val="20"/>
        </w:rPr>
      </w:pPr>
      <w:r w:rsidRPr="00343902">
        <w:rPr>
          <w:rFonts w:ascii="Arial" w:hAnsi="Arial" w:cs="Arial"/>
          <w:b/>
          <w:sz w:val="20"/>
        </w:rPr>
        <w:t>Zgodnie z notyfikacją, deficyt sektora instytucji rządowych i samorządowych w 201</w:t>
      </w:r>
      <w:r w:rsidR="00B56570">
        <w:rPr>
          <w:rFonts w:ascii="Arial" w:hAnsi="Arial" w:cs="Arial"/>
          <w:b/>
          <w:sz w:val="20"/>
        </w:rPr>
        <w:t>5</w:t>
      </w:r>
      <w:r w:rsidRPr="00343902">
        <w:rPr>
          <w:rFonts w:ascii="Arial" w:hAnsi="Arial" w:cs="Arial"/>
          <w:b/>
          <w:sz w:val="20"/>
        </w:rPr>
        <w:t xml:space="preserve"> roku ukształtował się na poziomie </w:t>
      </w:r>
      <w:r w:rsidR="0087247B">
        <w:rPr>
          <w:rFonts w:ascii="Arial" w:hAnsi="Arial" w:cs="Arial"/>
          <w:b/>
          <w:sz w:val="20"/>
        </w:rPr>
        <w:t>4</w:t>
      </w:r>
      <w:r w:rsidR="00471572">
        <w:rPr>
          <w:rFonts w:ascii="Arial" w:hAnsi="Arial" w:cs="Arial"/>
          <w:b/>
          <w:sz w:val="20"/>
        </w:rPr>
        <w:t>5</w:t>
      </w:r>
      <w:r w:rsidR="0087247B">
        <w:rPr>
          <w:rFonts w:ascii="Arial" w:hAnsi="Arial" w:cs="Arial"/>
          <w:b/>
          <w:sz w:val="20"/>
        </w:rPr>
        <w:t xml:space="preserve"> </w:t>
      </w:r>
      <w:r w:rsidR="00471572">
        <w:rPr>
          <w:rFonts w:ascii="Arial" w:hAnsi="Arial" w:cs="Arial"/>
          <w:b/>
          <w:sz w:val="20"/>
        </w:rPr>
        <w:t>97</w:t>
      </w:r>
      <w:r w:rsidR="0087247B">
        <w:rPr>
          <w:rFonts w:ascii="Arial" w:hAnsi="Arial" w:cs="Arial"/>
          <w:b/>
          <w:sz w:val="20"/>
        </w:rPr>
        <w:t xml:space="preserve">6 mln zł, co stanowi </w:t>
      </w:r>
      <w:r w:rsidR="006C19E4">
        <w:rPr>
          <w:rFonts w:ascii="Arial" w:hAnsi="Arial" w:cs="Arial"/>
          <w:b/>
          <w:sz w:val="20"/>
        </w:rPr>
        <w:t>2,6</w:t>
      </w:r>
      <w:r w:rsidRPr="00343902">
        <w:rPr>
          <w:rFonts w:ascii="Arial" w:hAnsi="Arial" w:cs="Arial"/>
          <w:b/>
          <w:sz w:val="20"/>
        </w:rPr>
        <w:t xml:space="preserve">% </w:t>
      </w:r>
      <w:r w:rsidR="00A621E0">
        <w:rPr>
          <w:rFonts w:ascii="Arial" w:hAnsi="Arial" w:cs="Arial"/>
          <w:b/>
          <w:sz w:val="20"/>
        </w:rPr>
        <w:t>PKB</w:t>
      </w:r>
      <w:r w:rsidRPr="00343902">
        <w:rPr>
          <w:rFonts w:ascii="Arial" w:hAnsi="Arial" w:cs="Arial"/>
          <w:b/>
          <w:sz w:val="20"/>
        </w:rPr>
        <w:t xml:space="preserve">, natomiast dług </w:t>
      </w:r>
      <w:r w:rsidR="00FF010A">
        <w:rPr>
          <w:rFonts w:ascii="Arial" w:hAnsi="Arial" w:cs="Arial"/>
          <w:b/>
          <w:sz w:val="20"/>
        </w:rPr>
        <w:t>sektora</w:t>
      </w:r>
      <w:r w:rsidRPr="00343902">
        <w:rPr>
          <w:rFonts w:ascii="Arial" w:hAnsi="Arial" w:cs="Arial"/>
          <w:b/>
          <w:sz w:val="20"/>
        </w:rPr>
        <w:t xml:space="preserve"> wyniósł </w:t>
      </w:r>
      <w:r w:rsidR="00776817">
        <w:rPr>
          <w:rFonts w:ascii="Arial" w:hAnsi="Arial" w:cs="Arial"/>
          <w:b/>
          <w:sz w:val="20"/>
        </w:rPr>
        <w:br/>
      </w:r>
      <w:r w:rsidR="006C19E4">
        <w:rPr>
          <w:rFonts w:ascii="Arial" w:hAnsi="Arial" w:cs="Arial"/>
          <w:b/>
          <w:sz w:val="20"/>
        </w:rPr>
        <w:t>91</w:t>
      </w:r>
      <w:r w:rsidR="00471572">
        <w:rPr>
          <w:rFonts w:ascii="Arial" w:hAnsi="Arial" w:cs="Arial"/>
          <w:b/>
          <w:sz w:val="20"/>
        </w:rPr>
        <w:t>9</w:t>
      </w:r>
      <w:r w:rsidR="006C19E4">
        <w:rPr>
          <w:rFonts w:ascii="Arial" w:hAnsi="Arial" w:cs="Arial"/>
          <w:b/>
          <w:sz w:val="20"/>
        </w:rPr>
        <w:t xml:space="preserve"> </w:t>
      </w:r>
      <w:r w:rsidR="00471572">
        <w:rPr>
          <w:rFonts w:ascii="Arial" w:hAnsi="Arial" w:cs="Arial"/>
          <w:b/>
          <w:sz w:val="20"/>
        </w:rPr>
        <w:t>660</w:t>
      </w:r>
      <w:r w:rsidRPr="00343902">
        <w:rPr>
          <w:rFonts w:ascii="Arial" w:hAnsi="Arial" w:cs="Arial"/>
          <w:b/>
          <w:sz w:val="20"/>
        </w:rPr>
        <w:t xml:space="preserve"> mln zł, tj. 5</w:t>
      </w:r>
      <w:r w:rsidR="00AB1D78">
        <w:rPr>
          <w:rFonts w:ascii="Arial" w:hAnsi="Arial" w:cs="Arial"/>
          <w:b/>
          <w:sz w:val="20"/>
        </w:rPr>
        <w:t>1</w:t>
      </w:r>
      <w:r w:rsidRPr="00343902">
        <w:rPr>
          <w:rFonts w:ascii="Arial" w:hAnsi="Arial" w:cs="Arial"/>
          <w:b/>
          <w:sz w:val="20"/>
        </w:rPr>
        <w:t>,</w:t>
      </w:r>
      <w:r w:rsidR="00471572">
        <w:rPr>
          <w:rFonts w:ascii="Arial" w:hAnsi="Arial" w:cs="Arial"/>
          <w:b/>
          <w:sz w:val="20"/>
        </w:rPr>
        <w:t>1</w:t>
      </w:r>
      <w:r w:rsidRPr="00343902">
        <w:rPr>
          <w:rFonts w:ascii="Arial" w:hAnsi="Arial" w:cs="Arial"/>
          <w:b/>
          <w:sz w:val="20"/>
        </w:rPr>
        <w:t xml:space="preserve">% </w:t>
      </w:r>
      <w:r w:rsidR="00A621E0">
        <w:rPr>
          <w:rFonts w:ascii="Arial" w:hAnsi="Arial" w:cs="Arial"/>
          <w:b/>
          <w:sz w:val="20"/>
        </w:rPr>
        <w:t>PKB</w:t>
      </w:r>
      <w:r w:rsidRPr="00343902">
        <w:rPr>
          <w:rFonts w:ascii="Arial" w:hAnsi="Arial" w:cs="Arial"/>
          <w:b/>
          <w:sz w:val="20"/>
        </w:rPr>
        <w:t xml:space="preserve">. </w:t>
      </w:r>
    </w:p>
    <w:p w:rsidR="00C41949" w:rsidRPr="00E320F8" w:rsidRDefault="00C41949" w:rsidP="004762B7">
      <w:pPr>
        <w:spacing w:before="60" w:after="80" w:line="288" w:lineRule="auto"/>
        <w:ind w:left="-142" w:firstLine="142"/>
        <w:jc w:val="both"/>
        <w:rPr>
          <w:rFonts w:ascii="Arial" w:hAnsi="Arial" w:cs="Arial"/>
          <w:b/>
          <w:bCs/>
          <w:sz w:val="20"/>
          <w:szCs w:val="21"/>
        </w:rPr>
      </w:pPr>
      <w:r w:rsidRPr="00E320F8">
        <w:rPr>
          <w:rFonts w:ascii="Arial" w:hAnsi="Arial" w:cs="Arial"/>
          <w:b/>
          <w:bCs/>
          <w:sz w:val="18"/>
          <w:szCs w:val="21"/>
        </w:rPr>
        <w:t>Tabl. 1 Deficyt i dług sektora instytucji rządowych i samorządowych w latach 2010-2015 (mln zł)</w:t>
      </w:r>
    </w:p>
    <w:tbl>
      <w:tblPr>
        <w:tblW w:w="97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  <w:gridCol w:w="1029"/>
        <w:gridCol w:w="1029"/>
        <w:gridCol w:w="1029"/>
        <w:gridCol w:w="1029"/>
        <w:gridCol w:w="1029"/>
        <w:gridCol w:w="1029"/>
      </w:tblGrid>
      <w:tr w:rsidR="00C41949" w:rsidRPr="00A415D4" w:rsidTr="004762B7">
        <w:trPr>
          <w:trHeight w:val="22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60" w:after="6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sz w:val="14"/>
                <w:szCs w:val="14"/>
              </w:rPr>
              <w:t>Wyszczególnienie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949" w:rsidRPr="004762B7" w:rsidRDefault="00C41949" w:rsidP="006C6F9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bCs/>
                <w:sz w:val="14"/>
                <w:szCs w:val="14"/>
              </w:rPr>
              <w:t>2010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949" w:rsidRPr="004762B7" w:rsidRDefault="00C41949" w:rsidP="006C6F9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bCs/>
                <w:sz w:val="14"/>
                <w:szCs w:val="14"/>
              </w:rPr>
              <w:t>2011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bCs/>
                <w:sz w:val="14"/>
                <w:szCs w:val="14"/>
              </w:rPr>
              <w:t>2012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bCs/>
                <w:sz w:val="14"/>
                <w:szCs w:val="14"/>
              </w:rPr>
              <w:t>2013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bCs/>
                <w:sz w:val="14"/>
                <w:szCs w:val="14"/>
              </w:rPr>
              <w:t>2014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949" w:rsidRPr="004762B7" w:rsidRDefault="00C41949" w:rsidP="006C6F9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bCs/>
                <w:sz w:val="14"/>
                <w:szCs w:val="14"/>
              </w:rPr>
              <w:t>2015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50" w:after="5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sz w:val="14"/>
                <w:szCs w:val="14"/>
              </w:rPr>
              <w:t>Produkt krajowy brutto (PKB)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1 445 297*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1 566 813*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1 629 392*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1 656 842*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1 719 704*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1 798 302*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50" w:after="5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sz w:val="14"/>
                <w:szCs w:val="14"/>
              </w:rPr>
              <w:t xml:space="preserve">Deficyt / Nadwyżka sektora instytucji rządowych </w:t>
            </w:r>
            <w:r w:rsidRPr="004762B7">
              <w:rPr>
                <w:rFonts w:ascii="Arial" w:hAnsi="Arial" w:cs="Arial"/>
                <w:b/>
                <w:sz w:val="14"/>
                <w:szCs w:val="14"/>
              </w:rPr>
              <w:br/>
              <w:t xml:space="preserve">i samorządowych 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-106 115*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-75 531*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-60 138*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-67 130*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-58 980*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-45 976*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50" w:after="50" w:line="24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sz w:val="14"/>
                <w:szCs w:val="14"/>
              </w:rPr>
              <w:t>% PKB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-7,3%*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-4,8%*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-3,7%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-4,1%*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-3,4%*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-2,6%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single" w:sz="4" w:space="0" w:color="C0C0C0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20" w:after="20" w:line="240" w:lineRule="auto"/>
              <w:ind w:left="110"/>
              <w:rPr>
                <w:rFonts w:ascii="Arial" w:hAnsi="Arial" w:cs="Arial"/>
                <w:i/>
                <w:sz w:val="14"/>
                <w:szCs w:val="14"/>
              </w:rPr>
            </w:pPr>
            <w:r w:rsidRPr="004762B7">
              <w:rPr>
                <w:rFonts w:ascii="Arial" w:hAnsi="Arial" w:cs="Arial"/>
                <w:i/>
                <w:sz w:val="14"/>
                <w:szCs w:val="14"/>
              </w:rPr>
              <w:t>Deficyt / Nadwyżka podsektora instytucji rządowych na szczeblu centralnym</w:t>
            </w:r>
          </w:p>
        </w:tc>
        <w:tc>
          <w:tcPr>
            <w:tcW w:w="1029" w:type="dxa"/>
            <w:tcBorders>
              <w:top w:val="single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-84 989*</w:t>
            </w:r>
          </w:p>
        </w:tc>
        <w:tc>
          <w:tcPr>
            <w:tcW w:w="1029" w:type="dxa"/>
            <w:tcBorders>
              <w:top w:val="single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-62 432*</w:t>
            </w:r>
          </w:p>
        </w:tc>
        <w:tc>
          <w:tcPr>
            <w:tcW w:w="1029" w:type="dxa"/>
            <w:tcBorders>
              <w:top w:val="single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-59 042*</w:t>
            </w:r>
          </w:p>
        </w:tc>
        <w:tc>
          <w:tcPr>
            <w:tcW w:w="1029" w:type="dxa"/>
            <w:tcBorders>
              <w:top w:val="single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-59 575*</w:t>
            </w:r>
          </w:p>
        </w:tc>
        <w:tc>
          <w:tcPr>
            <w:tcW w:w="1029" w:type="dxa"/>
            <w:tcBorders>
              <w:top w:val="single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-38 803*</w:t>
            </w:r>
          </w:p>
        </w:tc>
        <w:tc>
          <w:tcPr>
            <w:tcW w:w="1029" w:type="dxa"/>
            <w:tcBorders>
              <w:top w:val="single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-39 435*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20" w:after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% PKB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-5,9%*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-4,0%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-3,6%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-3,6%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-2,3%*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-2,2%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20" w:after="20" w:line="240" w:lineRule="auto"/>
              <w:ind w:left="110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i/>
                <w:sz w:val="14"/>
                <w:szCs w:val="14"/>
              </w:rPr>
              <w:t xml:space="preserve">Deficyt / Nadwyżka podsektora instytucji samorządowych na szczeblu lokalnym 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-18 047*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-11 751*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-4 556*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-2 926*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-3 240*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50*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20" w:after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% PKB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-1,2%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-0,7%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-0,3%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-0,2%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-0,2%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0,0%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20" w:after="20" w:line="240" w:lineRule="auto"/>
              <w:ind w:left="110"/>
              <w:rPr>
                <w:rFonts w:ascii="Arial" w:hAnsi="Arial" w:cs="Arial"/>
                <w:i/>
                <w:sz w:val="14"/>
                <w:szCs w:val="14"/>
              </w:rPr>
            </w:pPr>
            <w:r w:rsidRPr="004762B7">
              <w:rPr>
                <w:rFonts w:ascii="Arial" w:hAnsi="Arial" w:cs="Arial"/>
                <w:i/>
                <w:sz w:val="14"/>
                <w:szCs w:val="14"/>
              </w:rPr>
              <w:t xml:space="preserve">Deficyt / Nadwyżka podsektora funduszy zabezpieczenia społecznego 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-3 079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-1 348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3 460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-4 629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-16 937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-6 591*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20" w:after="2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% PKB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-0,2%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-0,1%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0,2%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-0,3%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-1,0%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-0,4%</w:t>
            </w: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50" w:after="5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sz w:val="14"/>
                <w:szCs w:val="14"/>
              </w:rPr>
              <w:t xml:space="preserve">Dług sektora instytucji rządowych </w:t>
            </w:r>
            <w:r w:rsidRPr="004762B7">
              <w:rPr>
                <w:rFonts w:ascii="Arial" w:hAnsi="Arial" w:cs="Arial"/>
                <w:b/>
                <w:sz w:val="14"/>
                <w:szCs w:val="14"/>
              </w:rPr>
              <w:br/>
              <w:t>i samorządowych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767 844*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847 706*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875 085*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922 563*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863 810*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919 660*</w:t>
            </w:r>
          </w:p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949" w:rsidRPr="00A415D4" w:rsidTr="004762B7">
        <w:trPr>
          <w:trHeight w:val="228"/>
        </w:trPr>
        <w:tc>
          <w:tcPr>
            <w:tcW w:w="357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9" w:rsidRPr="004762B7" w:rsidRDefault="00C41949" w:rsidP="006C6F9F">
            <w:pPr>
              <w:spacing w:before="50" w:after="50" w:line="24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762B7">
              <w:rPr>
                <w:rFonts w:ascii="Arial" w:hAnsi="Arial" w:cs="Arial"/>
                <w:b/>
                <w:sz w:val="14"/>
                <w:szCs w:val="14"/>
              </w:rPr>
              <w:t>% PKB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53,1%*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54,1%*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53,7%*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55,7%*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50,2%*</w:t>
            </w: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1949" w:rsidRPr="004762B7" w:rsidRDefault="00C41949" w:rsidP="006C6F9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762B7">
              <w:rPr>
                <w:rFonts w:ascii="Arial" w:hAnsi="Arial" w:cs="Arial"/>
                <w:sz w:val="14"/>
                <w:szCs w:val="14"/>
              </w:rPr>
              <w:t>51,1%*</w:t>
            </w:r>
          </w:p>
        </w:tc>
      </w:tr>
    </w:tbl>
    <w:p w:rsidR="00C41949" w:rsidRDefault="00C41949" w:rsidP="004762B7">
      <w:pPr>
        <w:spacing w:after="0" w:line="288" w:lineRule="auto"/>
        <w:ind w:left="-142" w:firstLine="426"/>
        <w:jc w:val="both"/>
        <w:rPr>
          <w:rFonts w:ascii="Arial" w:hAnsi="Arial" w:cs="Arial"/>
          <w:b/>
          <w:sz w:val="20"/>
        </w:rPr>
      </w:pPr>
    </w:p>
    <w:p w:rsidR="00864B75" w:rsidRDefault="004318BA" w:rsidP="004762B7">
      <w:pPr>
        <w:spacing w:after="0" w:line="288" w:lineRule="auto"/>
        <w:ind w:left="-142" w:firstLine="426"/>
        <w:jc w:val="both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3777724C" wp14:editId="7C688F3E">
            <wp:extent cx="2828925" cy="1990725"/>
            <wp:effectExtent l="0" t="0" r="9525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Arial" w:hAnsi="Arial" w:cs="Arial"/>
          <w:b/>
          <w:sz w:val="20"/>
        </w:rPr>
        <w:t xml:space="preserve">    </w:t>
      </w:r>
      <w:r>
        <w:rPr>
          <w:noProof/>
        </w:rPr>
        <w:drawing>
          <wp:inline distT="0" distB="0" distL="0" distR="0" wp14:anchorId="524C4238" wp14:editId="5295528F">
            <wp:extent cx="2914650" cy="1971675"/>
            <wp:effectExtent l="0" t="0" r="19050" b="952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4B75" w:rsidRDefault="00864B75" w:rsidP="004762B7">
      <w:pPr>
        <w:spacing w:after="0" w:line="288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7C0132" w:rsidRPr="004762B7" w:rsidRDefault="00E7509D" w:rsidP="004762B7">
      <w:pPr>
        <w:spacing w:after="0" w:line="288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Dane za lata 201</w:t>
      </w:r>
      <w:r w:rsidR="0033143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-201</w:t>
      </w:r>
      <w:r w:rsidR="0033143B">
        <w:rPr>
          <w:rFonts w:ascii="Arial" w:hAnsi="Arial" w:cs="Arial"/>
          <w:sz w:val="20"/>
          <w:szCs w:val="20"/>
        </w:rPr>
        <w:t>5</w:t>
      </w:r>
      <w:r w:rsidR="00ED62E2" w:rsidRPr="00ED62E2">
        <w:rPr>
          <w:rFonts w:ascii="Arial" w:hAnsi="Arial" w:cs="Arial"/>
          <w:sz w:val="20"/>
          <w:szCs w:val="20"/>
        </w:rPr>
        <w:t xml:space="preserve"> uległy zmianom w stosu</w:t>
      </w:r>
      <w:r w:rsidR="00ED62E2">
        <w:rPr>
          <w:rFonts w:ascii="Arial" w:hAnsi="Arial" w:cs="Arial"/>
          <w:sz w:val="20"/>
          <w:szCs w:val="20"/>
        </w:rPr>
        <w:t xml:space="preserve">nku do wcześniej publikowanych </w:t>
      </w:r>
      <w:r w:rsidR="00216CD5">
        <w:rPr>
          <w:rFonts w:ascii="Arial" w:hAnsi="Arial" w:cs="Arial"/>
          <w:sz w:val="20"/>
          <w:szCs w:val="20"/>
        </w:rPr>
        <w:t>(</w:t>
      </w:r>
      <w:r w:rsidR="0033143B">
        <w:rPr>
          <w:rFonts w:ascii="Arial" w:hAnsi="Arial" w:cs="Arial"/>
          <w:sz w:val="20"/>
          <w:szCs w:val="20"/>
        </w:rPr>
        <w:t>marzec</w:t>
      </w:r>
      <w:r w:rsidR="00610299">
        <w:rPr>
          <w:rFonts w:ascii="Arial" w:hAnsi="Arial" w:cs="Arial"/>
          <w:sz w:val="20"/>
          <w:szCs w:val="20"/>
        </w:rPr>
        <w:t xml:space="preserve"> </w:t>
      </w:r>
      <w:r w:rsidR="003A31F3">
        <w:rPr>
          <w:rFonts w:ascii="Arial" w:hAnsi="Arial" w:cs="Arial"/>
          <w:sz w:val="20"/>
          <w:szCs w:val="20"/>
        </w:rPr>
        <w:t>201</w:t>
      </w:r>
      <w:r w:rsidR="00065C1A">
        <w:rPr>
          <w:rFonts w:ascii="Arial" w:hAnsi="Arial" w:cs="Arial"/>
          <w:sz w:val="20"/>
          <w:szCs w:val="20"/>
        </w:rPr>
        <w:t>6</w:t>
      </w:r>
      <w:r w:rsidR="003A31F3">
        <w:rPr>
          <w:rFonts w:ascii="Arial" w:hAnsi="Arial" w:cs="Arial"/>
          <w:sz w:val="20"/>
          <w:szCs w:val="20"/>
        </w:rPr>
        <w:t xml:space="preserve"> roku</w:t>
      </w:r>
      <w:r w:rsidR="00216CD5">
        <w:rPr>
          <w:rFonts w:ascii="Arial" w:hAnsi="Arial" w:cs="Arial"/>
          <w:sz w:val="20"/>
          <w:szCs w:val="20"/>
        </w:rPr>
        <w:t>)</w:t>
      </w:r>
      <w:r w:rsidR="003A31F3">
        <w:rPr>
          <w:rFonts w:ascii="Arial" w:hAnsi="Arial" w:cs="Arial"/>
          <w:sz w:val="20"/>
          <w:szCs w:val="20"/>
        </w:rPr>
        <w:t xml:space="preserve"> </w:t>
      </w:r>
      <w:r w:rsidR="007E500B">
        <w:rPr>
          <w:rFonts w:ascii="Arial" w:hAnsi="Arial" w:cs="Arial"/>
          <w:sz w:val="20"/>
          <w:szCs w:val="20"/>
        </w:rPr>
        <w:br/>
      </w:r>
      <w:r w:rsidR="003A31F3">
        <w:rPr>
          <w:rFonts w:ascii="Arial" w:hAnsi="Arial" w:cs="Arial"/>
          <w:sz w:val="20"/>
          <w:szCs w:val="20"/>
        </w:rPr>
        <w:t>w</w:t>
      </w:r>
      <w:r w:rsidR="00ED62E2" w:rsidRPr="00ED62E2">
        <w:rPr>
          <w:rFonts w:ascii="Arial" w:hAnsi="Arial" w:cs="Arial"/>
          <w:sz w:val="20"/>
          <w:szCs w:val="20"/>
        </w:rPr>
        <w:t xml:space="preserve"> związku z</w:t>
      </w:r>
      <w:r w:rsidR="007C0132">
        <w:rPr>
          <w:rFonts w:ascii="Arial" w:hAnsi="Arial" w:cs="Arial"/>
          <w:sz w:val="20"/>
          <w:szCs w:val="20"/>
        </w:rPr>
        <w:t>:</w:t>
      </w:r>
      <w:r w:rsidR="002E3385">
        <w:rPr>
          <w:rFonts w:ascii="Arial" w:hAnsi="Arial" w:cs="Arial"/>
          <w:sz w:val="20"/>
          <w:szCs w:val="20"/>
        </w:rPr>
        <w:t xml:space="preserve"> </w:t>
      </w:r>
      <w:r w:rsidR="002C557E" w:rsidRPr="004762B7">
        <w:rPr>
          <w:rFonts w:ascii="Arial" w:hAnsi="Arial" w:cs="Arial"/>
          <w:sz w:val="20"/>
          <w:szCs w:val="20"/>
        </w:rPr>
        <w:t>wykorzystaniem</w:t>
      </w:r>
      <w:r w:rsidR="007C0132" w:rsidRPr="004762B7">
        <w:rPr>
          <w:rFonts w:ascii="Arial" w:hAnsi="Arial" w:cs="Arial"/>
          <w:sz w:val="20"/>
          <w:szCs w:val="20"/>
        </w:rPr>
        <w:t xml:space="preserve"> ostatecznych danych </w:t>
      </w:r>
      <w:r w:rsidR="002C557E" w:rsidRPr="004762B7">
        <w:rPr>
          <w:rFonts w:ascii="Arial" w:hAnsi="Arial" w:cs="Arial"/>
          <w:sz w:val="20"/>
          <w:szCs w:val="20"/>
        </w:rPr>
        <w:t xml:space="preserve">źródłowych </w:t>
      </w:r>
      <w:r w:rsidR="007C0132" w:rsidRPr="004762B7">
        <w:rPr>
          <w:rFonts w:ascii="Arial" w:hAnsi="Arial" w:cs="Arial"/>
          <w:sz w:val="20"/>
          <w:szCs w:val="20"/>
        </w:rPr>
        <w:t>dla 2015 roku</w:t>
      </w:r>
      <w:r w:rsidR="002E3385">
        <w:rPr>
          <w:rFonts w:ascii="Arial" w:hAnsi="Arial" w:cs="Arial"/>
          <w:sz w:val="20"/>
          <w:szCs w:val="20"/>
        </w:rPr>
        <w:t xml:space="preserve">, </w:t>
      </w:r>
      <w:r w:rsidR="0033143B" w:rsidRPr="004762B7">
        <w:rPr>
          <w:rFonts w:ascii="Arial" w:hAnsi="Arial" w:cs="Arial"/>
          <w:sz w:val="20"/>
          <w:szCs w:val="20"/>
        </w:rPr>
        <w:t xml:space="preserve">wdrożeniem </w:t>
      </w:r>
      <w:r w:rsidR="007C0132" w:rsidRPr="004762B7">
        <w:rPr>
          <w:rFonts w:ascii="Arial" w:hAnsi="Arial" w:cs="Arial"/>
          <w:sz w:val="20"/>
          <w:szCs w:val="20"/>
        </w:rPr>
        <w:t xml:space="preserve">wytycznych zawartych </w:t>
      </w:r>
      <w:r w:rsidR="0033143B" w:rsidRPr="004762B7">
        <w:rPr>
          <w:rFonts w:ascii="Arial" w:hAnsi="Arial" w:cs="Arial"/>
          <w:sz w:val="20"/>
          <w:szCs w:val="20"/>
        </w:rPr>
        <w:t xml:space="preserve">w </w:t>
      </w:r>
      <w:r w:rsidR="007C0132" w:rsidRPr="004762B7">
        <w:rPr>
          <w:rFonts w:ascii="Arial" w:hAnsi="Arial" w:cs="Arial"/>
          <w:sz w:val="20"/>
          <w:szCs w:val="20"/>
        </w:rPr>
        <w:t>najnowszym podręczniku MGDD</w:t>
      </w:r>
      <w:r w:rsidR="00CE206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2E3385">
        <w:rPr>
          <w:rFonts w:ascii="Arial" w:hAnsi="Arial" w:cs="Arial"/>
          <w:sz w:val="20"/>
          <w:szCs w:val="20"/>
        </w:rPr>
        <w:t xml:space="preserve"> oraz </w:t>
      </w:r>
      <w:r w:rsidR="007C0132" w:rsidRPr="004762B7">
        <w:rPr>
          <w:rFonts w:ascii="Arial" w:hAnsi="Arial" w:cs="Arial"/>
          <w:sz w:val="20"/>
          <w:szCs w:val="20"/>
        </w:rPr>
        <w:t>dodatkowy</w:t>
      </w:r>
      <w:r w:rsidR="00E320F8" w:rsidRPr="004762B7">
        <w:rPr>
          <w:rFonts w:ascii="Arial" w:hAnsi="Arial" w:cs="Arial"/>
          <w:sz w:val="20"/>
          <w:szCs w:val="20"/>
        </w:rPr>
        <w:t>mi</w:t>
      </w:r>
      <w:r w:rsidR="007C0132" w:rsidRPr="004762B7">
        <w:rPr>
          <w:rFonts w:ascii="Arial" w:hAnsi="Arial" w:cs="Arial"/>
          <w:sz w:val="20"/>
          <w:szCs w:val="20"/>
        </w:rPr>
        <w:t xml:space="preserve"> zalece</w:t>
      </w:r>
      <w:r w:rsidR="00E320F8" w:rsidRPr="004762B7">
        <w:rPr>
          <w:rFonts w:ascii="Arial" w:hAnsi="Arial" w:cs="Arial"/>
          <w:sz w:val="20"/>
          <w:szCs w:val="20"/>
        </w:rPr>
        <w:t>niami</w:t>
      </w:r>
      <w:r w:rsidR="007C0132" w:rsidRPr="004762B7">
        <w:rPr>
          <w:rFonts w:ascii="Arial" w:hAnsi="Arial" w:cs="Arial"/>
          <w:sz w:val="20"/>
          <w:szCs w:val="20"/>
        </w:rPr>
        <w:t xml:space="preserve"> sformułowany</w:t>
      </w:r>
      <w:r w:rsidR="00E320F8" w:rsidRPr="004762B7">
        <w:rPr>
          <w:rFonts w:ascii="Arial" w:hAnsi="Arial" w:cs="Arial"/>
          <w:sz w:val="20"/>
          <w:szCs w:val="20"/>
        </w:rPr>
        <w:t>mi</w:t>
      </w:r>
      <w:r w:rsidR="007C0132" w:rsidRPr="004762B7">
        <w:rPr>
          <w:rFonts w:ascii="Arial" w:hAnsi="Arial" w:cs="Arial"/>
          <w:sz w:val="20"/>
          <w:szCs w:val="20"/>
        </w:rPr>
        <w:t xml:space="preserve"> przez Komisję Europejską w trakcie kwietniowej notyfikacji.</w:t>
      </w:r>
    </w:p>
    <w:p w:rsidR="00374FDD" w:rsidRDefault="00003AF2" w:rsidP="00520C5A">
      <w:pPr>
        <w:spacing w:after="0" w:line="288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Największy wpływ rewizji na deficyt sektora zaob</w:t>
      </w:r>
      <w:r w:rsidR="00230EA5">
        <w:rPr>
          <w:rFonts w:ascii="Arial" w:hAnsi="Arial" w:cs="Arial"/>
          <w:sz w:val="20"/>
          <w:szCs w:val="20"/>
        </w:rPr>
        <w:t xml:space="preserve">serwowano w latach 2010 i 2014 – </w:t>
      </w:r>
      <w:r>
        <w:rPr>
          <w:rFonts w:ascii="Arial" w:hAnsi="Arial" w:cs="Arial"/>
          <w:sz w:val="20"/>
          <w:szCs w:val="20"/>
        </w:rPr>
        <w:t>odpowiednio zmni</w:t>
      </w:r>
      <w:r w:rsidR="00230EA5">
        <w:rPr>
          <w:rFonts w:ascii="Arial" w:hAnsi="Arial" w:cs="Arial"/>
          <w:sz w:val="20"/>
          <w:szCs w:val="20"/>
        </w:rPr>
        <w:t>ejszenie o 2,7 mld zł (0,2 pkt.%</w:t>
      </w:r>
      <w:r>
        <w:rPr>
          <w:rFonts w:ascii="Arial" w:hAnsi="Arial" w:cs="Arial"/>
          <w:sz w:val="20"/>
          <w:szCs w:val="20"/>
        </w:rPr>
        <w:t xml:space="preserve"> w relacji do PKB) i zwiększenie o 2,0 mld zł (0,1 pkt.</w:t>
      </w:r>
      <w:r w:rsidR="00230EA5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w relacji do PKB). W obu latach największy wpływ na rewizję wyników miała reklasyfikacja jednostek do sektora instytucji rządowych i samorządowych. Natomiast największy wpływ rewizji na dług sektora wystąpił w lata</w:t>
      </w:r>
      <w:r w:rsidR="00230EA5">
        <w:rPr>
          <w:rFonts w:ascii="Arial" w:hAnsi="Arial" w:cs="Arial"/>
          <w:sz w:val="20"/>
          <w:szCs w:val="20"/>
        </w:rPr>
        <w:t xml:space="preserve">ch 2012 </w:t>
      </w:r>
      <w:r w:rsidR="00196C7B">
        <w:rPr>
          <w:rFonts w:ascii="Arial" w:hAnsi="Arial" w:cs="Arial"/>
          <w:sz w:val="20"/>
          <w:szCs w:val="20"/>
        </w:rPr>
        <w:br/>
      </w:r>
      <w:r w:rsidR="00301A92">
        <w:rPr>
          <w:rFonts w:ascii="Arial" w:hAnsi="Arial" w:cs="Arial"/>
          <w:sz w:val="20"/>
          <w:szCs w:val="20"/>
        </w:rPr>
        <w:t>i 2013</w:t>
      </w:r>
      <w:r w:rsidR="00230EA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odpowiednio zmniejszenie o 4,2 mld zł (0,3 pkt.</w:t>
      </w:r>
      <w:r w:rsidR="00230EA5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 xml:space="preserve">w relacji do PKB) i zmniejszenie o 4,5 mld zł </w:t>
      </w:r>
      <w:r w:rsidR="00196C7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(0,3 pkt.</w:t>
      </w:r>
      <w:r w:rsidR="00230EA5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w relacji do PKB).</w:t>
      </w:r>
      <w:r w:rsidR="007503C0">
        <w:rPr>
          <w:rFonts w:ascii="Arial" w:hAnsi="Arial" w:cs="Arial"/>
          <w:sz w:val="20"/>
          <w:szCs w:val="20"/>
        </w:rPr>
        <w:t xml:space="preserve"> </w:t>
      </w:r>
      <w:r w:rsidR="00005841">
        <w:rPr>
          <w:rFonts w:ascii="Arial" w:hAnsi="Arial" w:cs="Arial"/>
          <w:sz w:val="20"/>
          <w:szCs w:val="20"/>
        </w:rPr>
        <w:t>Z</w:t>
      </w:r>
      <w:r w:rsidR="007503C0">
        <w:rPr>
          <w:rFonts w:ascii="Arial" w:hAnsi="Arial" w:cs="Arial"/>
          <w:sz w:val="20"/>
          <w:szCs w:val="20"/>
        </w:rPr>
        <w:t xml:space="preserve">miany </w:t>
      </w:r>
      <w:r w:rsidR="00005841">
        <w:rPr>
          <w:rFonts w:ascii="Arial" w:hAnsi="Arial" w:cs="Arial"/>
          <w:sz w:val="20"/>
          <w:szCs w:val="20"/>
        </w:rPr>
        <w:t xml:space="preserve">te </w:t>
      </w:r>
      <w:r w:rsidR="007503C0">
        <w:rPr>
          <w:rFonts w:ascii="Arial" w:hAnsi="Arial" w:cs="Arial"/>
          <w:sz w:val="20"/>
          <w:szCs w:val="20"/>
        </w:rPr>
        <w:t>związane były z reklasyfikacją jednostek</w:t>
      </w:r>
      <w:r w:rsidR="009532AE">
        <w:rPr>
          <w:rFonts w:ascii="Arial" w:hAnsi="Arial" w:cs="Arial"/>
          <w:sz w:val="20"/>
          <w:szCs w:val="20"/>
        </w:rPr>
        <w:t xml:space="preserve"> </w:t>
      </w:r>
      <w:r w:rsidR="005A66FB">
        <w:rPr>
          <w:rFonts w:ascii="Arial" w:hAnsi="Arial" w:cs="Arial"/>
          <w:sz w:val="20"/>
          <w:szCs w:val="20"/>
        </w:rPr>
        <w:t xml:space="preserve">oraz </w:t>
      </w:r>
      <w:r w:rsidR="009532AE">
        <w:rPr>
          <w:rFonts w:ascii="Arial" w:hAnsi="Arial" w:cs="Arial"/>
          <w:sz w:val="20"/>
          <w:szCs w:val="20"/>
        </w:rPr>
        <w:t>konsolidacją</w:t>
      </w:r>
      <w:r w:rsidR="00FC16AA">
        <w:rPr>
          <w:rFonts w:ascii="Arial" w:hAnsi="Arial" w:cs="Arial"/>
          <w:sz w:val="20"/>
          <w:szCs w:val="20"/>
        </w:rPr>
        <w:t xml:space="preserve"> </w:t>
      </w:r>
      <w:r w:rsidR="009532AE">
        <w:rPr>
          <w:rFonts w:ascii="Arial" w:hAnsi="Arial" w:cs="Arial"/>
          <w:sz w:val="20"/>
          <w:szCs w:val="20"/>
        </w:rPr>
        <w:t>skarbowych papierów wartościowych.</w:t>
      </w:r>
      <w:r w:rsidR="00374FDD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A473EF" w:rsidRDefault="00133880" w:rsidP="004762B7">
      <w:pPr>
        <w:spacing w:after="60" w:line="288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Aktualna lista jednostek sektora </w:t>
      </w:r>
      <w:r w:rsidR="006B31AD">
        <w:rPr>
          <w:rFonts w:ascii="Arial" w:hAnsi="Arial" w:cs="Arial"/>
          <w:sz w:val="20"/>
          <w:szCs w:val="20"/>
        </w:rPr>
        <w:t xml:space="preserve">znajduje się na stronie GUS: </w:t>
      </w:r>
      <w:hyperlink r:id="rId11" w:history="1">
        <w:r w:rsidR="006B31AD" w:rsidRPr="003B3676">
          <w:rPr>
            <w:rStyle w:val="Hipercze"/>
            <w:rFonts w:ascii="Arial" w:hAnsi="Arial" w:cs="Arial"/>
            <w:szCs w:val="20"/>
          </w:rPr>
          <w:t>http://stat.gov.pl/obszary-tematyczne/rachunki-narodowe/statystyka-sektora-instytucji-rzadowych-i-samorzadowych/</w:t>
        </w:r>
      </w:hyperlink>
      <w:r w:rsidR="006B31AD">
        <w:rPr>
          <w:rFonts w:ascii="Arial" w:hAnsi="Arial" w:cs="Arial"/>
          <w:sz w:val="20"/>
          <w:szCs w:val="20"/>
        </w:rPr>
        <w:t>.</w:t>
      </w:r>
      <w:r w:rsidR="00C528FD">
        <w:rPr>
          <w:rFonts w:ascii="Arial" w:hAnsi="Arial" w:cs="Arial"/>
          <w:sz w:val="20"/>
          <w:szCs w:val="20"/>
        </w:rPr>
        <w:t xml:space="preserve"> </w:t>
      </w:r>
    </w:p>
    <w:p w:rsidR="0083168F" w:rsidRDefault="001C6C8C" w:rsidP="001077F5">
      <w:p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867FEA">
        <w:rPr>
          <w:rFonts w:ascii="Arial" w:hAnsi="Arial" w:cs="Arial"/>
          <w:b/>
          <w:sz w:val="18"/>
        </w:rPr>
        <w:t>Tabl. 2</w:t>
      </w:r>
      <w:r>
        <w:rPr>
          <w:rFonts w:ascii="Arial" w:hAnsi="Arial" w:cs="Arial"/>
          <w:b/>
          <w:sz w:val="18"/>
        </w:rPr>
        <w:t xml:space="preserve"> Wpływ rewizji na deficyt i dług sektora instytucji rządowych i samorządowych w latach 2010-2015 (mln zł)</w:t>
      </w:r>
    </w:p>
    <w:tbl>
      <w:tblPr>
        <w:tblW w:w="96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8"/>
        <w:gridCol w:w="859"/>
        <w:gridCol w:w="859"/>
        <w:gridCol w:w="895"/>
        <w:gridCol w:w="859"/>
        <w:gridCol w:w="859"/>
        <w:gridCol w:w="859"/>
      </w:tblGrid>
      <w:tr w:rsidR="001C6C8C" w:rsidRPr="001C6C8C" w:rsidTr="004762B7">
        <w:trPr>
          <w:trHeight w:val="483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2015</w:t>
            </w:r>
          </w:p>
        </w:tc>
      </w:tr>
      <w:tr w:rsidR="00633004" w:rsidRPr="001C6C8C" w:rsidTr="004762B7">
        <w:trPr>
          <w:trHeight w:val="477"/>
        </w:trPr>
        <w:tc>
          <w:tcPr>
            <w:tcW w:w="450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>Deficyt / Nadwyżka sektora instytucji rządowych i samorządowych przed rewizją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-108 770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-75 995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-60 159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-66 697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-56 958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-46 666</w:t>
            </w:r>
          </w:p>
        </w:tc>
      </w:tr>
      <w:tr w:rsidR="00633004" w:rsidRPr="001C6C8C" w:rsidTr="004762B7">
        <w:trPr>
          <w:trHeight w:val="477"/>
        </w:trPr>
        <w:tc>
          <w:tcPr>
            <w:tcW w:w="450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>Deficyt / Nadwyżka sektora instytucji rządowych i samorządowych po rewizji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-106 115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-75 531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-60 138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-67 130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-58 980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-45 976</w:t>
            </w:r>
          </w:p>
        </w:tc>
      </w:tr>
      <w:tr w:rsidR="00633004" w:rsidRPr="001C6C8C" w:rsidTr="004762B7">
        <w:trPr>
          <w:trHeight w:val="477"/>
        </w:trPr>
        <w:tc>
          <w:tcPr>
            <w:tcW w:w="450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Ogółem zmiana </w:t>
            </w:r>
            <w:r w:rsidRPr="001C6C8C">
              <w:rPr>
                <w:rFonts w:ascii="Times New Roman" w:hAnsi="Times New Roman"/>
                <w:color w:val="000000"/>
                <w:sz w:val="16"/>
                <w:szCs w:val="16"/>
              </w:rPr>
              <w:t>nominalna</w:t>
            </w: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deficytu / nadwyżki sektora instytucji rządowych i samorządowych 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-2 655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-464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2 022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-690</w:t>
            </w:r>
          </w:p>
        </w:tc>
      </w:tr>
      <w:tr w:rsidR="00633004" w:rsidRPr="001C6C8C" w:rsidTr="004762B7">
        <w:trPr>
          <w:trHeight w:val="294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>Zmiana</w:t>
            </w:r>
            <w:r w:rsidR="00642B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 pkt. </w:t>
            </w: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% </w:t>
            </w:r>
            <w:r w:rsidR="00642B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 relacji do </w:t>
            </w: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PKB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633004" w:rsidRPr="001C6C8C" w:rsidTr="004762B7">
        <w:trPr>
          <w:trHeight w:val="477"/>
        </w:trPr>
        <w:tc>
          <w:tcPr>
            <w:tcW w:w="450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>Dług sektora instytucji rządowych i samorządowych przed rewizją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770 605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851 692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879 332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927 032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867 921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917 772</w:t>
            </w:r>
          </w:p>
        </w:tc>
      </w:tr>
      <w:tr w:rsidR="00633004" w:rsidRPr="001C6C8C" w:rsidTr="004762B7">
        <w:trPr>
          <w:trHeight w:val="477"/>
        </w:trPr>
        <w:tc>
          <w:tcPr>
            <w:tcW w:w="450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>Dług sektora instytucji rządowych i samorządowych po rewizji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767 844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847 706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875 085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922 563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863 810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919 660</w:t>
            </w:r>
          </w:p>
        </w:tc>
      </w:tr>
      <w:tr w:rsidR="00633004" w:rsidRPr="001C6C8C" w:rsidTr="004762B7">
        <w:trPr>
          <w:trHeight w:val="477"/>
        </w:trPr>
        <w:tc>
          <w:tcPr>
            <w:tcW w:w="450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Ogółem zmiana nominalna długu sektora instytucji rządowych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 samorządowych 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-2 761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-3 986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-4 247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-4 469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-4 111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1 888</w:t>
            </w:r>
          </w:p>
        </w:tc>
      </w:tr>
      <w:tr w:rsidR="00633004" w:rsidRPr="001C6C8C" w:rsidTr="00633004">
        <w:trPr>
          <w:trHeight w:val="294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>Zmiana</w:t>
            </w:r>
            <w:r w:rsidR="00642B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 pkt.  </w:t>
            </w: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  <w:r w:rsidR="00642B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 relacji do</w:t>
            </w:r>
            <w:r w:rsidRPr="004762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PKB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8C" w:rsidRPr="004762B7" w:rsidRDefault="001C6C8C" w:rsidP="001C6C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2B7">
              <w:rPr>
                <w:rFonts w:ascii="Arial" w:hAnsi="Arial" w:cs="Arial"/>
                <w:color w:val="000000"/>
                <w:sz w:val="16"/>
                <w:szCs w:val="16"/>
              </w:rPr>
              <w:t>-0,2</w:t>
            </w:r>
          </w:p>
        </w:tc>
      </w:tr>
    </w:tbl>
    <w:p w:rsidR="0083168F" w:rsidRDefault="0083168F" w:rsidP="004762B7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42BF2" w:rsidRDefault="005A66FB" w:rsidP="00520C5A">
      <w:pPr>
        <w:spacing w:after="60" w:line="288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F11DF6">
        <w:rPr>
          <w:rFonts w:ascii="Arial" w:hAnsi="Arial" w:cs="Arial"/>
          <w:sz w:val="20"/>
          <w:szCs w:val="20"/>
        </w:rPr>
        <w:t xml:space="preserve">Wraz z notyfikacją fiskalną, GUS przesłał do Komisji Europejskiej dane dotyczące dochodów </w:t>
      </w:r>
      <w:r w:rsidRPr="00F11DF6">
        <w:rPr>
          <w:rFonts w:ascii="Arial" w:hAnsi="Arial" w:cs="Arial"/>
          <w:sz w:val="20"/>
          <w:szCs w:val="20"/>
        </w:rPr>
        <w:br/>
        <w:t xml:space="preserve">i wydatków sektora instytucji rządowych i samorządowych w podziale na transakcje, zgodnie z ESA2010. </w:t>
      </w:r>
    </w:p>
    <w:p w:rsidR="00642BF2" w:rsidRPr="00867FEA" w:rsidRDefault="00642BF2" w:rsidP="00520C5A">
      <w:pPr>
        <w:spacing w:before="120" w:after="0" w:line="288" w:lineRule="auto"/>
        <w:jc w:val="both"/>
        <w:rPr>
          <w:rFonts w:ascii="Arial" w:hAnsi="Arial" w:cs="Arial"/>
          <w:b/>
          <w:sz w:val="18"/>
        </w:rPr>
      </w:pPr>
      <w:r w:rsidRPr="00867FEA">
        <w:rPr>
          <w:rFonts w:ascii="Arial" w:hAnsi="Arial" w:cs="Arial"/>
          <w:b/>
          <w:sz w:val="18"/>
        </w:rPr>
        <w:t xml:space="preserve">Tabl. </w:t>
      </w:r>
      <w:r>
        <w:rPr>
          <w:rFonts w:ascii="Arial" w:hAnsi="Arial" w:cs="Arial"/>
          <w:b/>
          <w:sz w:val="18"/>
        </w:rPr>
        <w:t>3</w:t>
      </w:r>
      <w:r w:rsidRPr="00867FEA">
        <w:rPr>
          <w:rFonts w:ascii="Arial" w:hAnsi="Arial" w:cs="Arial"/>
          <w:b/>
          <w:sz w:val="18"/>
        </w:rPr>
        <w:t xml:space="preserve"> Dochody ogółem i wydatki ogółem sektora instytucji rządowych i samorządowych wg ESA2010 </w:t>
      </w:r>
      <w:r>
        <w:rPr>
          <w:rFonts w:ascii="Arial" w:hAnsi="Arial" w:cs="Arial"/>
          <w:b/>
          <w:sz w:val="18"/>
        </w:rPr>
        <w:t>w latach 2010-2015</w:t>
      </w:r>
      <w:r w:rsidRPr="00867FEA">
        <w:rPr>
          <w:rFonts w:ascii="Arial" w:hAnsi="Arial" w:cs="Arial"/>
          <w:b/>
          <w:sz w:val="18"/>
        </w:rPr>
        <w:t xml:space="preserve"> (mln zł)</w:t>
      </w:r>
    </w:p>
    <w:tbl>
      <w:tblPr>
        <w:tblpPr w:leftFromText="141" w:rightFromText="141" w:vertAnchor="text" w:horzAnchor="margin" w:tblpX="108" w:tblpY="60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1059"/>
        <w:gridCol w:w="1060"/>
        <w:gridCol w:w="1060"/>
        <w:gridCol w:w="1060"/>
        <w:gridCol w:w="1060"/>
        <w:gridCol w:w="1060"/>
      </w:tblGrid>
      <w:tr w:rsidR="0031027B" w:rsidRPr="001C6C8C" w:rsidTr="0031027B">
        <w:trPr>
          <w:trHeight w:val="231"/>
        </w:trPr>
        <w:tc>
          <w:tcPr>
            <w:tcW w:w="3359" w:type="dxa"/>
            <w:vAlign w:val="center"/>
          </w:tcPr>
          <w:p w:rsidR="00642BF2" w:rsidRPr="00005841" w:rsidRDefault="00642BF2" w:rsidP="0031027B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005841">
              <w:rPr>
                <w:rFonts w:ascii="Arial" w:hAnsi="Arial" w:cs="Arial"/>
                <w:b/>
                <w:sz w:val="16"/>
                <w:szCs w:val="14"/>
              </w:rPr>
              <w:t>Wyszczególnienie</w:t>
            </w:r>
          </w:p>
        </w:tc>
        <w:tc>
          <w:tcPr>
            <w:tcW w:w="1059" w:type="dxa"/>
          </w:tcPr>
          <w:p w:rsidR="00642BF2" w:rsidRPr="00F536DA" w:rsidRDefault="00642BF2" w:rsidP="0031027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F536DA">
              <w:rPr>
                <w:rFonts w:ascii="Arial" w:hAnsi="Arial" w:cs="Arial"/>
                <w:b/>
                <w:bCs/>
                <w:sz w:val="16"/>
                <w:szCs w:val="14"/>
              </w:rPr>
              <w:t>2010</w:t>
            </w:r>
          </w:p>
        </w:tc>
        <w:tc>
          <w:tcPr>
            <w:tcW w:w="1060" w:type="dxa"/>
          </w:tcPr>
          <w:p w:rsidR="00642BF2" w:rsidRPr="00F536DA" w:rsidRDefault="00642BF2" w:rsidP="0031027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F536DA">
              <w:rPr>
                <w:rFonts w:ascii="Arial" w:hAnsi="Arial" w:cs="Arial"/>
                <w:b/>
                <w:bCs/>
                <w:sz w:val="16"/>
                <w:szCs w:val="14"/>
              </w:rPr>
              <w:t>2011</w:t>
            </w:r>
          </w:p>
        </w:tc>
        <w:tc>
          <w:tcPr>
            <w:tcW w:w="1060" w:type="dxa"/>
            <w:vAlign w:val="center"/>
          </w:tcPr>
          <w:p w:rsidR="00642BF2" w:rsidRPr="00F536DA" w:rsidRDefault="00642BF2" w:rsidP="0031027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F536DA">
              <w:rPr>
                <w:rFonts w:ascii="Arial" w:hAnsi="Arial" w:cs="Arial"/>
                <w:b/>
                <w:bCs/>
                <w:sz w:val="16"/>
                <w:szCs w:val="14"/>
              </w:rPr>
              <w:t>2012</w:t>
            </w:r>
          </w:p>
        </w:tc>
        <w:tc>
          <w:tcPr>
            <w:tcW w:w="1060" w:type="dxa"/>
            <w:vAlign w:val="center"/>
          </w:tcPr>
          <w:p w:rsidR="00642BF2" w:rsidRPr="00F536DA" w:rsidRDefault="00642BF2" w:rsidP="0031027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F536DA">
              <w:rPr>
                <w:rFonts w:ascii="Arial" w:hAnsi="Arial" w:cs="Arial"/>
                <w:b/>
                <w:bCs/>
                <w:sz w:val="16"/>
                <w:szCs w:val="14"/>
              </w:rPr>
              <w:t>2013</w:t>
            </w:r>
          </w:p>
        </w:tc>
        <w:tc>
          <w:tcPr>
            <w:tcW w:w="1060" w:type="dxa"/>
            <w:vAlign w:val="center"/>
          </w:tcPr>
          <w:p w:rsidR="00642BF2" w:rsidRPr="00F536DA" w:rsidRDefault="00642BF2" w:rsidP="0031027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F536DA">
              <w:rPr>
                <w:rFonts w:ascii="Arial" w:hAnsi="Arial" w:cs="Arial"/>
                <w:b/>
                <w:bCs/>
                <w:sz w:val="16"/>
                <w:szCs w:val="14"/>
              </w:rPr>
              <w:t>2014</w:t>
            </w:r>
          </w:p>
        </w:tc>
        <w:tc>
          <w:tcPr>
            <w:tcW w:w="1060" w:type="dxa"/>
            <w:vAlign w:val="center"/>
          </w:tcPr>
          <w:p w:rsidR="00642BF2" w:rsidRPr="00F536DA" w:rsidRDefault="00642BF2" w:rsidP="0031027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F536DA">
              <w:rPr>
                <w:rFonts w:ascii="Arial" w:hAnsi="Arial" w:cs="Arial"/>
                <w:b/>
                <w:bCs/>
                <w:sz w:val="16"/>
                <w:szCs w:val="14"/>
              </w:rPr>
              <w:t>2015</w:t>
            </w:r>
          </w:p>
        </w:tc>
      </w:tr>
      <w:tr w:rsidR="0031027B" w:rsidRPr="001C6C8C" w:rsidTr="0031027B">
        <w:trPr>
          <w:trHeight w:val="231"/>
        </w:trPr>
        <w:tc>
          <w:tcPr>
            <w:tcW w:w="3359" w:type="dxa"/>
            <w:tcBorders>
              <w:bottom w:val="dotted" w:sz="4" w:space="0" w:color="auto"/>
            </w:tcBorders>
            <w:vAlign w:val="center"/>
          </w:tcPr>
          <w:p w:rsidR="00642BF2" w:rsidRPr="00005841" w:rsidRDefault="00642BF2" w:rsidP="003102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005841">
              <w:rPr>
                <w:rFonts w:ascii="Arial" w:hAnsi="Arial" w:cs="Arial"/>
                <w:b/>
                <w:sz w:val="16"/>
                <w:szCs w:val="14"/>
              </w:rPr>
              <w:t>Dochody ogółem</w:t>
            </w:r>
          </w:p>
        </w:tc>
        <w:tc>
          <w:tcPr>
            <w:tcW w:w="1059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554 388*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610 288*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636 262*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635 909*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665 167*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 w:themeColor="text1"/>
                <w:sz w:val="16"/>
                <w:szCs w:val="14"/>
              </w:rPr>
              <w:t>700 326*</w:t>
            </w:r>
          </w:p>
        </w:tc>
      </w:tr>
      <w:tr w:rsidR="0031027B" w:rsidRPr="001C6C8C" w:rsidTr="0031027B">
        <w:trPr>
          <w:trHeight w:val="231"/>
        </w:trPr>
        <w:tc>
          <w:tcPr>
            <w:tcW w:w="33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BF2" w:rsidRPr="00005841" w:rsidRDefault="00642BF2" w:rsidP="0031027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% </w:t>
            </w:r>
            <w:r w:rsidRPr="00005841">
              <w:rPr>
                <w:rFonts w:ascii="Arial" w:hAnsi="Arial" w:cs="Arial"/>
                <w:b/>
                <w:sz w:val="16"/>
                <w:szCs w:val="14"/>
              </w:rPr>
              <w:t>PKB</w:t>
            </w:r>
          </w:p>
        </w:tc>
        <w:tc>
          <w:tcPr>
            <w:tcW w:w="10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4"/>
              </w:rPr>
            </w:pPr>
            <w:r w:rsidRPr="00F536DA">
              <w:rPr>
                <w:rFonts w:ascii="Arial" w:hAnsi="Arial" w:cs="Arial"/>
                <w:sz w:val="16"/>
                <w:szCs w:val="14"/>
              </w:rPr>
              <w:t>38,4%</w:t>
            </w: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4"/>
              </w:rPr>
            </w:pPr>
            <w:r w:rsidRPr="00F536DA">
              <w:rPr>
                <w:rFonts w:ascii="Arial" w:hAnsi="Arial" w:cs="Arial"/>
                <w:sz w:val="16"/>
                <w:szCs w:val="14"/>
              </w:rPr>
              <w:t>39,0%</w:t>
            </w: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4"/>
              </w:rPr>
            </w:pPr>
            <w:r w:rsidRPr="00F536DA">
              <w:rPr>
                <w:rFonts w:ascii="Arial" w:hAnsi="Arial" w:cs="Arial"/>
                <w:sz w:val="16"/>
                <w:szCs w:val="14"/>
              </w:rPr>
              <w:t>39,0%*</w:t>
            </w: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4"/>
              </w:rPr>
            </w:pPr>
            <w:r w:rsidRPr="00F536DA">
              <w:rPr>
                <w:rFonts w:ascii="Arial" w:hAnsi="Arial" w:cs="Arial"/>
                <w:sz w:val="16"/>
                <w:szCs w:val="14"/>
              </w:rPr>
              <w:t>38,4%</w:t>
            </w: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4"/>
              </w:rPr>
            </w:pPr>
            <w:r w:rsidRPr="00F536DA">
              <w:rPr>
                <w:rFonts w:ascii="Arial" w:hAnsi="Arial" w:cs="Arial"/>
                <w:sz w:val="16"/>
                <w:szCs w:val="14"/>
              </w:rPr>
              <w:t>38,7%*</w:t>
            </w: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4"/>
              </w:rPr>
            </w:pPr>
            <w:r w:rsidRPr="00F536DA">
              <w:rPr>
                <w:rFonts w:ascii="Arial" w:hAnsi="Arial" w:cs="Arial"/>
                <w:sz w:val="16"/>
                <w:szCs w:val="14"/>
              </w:rPr>
              <w:t>38,9%</w:t>
            </w:r>
          </w:p>
        </w:tc>
      </w:tr>
      <w:tr w:rsidR="0031027B" w:rsidRPr="001C6C8C" w:rsidTr="0031027B">
        <w:trPr>
          <w:trHeight w:val="231"/>
        </w:trPr>
        <w:tc>
          <w:tcPr>
            <w:tcW w:w="3359" w:type="dxa"/>
            <w:tcBorders>
              <w:bottom w:val="dotted" w:sz="4" w:space="0" w:color="auto"/>
            </w:tcBorders>
            <w:vAlign w:val="center"/>
          </w:tcPr>
          <w:p w:rsidR="00642BF2" w:rsidRPr="00005841" w:rsidRDefault="00642BF2" w:rsidP="003102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005841">
              <w:rPr>
                <w:rFonts w:ascii="Arial" w:hAnsi="Arial" w:cs="Arial"/>
                <w:b/>
                <w:sz w:val="16"/>
                <w:szCs w:val="14"/>
              </w:rPr>
              <w:t>Wydatki ogółem</w:t>
            </w:r>
          </w:p>
        </w:tc>
        <w:tc>
          <w:tcPr>
            <w:tcW w:w="1059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660 503*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685 819*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696 400*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703 039*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 xml:space="preserve">724 147* 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746 302*</w:t>
            </w:r>
          </w:p>
        </w:tc>
      </w:tr>
      <w:tr w:rsidR="0031027B" w:rsidRPr="001C6C8C" w:rsidTr="0031027B">
        <w:trPr>
          <w:trHeight w:val="231"/>
        </w:trPr>
        <w:tc>
          <w:tcPr>
            <w:tcW w:w="33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2BF2" w:rsidRPr="00005841" w:rsidRDefault="00642BF2" w:rsidP="0031027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  <w:r w:rsidRPr="00005841">
              <w:rPr>
                <w:rFonts w:ascii="Arial" w:hAnsi="Arial" w:cs="Arial"/>
                <w:sz w:val="16"/>
                <w:szCs w:val="14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sz w:val="16"/>
                <w:szCs w:val="14"/>
              </w:rPr>
              <w:t>%</w:t>
            </w:r>
            <w:r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005841">
              <w:rPr>
                <w:rFonts w:ascii="Arial" w:hAnsi="Arial" w:cs="Arial"/>
                <w:b/>
                <w:sz w:val="16"/>
                <w:szCs w:val="14"/>
              </w:rPr>
              <w:t>PKB</w:t>
            </w:r>
          </w:p>
        </w:tc>
        <w:tc>
          <w:tcPr>
            <w:tcW w:w="10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45,7%</w:t>
            </w: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43,8%</w:t>
            </w: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42,7%*</w:t>
            </w: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42,4%</w:t>
            </w: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sz w:val="16"/>
                <w:szCs w:val="14"/>
              </w:rPr>
              <w:t>42,1%*</w:t>
            </w: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2BF2" w:rsidRPr="00F536DA" w:rsidRDefault="00642BF2" w:rsidP="003102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F536DA">
              <w:rPr>
                <w:rFonts w:ascii="Arial" w:hAnsi="Arial" w:cs="Arial"/>
                <w:color w:val="000000"/>
                <w:sz w:val="16"/>
                <w:szCs w:val="14"/>
              </w:rPr>
              <w:t>41,5%</w:t>
            </w:r>
          </w:p>
        </w:tc>
      </w:tr>
    </w:tbl>
    <w:p w:rsidR="00642BF2" w:rsidRDefault="00642BF2" w:rsidP="00520C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42BF2" w:rsidRDefault="00642BF2" w:rsidP="00520C5A">
      <w:pPr>
        <w:spacing w:after="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5C074B4" wp14:editId="2349F9EE">
            <wp:extent cx="4002656" cy="1742535"/>
            <wp:effectExtent l="0" t="0" r="17145" b="1016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2BF2" w:rsidRDefault="00642BF2" w:rsidP="00520C5A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Analogicznie</w:t>
      </w:r>
      <w:r w:rsidR="00C233D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 w przypadku deficytu i długu</w:t>
      </w:r>
      <w:r w:rsidR="00C233D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dane dotyczące dochodów i wydatków sektora za lata 2010-2015</w:t>
      </w:r>
      <w:r w:rsidR="00C233DB">
        <w:rPr>
          <w:rFonts w:ascii="Arial" w:hAnsi="Arial" w:cs="Arial"/>
          <w:sz w:val="20"/>
          <w:szCs w:val="20"/>
        </w:rPr>
        <w:t xml:space="preserve"> uległy zmianom</w:t>
      </w:r>
      <w:r>
        <w:rPr>
          <w:rFonts w:ascii="Arial" w:hAnsi="Arial" w:cs="Arial"/>
          <w:sz w:val="20"/>
          <w:szCs w:val="20"/>
        </w:rPr>
        <w:t xml:space="preserve"> w stosunku do wcześniej publikowanych (marzec 2016 roku). </w:t>
      </w:r>
    </w:p>
    <w:p w:rsidR="00CB7200" w:rsidRDefault="005A66FB" w:rsidP="001A1099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Największy wpływ rewizji na dochody sektora wystąpił w latach 2010 i 2015 – zwiększenie odpowiednio </w:t>
      </w:r>
      <w:r>
        <w:rPr>
          <w:rFonts w:ascii="Arial" w:hAnsi="Arial" w:cs="Arial"/>
          <w:sz w:val="20"/>
          <w:szCs w:val="20"/>
        </w:rPr>
        <w:br/>
        <w:t xml:space="preserve">o 4 mld zł (0,3 pkt.% w relacji do PKB ) oraz zwiększenie o 4,6 mld zł (bez zmian w relacji do PKB). Największe zmiany w dochodach w 2015 roku nastąpiły dla transakcji: płatności za produkcję globalną nierynkową oraz podatki związane z produkcją i importem. W 2010 roku największy wzrost dochodów zaobserwowano dla transakcji podatki związane z produkcją i importem. Największą rewizję wydatków zaobserwowano w latach 2012 i 2015 – zwiększenie odpowiednio o </w:t>
      </w:r>
      <w:r w:rsidR="001A1099">
        <w:rPr>
          <w:rFonts w:ascii="Arial" w:hAnsi="Arial" w:cs="Arial"/>
          <w:sz w:val="20"/>
          <w:szCs w:val="20"/>
        </w:rPr>
        <w:t xml:space="preserve">3 mld zł  (0,1 pkt.% w relacji do PKB) oraz o </w:t>
      </w:r>
      <w:r>
        <w:rPr>
          <w:rFonts w:ascii="Arial" w:hAnsi="Arial" w:cs="Arial"/>
          <w:sz w:val="20"/>
          <w:szCs w:val="20"/>
        </w:rPr>
        <w:t>3,9 mld zł (bez zmian w relacji do PKB)</w:t>
      </w:r>
      <w:r w:rsidR="001A109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Wzrost wydatków w 2015 roku dotyczył głównie transakcji: zużycie pośrednie, koszty związane z zatrudnieniem oraz transfery kapitałowe. W 2012 roku nastąpił wzrost wydatków z tytułu  zwiększenia transferów kapitałowych.</w:t>
      </w:r>
    </w:p>
    <w:p w:rsidR="00944CF7" w:rsidRPr="004762B7" w:rsidRDefault="00944CF7" w:rsidP="004762B7">
      <w:pPr>
        <w:spacing w:after="60" w:line="288" w:lineRule="auto"/>
        <w:jc w:val="both"/>
        <w:rPr>
          <w:rFonts w:ascii="Arial" w:hAnsi="Arial" w:cs="Arial"/>
          <w:sz w:val="20"/>
          <w:szCs w:val="20"/>
        </w:rPr>
        <w:sectPr w:rsidR="00944CF7" w:rsidRPr="004762B7" w:rsidSect="004762B7">
          <w:footerReference w:type="first" r:id="rId13"/>
          <w:pgSz w:w="11906" w:h="16838" w:code="9"/>
          <w:pgMar w:top="709" w:right="1133" w:bottom="992" w:left="1077" w:header="709" w:footer="454" w:gutter="0"/>
          <w:cols w:space="708"/>
          <w:docGrid w:linePitch="360"/>
        </w:sectPr>
      </w:pPr>
    </w:p>
    <w:p w:rsidR="00F025D2" w:rsidRPr="00F025D2" w:rsidRDefault="00F025D2" w:rsidP="00520C5A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4B3BFE">
        <w:rPr>
          <w:rFonts w:ascii="Arial" w:hAnsi="Arial" w:cs="Arial"/>
          <w:sz w:val="20"/>
          <w:szCs w:val="20"/>
        </w:rPr>
        <w:t xml:space="preserve">Szczegółowe dane dotyczące dochodów i wydatków sektora instytucji rządowych i samorządowych </w:t>
      </w:r>
      <w:r w:rsidRPr="004B3BFE">
        <w:rPr>
          <w:rFonts w:ascii="Arial" w:hAnsi="Arial" w:cs="Arial"/>
          <w:sz w:val="20"/>
          <w:szCs w:val="20"/>
        </w:rPr>
        <w:br/>
        <w:t>w podziale na transakcje zamieszczono w Załączniku 1.</w:t>
      </w:r>
    </w:p>
    <w:p w:rsidR="00D46BC9" w:rsidRDefault="00E235DA" w:rsidP="00520C5A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A07FF9">
        <w:rPr>
          <w:rFonts w:ascii="Arial" w:hAnsi="Arial" w:cs="Arial"/>
          <w:sz w:val="20"/>
          <w:szCs w:val="20"/>
        </w:rPr>
        <w:t xml:space="preserve">Informacje dotyczące deficytu i długu sektora instytucji rządowych i samorządowych wszystkich państw członkowskich Unii Europejskiej będą dostępne dnia </w:t>
      </w:r>
      <w:r w:rsidR="002F0100" w:rsidRPr="00D8371B">
        <w:rPr>
          <w:rFonts w:ascii="Arial" w:hAnsi="Arial" w:cs="Arial"/>
          <w:sz w:val="20"/>
          <w:szCs w:val="20"/>
        </w:rPr>
        <w:t xml:space="preserve">21 </w:t>
      </w:r>
      <w:r w:rsidR="001427DE">
        <w:rPr>
          <w:rFonts w:ascii="Arial" w:hAnsi="Arial" w:cs="Arial"/>
          <w:sz w:val="20"/>
          <w:szCs w:val="20"/>
        </w:rPr>
        <w:t>października</w:t>
      </w:r>
      <w:r w:rsidR="002F0100" w:rsidRPr="00D8371B">
        <w:rPr>
          <w:rFonts w:ascii="Arial" w:hAnsi="Arial" w:cs="Arial"/>
          <w:sz w:val="20"/>
          <w:szCs w:val="20"/>
        </w:rPr>
        <w:t xml:space="preserve"> </w:t>
      </w:r>
      <w:r w:rsidRPr="00D8371B">
        <w:rPr>
          <w:rFonts w:ascii="Arial" w:hAnsi="Arial" w:cs="Arial"/>
          <w:sz w:val="20"/>
          <w:szCs w:val="20"/>
        </w:rPr>
        <w:t xml:space="preserve">o godzinie </w:t>
      </w:r>
      <w:r w:rsidR="002F0100" w:rsidRPr="00D8371B">
        <w:rPr>
          <w:rFonts w:ascii="Arial" w:hAnsi="Arial" w:cs="Arial"/>
          <w:sz w:val="20"/>
          <w:szCs w:val="20"/>
        </w:rPr>
        <w:t>11:00</w:t>
      </w:r>
      <w:r w:rsidRPr="00A07FF9">
        <w:rPr>
          <w:rFonts w:ascii="Arial" w:hAnsi="Arial" w:cs="Arial"/>
          <w:sz w:val="20"/>
          <w:szCs w:val="20"/>
        </w:rPr>
        <w:t xml:space="preserve"> na</w:t>
      </w:r>
      <w:r w:rsidR="00776817">
        <w:rPr>
          <w:rFonts w:ascii="Arial" w:hAnsi="Arial" w:cs="Arial"/>
          <w:sz w:val="20"/>
          <w:szCs w:val="20"/>
        </w:rPr>
        <w:t xml:space="preserve"> stronie internetowej Eurostatu</w:t>
      </w:r>
      <w:r w:rsidRPr="00A07FF9">
        <w:rPr>
          <w:rFonts w:ascii="Arial" w:hAnsi="Arial" w:cs="Arial"/>
          <w:sz w:val="20"/>
          <w:szCs w:val="20"/>
        </w:rPr>
        <w:t>:</w:t>
      </w:r>
      <w:r w:rsidR="002F0100" w:rsidRPr="00A07FF9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2F0100" w:rsidRPr="00A07FF9">
          <w:rPr>
            <w:rStyle w:val="Hipercze"/>
            <w:rFonts w:ascii="Arial" w:hAnsi="Arial" w:cs="Arial"/>
            <w:szCs w:val="20"/>
          </w:rPr>
          <w:t>http://epp.eurostat.ec.europa.eu/portal/page/portal/eurostat/home</w:t>
        </w:r>
      </w:hyperlink>
      <w:r w:rsidR="0031027B">
        <w:rPr>
          <w:rFonts w:ascii="Arial" w:hAnsi="Arial" w:cs="Arial"/>
          <w:sz w:val="20"/>
          <w:szCs w:val="20"/>
        </w:rPr>
        <w:t>.</w:t>
      </w:r>
    </w:p>
    <w:p w:rsidR="00D46BC9" w:rsidRPr="003A31F3" w:rsidRDefault="00D46BC9" w:rsidP="00520C5A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A31F3">
        <w:rPr>
          <w:rFonts w:ascii="Arial" w:hAnsi="Arial" w:cs="Arial"/>
          <w:sz w:val="20"/>
          <w:szCs w:val="20"/>
        </w:rPr>
        <w:t xml:space="preserve">Opis </w:t>
      </w:r>
      <w:r>
        <w:rPr>
          <w:rFonts w:ascii="Arial" w:hAnsi="Arial" w:cs="Arial"/>
          <w:sz w:val="20"/>
          <w:szCs w:val="20"/>
        </w:rPr>
        <w:t xml:space="preserve">metod, procedur oraz </w:t>
      </w:r>
      <w:r w:rsidRPr="003A31F3">
        <w:rPr>
          <w:rFonts w:ascii="Arial" w:hAnsi="Arial" w:cs="Arial"/>
          <w:sz w:val="20"/>
          <w:szCs w:val="20"/>
        </w:rPr>
        <w:t xml:space="preserve">źródeł </w:t>
      </w:r>
      <w:r>
        <w:rPr>
          <w:rFonts w:ascii="Arial" w:hAnsi="Arial" w:cs="Arial"/>
          <w:sz w:val="20"/>
          <w:szCs w:val="20"/>
        </w:rPr>
        <w:t xml:space="preserve">wykorzystywanych do opracowania danych dotyczących deficytu, długu oraz rachunków sektora instytucji rządowych i samorządowych, zgodnie z ESA2010, </w:t>
      </w:r>
      <w:r w:rsidRPr="003A31F3">
        <w:rPr>
          <w:rFonts w:ascii="Arial" w:hAnsi="Arial" w:cs="Arial"/>
          <w:sz w:val="20"/>
          <w:szCs w:val="20"/>
        </w:rPr>
        <w:t xml:space="preserve">sporządzony </w:t>
      </w:r>
      <w:r>
        <w:rPr>
          <w:rFonts w:ascii="Arial" w:hAnsi="Arial" w:cs="Arial"/>
          <w:sz w:val="20"/>
          <w:szCs w:val="20"/>
        </w:rPr>
        <w:t>według</w:t>
      </w:r>
      <w:r w:rsidR="003102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wytycznych</w:t>
      </w:r>
      <w:r w:rsidRPr="003A31F3">
        <w:rPr>
          <w:rFonts w:ascii="Arial" w:hAnsi="Arial" w:cs="Arial"/>
          <w:sz w:val="20"/>
          <w:szCs w:val="20"/>
        </w:rPr>
        <w:t xml:space="preserve"> Komisji Europejskiej dostępny jest </w:t>
      </w:r>
      <w:r>
        <w:rPr>
          <w:rFonts w:ascii="Arial" w:hAnsi="Arial" w:cs="Arial"/>
          <w:sz w:val="20"/>
          <w:szCs w:val="20"/>
        </w:rPr>
        <w:t xml:space="preserve">w angielskiej wersji </w:t>
      </w:r>
      <w:r w:rsidRPr="003A31F3">
        <w:rPr>
          <w:rFonts w:ascii="Arial" w:hAnsi="Arial" w:cs="Arial"/>
          <w:sz w:val="20"/>
          <w:szCs w:val="20"/>
        </w:rPr>
        <w:t>językowej na stronie internetowej</w:t>
      </w:r>
      <w:r w:rsidR="002151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Eurostatu:</w:t>
      </w:r>
      <w:r w:rsidR="002C557E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215165" w:rsidRPr="000655B8">
          <w:rPr>
            <w:rStyle w:val="Hipercze"/>
            <w:rFonts w:ascii="Arial" w:hAnsi="Arial" w:cs="Arial"/>
            <w:szCs w:val="20"/>
          </w:rPr>
          <w:t>http://ec.europa.eu/eurostat/web/government-finance-statistics/excessive-deficit-procedure/edp-inventories</w:t>
        </w:r>
      </w:hyperlink>
      <w:r w:rsidR="005A1A6E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ela-Siatka"/>
        <w:tblpPr w:leftFromText="141" w:rightFromText="141" w:vertAnchor="text" w:horzAnchor="margin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57"/>
      </w:tblGrid>
      <w:tr w:rsidR="00D46BC9" w:rsidRPr="007F7D1B" w:rsidTr="00D46BC9">
        <w:tc>
          <w:tcPr>
            <w:tcW w:w="4839" w:type="dxa"/>
          </w:tcPr>
          <w:p w:rsidR="00D46BC9" w:rsidRPr="00867FEA" w:rsidRDefault="00D46BC9" w:rsidP="00D46B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FEA">
              <w:rPr>
                <w:rFonts w:ascii="Arial" w:hAnsi="Arial" w:cs="Arial"/>
                <w:sz w:val="18"/>
                <w:szCs w:val="18"/>
              </w:rPr>
              <w:t>Opracowanie merytoryczne:</w:t>
            </w:r>
          </w:p>
          <w:p w:rsidR="00D46BC9" w:rsidRPr="00867FEA" w:rsidRDefault="00D46BC9" w:rsidP="00D46BC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7FEA">
              <w:rPr>
                <w:rFonts w:ascii="Arial" w:hAnsi="Arial" w:cs="Arial"/>
                <w:b/>
                <w:sz w:val="18"/>
                <w:szCs w:val="18"/>
              </w:rPr>
              <w:t>Departament Rachunków Narodowych</w:t>
            </w:r>
          </w:p>
          <w:p w:rsidR="00D46BC9" w:rsidRPr="00867FEA" w:rsidRDefault="00D46BC9" w:rsidP="00D46BC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7FEA">
              <w:rPr>
                <w:rFonts w:ascii="Arial" w:hAnsi="Arial" w:cs="Arial"/>
                <w:b/>
                <w:sz w:val="18"/>
                <w:szCs w:val="18"/>
              </w:rPr>
              <w:t>Olga Leszczyńska-Luberek</w:t>
            </w:r>
          </w:p>
          <w:p w:rsidR="00D46BC9" w:rsidRPr="00867FEA" w:rsidRDefault="00D46BC9" w:rsidP="00D46B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867FEA">
              <w:rPr>
                <w:rFonts w:ascii="Arial" w:hAnsi="Arial" w:cs="Arial"/>
                <w:sz w:val="18"/>
                <w:szCs w:val="18"/>
                <w:lang w:val="fi-FI"/>
              </w:rPr>
              <w:t>Tel: 22 608 31 17</w:t>
            </w:r>
          </w:p>
          <w:p w:rsidR="00D46BC9" w:rsidRPr="00867FEA" w:rsidRDefault="00D46BC9" w:rsidP="00D46BC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867FEA">
              <w:rPr>
                <w:rFonts w:ascii="Arial" w:hAnsi="Arial" w:cs="Arial"/>
                <w:b/>
                <w:sz w:val="18"/>
                <w:szCs w:val="18"/>
                <w:lang w:val="fi-FI"/>
              </w:rPr>
              <w:t>Anita Perzyna</w:t>
            </w:r>
          </w:p>
          <w:p w:rsidR="00D46BC9" w:rsidRPr="00867FEA" w:rsidRDefault="00D46BC9" w:rsidP="00D46B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FEA">
              <w:rPr>
                <w:rFonts w:ascii="Arial" w:hAnsi="Arial" w:cs="Arial"/>
                <w:sz w:val="18"/>
                <w:szCs w:val="18"/>
                <w:lang w:val="fi-FI"/>
              </w:rPr>
              <w:t>Tel: 22 608 34 48</w:t>
            </w:r>
          </w:p>
        </w:tc>
        <w:tc>
          <w:tcPr>
            <w:tcW w:w="4857" w:type="dxa"/>
          </w:tcPr>
          <w:p w:rsidR="00D46BC9" w:rsidRPr="00867FEA" w:rsidRDefault="00D46BC9" w:rsidP="00D46BC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7FEA">
              <w:rPr>
                <w:rFonts w:ascii="Arial" w:hAnsi="Arial" w:cs="Arial"/>
                <w:sz w:val="18"/>
                <w:szCs w:val="18"/>
              </w:rPr>
              <w:t>Rozpowszechnianie:</w:t>
            </w:r>
            <w:r w:rsidRPr="00867FEA">
              <w:rPr>
                <w:rFonts w:ascii="Arial" w:hAnsi="Arial" w:cs="Arial"/>
                <w:sz w:val="18"/>
                <w:szCs w:val="18"/>
              </w:rPr>
              <w:br/>
            </w:r>
            <w:r w:rsidRPr="00867FEA">
              <w:rPr>
                <w:rFonts w:ascii="Arial" w:hAnsi="Arial" w:cs="Arial"/>
                <w:b/>
                <w:sz w:val="18"/>
                <w:szCs w:val="18"/>
              </w:rPr>
              <w:t>Rzecznik Prasowy Prezesa GUS</w:t>
            </w:r>
          </w:p>
          <w:p w:rsidR="00D46BC9" w:rsidRPr="00867FEA" w:rsidRDefault="00D46BC9" w:rsidP="00D46BC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7FEA">
              <w:rPr>
                <w:rFonts w:ascii="Arial" w:hAnsi="Arial" w:cs="Arial"/>
                <w:b/>
                <w:bCs/>
                <w:sz w:val="18"/>
                <w:szCs w:val="18"/>
              </w:rPr>
              <w:t>Artur Satora</w:t>
            </w:r>
          </w:p>
          <w:p w:rsidR="00D46BC9" w:rsidRPr="00867FEA" w:rsidRDefault="00D46BC9" w:rsidP="00D46BC9">
            <w:pPr>
              <w:pStyle w:val="Nagwek3"/>
              <w:spacing w:line="276" w:lineRule="auto"/>
              <w:outlineLvl w:val="2"/>
              <w:rPr>
                <w:rFonts w:cs="Arial"/>
                <w:sz w:val="18"/>
                <w:szCs w:val="18"/>
                <w:lang w:val="fi-FI"/>
              </w:rPr>
            </w:pPr>
            <w:r w:rsidRPr="00867FEA">
              <w:rPr>
                <w:rFonts w:cs="Arial"/>
                <w:sz w:val="18"/>
                <w:szCs w:val="18"/>
                <w:lang w:val="fi-FI"/>
              </w:rPr>
              <w:t>Tel: 22 608 34 75, 22 608 30 09</w:t>
            </w:r>
          </w:p>
          <w:p w:rsidR="00D46BC9" w:rsidRPr="00867FEA" w:rsidRDefault="00D46BC9" w:rsidP="00D46BC9">
            <w:pPr>
              <w:pStyle w:val="Nagwek3"/>
              <w:spacing w:line="276" w:lineRule="auto"/>
              <w:outlineLvl w:val="2"/>
              <w:rPr>
                <w:rFonts w:cs="Arial"/>
                <w:sz w:val="18"/>
                <w:szCs w:val="18"/>
                <w:lang w:val="en-US"/>
              </w:rPr>
            </w:pPr>
            <w:r w:rsidRPr="00867FEA">
              <w:rPr>
                <w:rFonts w:cs="Arial"/>
                <w:b w:val="0"/>
                <w:sz w:val="18"/>
                <w:szCs w:val="18"/>
                <w:lang w:val="en-US"/>
              </w:rPr>
              <w:t>e-mail</w:t>
            </w:r>
            <w:r w:rsidRPr="00867FEA">
              <w:rPr>
                <w:rFonts w:cs="Arial"/>
                <w:b w:val="0"/>
                <w:sz w:val="18"/>
                <w:szCs w:val="18"/>
              </w:rPr>
              <w:t xml:space="preserve">: </w:t>
            </w:r>
            <w:hyperlink r:id="rId16" w:history="1">
              <w:r w:rsidRPr="00867FEA">
                <w:rPr>
                  <w:rStyle w:val="Hipercze"/>
                  <w:rFonts w:cs="Arial"/>
                  <w:b w:val="0"/>
                  <w:sz w:val="18"/>
                  <w:szCs w:val="18"/>
                </w:rPr>
                <w:t>rzecznik@stat.gov.pl</w:t>
              </w:r>
            </w:hyperlink>
          </w:p>
        </w:tc>
      </w:tr>
    </w:tbl>
    <w:p w:rsidR="003A31F3" w:rsidRPr="00281D54" w:rsidRDefault="003A31F3" w:rsidP="00F50EDB">
      <w:pPr>
        <w:spacing w:before="80" w:after="80"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3A31F3" w:rsidRPr="00281D54" w:rsidSect="00F5500A">
      <w:footerReference w:type="first" r:id="rId17"/>
      <w:type w:val="continuous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E2B" w:rsidRDefault="00E42E2B" w:rsidP="000D7BE1">
      <w:pPr>
        <w:spacing w:after="0" w:line="240" w:lineRule="auto"/>
      </w:pPr>
      <w:r>
        <w:separator/>
      </w:r>
    </w:p>
  </w:endnote>
  <w:endnote w:type="continuationSeparator" w:id="0">
    <w:p w:rsidR="00E42E2B" w:rsidRDefault="00E42E2B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342154"/>
      <w:docPartObj>
        <w:docPartGallery w:val="Page Numbers (Bottom of Page)"/>
        <w:docPartUnique/>
      </w:docPartObj>
    </w:sdtPr>
    <w:sdtEndPr/>
    <w:sdtContent>
      <w:p w:rsidR="005D063C" w:rsidRDefault="005D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F8D">
          <w:rPr>
            <w:noProof/>
          </w:rPr>
          <w:t>3</w:t>
        </w:r>
        <w:r>
          <w:fldChar w:fldCharType="end"/>
        </w:r>
      </w:p>
    </w:sdtContent>
  </w:sdt>
  <w:p w:rsidR="004F5201" w:rsidRDefault="004F5201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473294"/>
      <w:docPartObj>
        <w:docPartGallery w:val="Page Numbers (Bottom of Page)"/>
        <w:docPartUnique/>
      </w:docPartObj>
    </w:sdtPr>
    <w:sdtEndPr/>
    <w:sdtContent>
      <w:p w:rsidR="004F5201" w:rsidRDefault="004F52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BF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E2B" w:rsidRDefault="00E42E2B" w:rsidP="000D7BE1">
      <w:pPr>
        <w:spacing w:after="0" w:line="240" w:lineRule="auto"/>
      </w:pPr>
      <w:r>
        <w:separator/>
      </w:r>
    </w:p>
  </w:footnote>
  <w:footnote w:type="continuationSeparator" w:id="0">
    <w:p w:rsidR="00E42E2B" w:rsidRDefault="00E42E2B" w:rsidP="000D7BE1">
      <w:pPr>
        <w:spacing w:after="0" w:line="240" w:lineRule="auto"/>
      </w:pPr>
      <w:r>
        <w:continuationSeparator/>
      </w:r>
    </w:p>
  </w:footnote>
  <w:footnote w:id="1">
    <w:p w:rsidR="0065501F" w:rsidRPr="004762B7" w:rsidRDefault="0065501F" w:rsidP="004762B7">
      <w:pPr>
        <w:spacing w:after="0"/>
        <w:jc w:val="both"/>
        <w:rPr>
          <w:rFonts w:ascii="Arial" w:hAnsi="Arial" w:cs="Arial"/>
          <w:sz w:val="16"/>
          <w:szCs w:val="14"/>
        </w:rPr>
      </w:pPr>
      <w:r w:rsidRPr="005A66FB">
        <w:rPr>
          <w:rStyle w:val="Odwoanieprzypisudolnego"/>
          <w:rFonts w:ascii="Arial" w:hAnsi="Arial" w:cs="Arial"/>
          <w:sz w:val="16"/>
          <w:szCs w:val="14"/>
        </w:rPr>
        <w:footnoteRef/>
      </w:r>
      <w:r w:rsidRPr="004762B7">
        <w:rPr>
          <w:rFonts w:ascii="Arial" w:hAnsi="Arial" w:cs="Arial"/>
          <w:sz w:val="16"/>
          <w:szCs w:val="14"/>
        </w:rPr>
        <w:t xml:space="preserve"> </w:t>
      </w:r>
      <w:r w:rsidR="005A66FB" w:rsidRPr="004762B7">
        <w:rPr>
          <w:rFonts w:ascii="Arial" w:hAnsi="Arial" w:cs="Arial"/>
          <w:sz w:val="16"/>
          <w:szCs w:val="14"/>
        </w:rPr>
        <w:t xml:space="preserve">Najnowsza wersja podręcznika </w:t>
      </w:r>
      <w:r w:rsidRPr="004762B7">
        <w:rPr>
          <w:rFonts w:ascii="Arial" w:hAnsi="Arial" w:cs="Arial"/>
          <w:sz w:val="16"/>
          <w:szCs w:val="14"/>
        </w:rPr>
        <w:t>dostępna jest na stronie:</w:t>
      </w:r>
    </w:p>
    <w:p w:rsidR="0065501F" w:rsidRPr="004762B7" w:rsidRDefault="0065501F" w:rsidP="004762B7">
      <w:pPr>
        <w:spacing w:after="0"/>
        <w:rPr>
          <w:rFonts w:ascii="Arial" w:hAnsi="Arial" w:cs="Arial"/>
          <w:sz w:val="14"/>
          <w:szCs w:val="14"/>
        </w:rPr>
      </w:pPr>
      <w:r w:rsidRPr="004762B7">
        <w:rPr>
          <w:sz w:val="16"/>
          <w:szCs w:val="14"/>
        </w:rPr>
        <w:t xml:space="preserve">   </w:t>
      </w:r>
      <w:hyperlink r:id="rId1" w:history="1">
        <w:r w:rsidRPr="004762B7">
          <w:rPr>
            <w:rStyle w:val="Hipercze"/>
            <w:rFonts w:ascii="Arial" w:hAnsi="Arial" w:cs="Arial"/>
            <w:sz w:val="16"/>
            <w:szCs w:val="14"/>
          </w:rPr>
          <w:t>http://ec.europa.eu/eurostat/documents/3859598/7203647/KS-GQ-16-001-EN-N.pdf/5cfae6dd-29d8-4487-80ac-37f76cd1f012</w:t>
        </w:r>
      </w:hyperlink>
      <w:r w:rsidRPr="004762B7">
        <w:rPr>
          <w:rFonts w:ascii="Arial" w:hAnsi="Arial" w:cs="Arial"/>
          <w:sz w:val="16"/>
          <w:szCs w:val="14"/>
        </w:rPr>
        <w:t xml:space="preserve">. </w:t>
      </w:r>
    </w:p>
  </w:footnote>
  <w:footnote w:id="2">
    <w:p w:rsidR="00CE2060" w:rsidRPr="004762B7" w:rsidRDefault="00CE2060" w:rsidP="004762B7">
      <w:pPr>
        <w:spacing w:after="0"/>
        <w:ind w:left="142" w:hanging="142"/>
        <w:jc w:val="both"/>
        <w:rPr>
          <w:rFonts w:ascii="Arial" w:hAnsi="Arial" w:cs="Arial"/>
          <w:sz w:val="16"/>
          <w:szCs w:val="14"/>
        </w:rPr>
      </w:pPr>
      <w:r w:rsidRPr="004762B7">
        <w:rPr>
          <w:rStyle w:val="Odwoanieprzypisudolnego"/>
          <w:rFonts w:ascii="Arial" w:hAnsi="Arial" w:cs="Arial"/>
          <w:sz w:val="16"/>
          <w:szCs w:val="14"/>
        </w:rPr>
        <w:footnoteRef/>
      </w:r>
      <w:r w:rsidR="0065501F" w:rsidRPr="004762B7">
        <w:rPr>
          <w:rFonts w:ascii="Arial" w:hAnsi="Arial" w:cs="Arial"/>
          <w:sz w:val="16"/>
          <w:szCs w:val="14"/>
        </w:rPr>
        <w:t xml:space="preserve"> </w:t>
      </w:r>
      <w:r w:rsidR="005A66FB">
        <w:rPr>
          <w:rFonts w:ascii="Arial" w:hAnsi="Arial" w:cs="Arial"/>
          <w:sz w:val="16"/>
          <w:szCs w:val="14"/>
        </w:rPr>
        <w:t>Zmiany MGDD, które miały wpływ na prezentowane w notatce statystyki</w:t>
      </w:r>
      <w:r w:rsidR="000822DC" w:rsidRPr="004762B7">
        <w:rPr>
          <w:rFonts w:ascii="Arial" w:hAnsi="Arial" w:cs="Arial"/>
          <w:sz w:val="16"/>
          <w:szCs w:val="14"/>
        </w:rPr>
        <w:t xml:space="preserve"> dotyczyły zakresu podmiotowego</w:t>
      </w:r>
      <w:r w:rsidR="008B29A8" w:rsidRPr="004762B7">
        <w:rPr>
          <w:rFonts w:ascii="Arial" w:hAnsi="Arial" w:cs="Arial"/>
          <w:sz w:val="16"/>
          <w:szCs w:val="14"/>
        </w:rPr>
        <w:t xml:space="preserve"> sektora</w:t>
      </w:r>
      <w:r w:rsidR="000822DC" w:rsidRPr="004762B7">
        <w:rPr>
          <w:rFonts w:ascii="Arial" w:hAnsi="Arial" w:cs="Arial"/>
          <w:sz w:val="16"/>
          <w:szCs w:val="14"/>
        </w:rPr>
        <w:t>, rejestracji abonamentu</w:t>
      </w:r>
      <w:r w:rsidR="00642BF2">
        <w:rPr>
          <w:rFonts w:ascii="Arial" w:hAnsi="Arial" w:cs="Arial"/>
          <w:sz w:val="16"/>
          <w:szCs w:val="14"/>
        </w:rPr>
        <w:t xml:space="preserve"> radiowo- telewizyjnego</w:t>
      </w:r>
      <w:r w:rsidR="000822DC" w:rsidRPr="004762B7">
        <w:rPr>
          <w:rFonts w:ascii="Arial" w:hAnsi="Arial" w:cs="Arial"/>
          <w:sz w:val="16"/>
          <w:szCs w:val="14"/>
        </w:rPr>
        <w:t xml:space="preserve"> oraz ujęcia kosztów poboru</w:t>
      </w:r>
      <w:r w:rsidR="00E320F8" w:rsidRPr="004762B7">
        <w:rPr>
          <w:rFonts w:ascii="Arial" w:hAnsi="Arial" w:cs="Arial"/>
          <w:sz w:val="16"/>
          <w:szCs w:val="14"/>
        </w:rPr>
        <w:t xml:space="preserve"> tradycyjnych zasobów własnych</w:t>
      </w:r>
      <w:r w:rsidR="000822DC" w:rsidRPr="004762B7">
        <w:rPr>
          <w:rFonts w:ascii="Arial" w:hAnsi="Arial" w:cs="Arial"/>
          <w:sz w:val="16"/>
          <w:szCs w:val="14"/>
        </w:rPr>
        <w:t>.</w:t>
      </w:r>
    </w:p>
    <w:p w:rsidR="006F64FA" w:rsidRPr="004762B7" w:rsidRDefault="006F64FA">
      <w:pPr>
        <w:spacing w:after="0"/>
        <w:jc w:val="both"/>
        <w:rPr>
          <w:rFonts w:ascii="Arial" w:hAnsi="Arial" w:cs="Arial"/>
          <w:sz w:val="16"/>
          <w:szCs w:val="14"/>
        </w:rPr>
      </w:pPr>
      <w:r w:rsidRPr="004762B7">
        <w:rPr>
          <w:rFonts w:ascii="Arial" w:hAnsi="Arial" w:cs="Arial"/>
          <w:sz w:val="16"/>
          <w:szCs w:val="14"/>
        </w:rPr>
        <w:t>* Dane zostały zrewidowane w stosunku do wcześniej publikowanych.</w:t>
      </w:r>
    </w:p>
    <w:p w:rsidR="006F64FA" w:rsidRPr="000822DC" w:rsidRDefault="006F64FA" w:rsidP="004762B7">
      <w:pPr>
        <w:spacing w:after="0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AA6"/>
    <w:multiLevelType w:val="hybridMultilevel"/>
    <w:tmpl w:val="4C6C4B18"/>
    <w:lvl w:ilvl="0" w:tplc="9F88D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A4F"/>
    <w:multiLevelType w:val="hybridMultilevel"/>
    <w:tmpl w:val="A0DE0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177309"/>
    <w:multiLevelType w:val="hybridMultilevel"/>
    <w:tmpl w:val="79F63906"/>
    <w:lvl w:ilvl="0" w:tplc="233AB2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143A"/>
    <w:multiLevelType w:val="hybridMultilevel"/>
    <w:tmpl w:val="3DE86674"/>
    <w:lvl w:ilvl="0" w:tplc="053400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0F61"/>
    <w:multiLevelType w:val="hybridMultilevel"/>
    <w:tmpl w:val="8312ABFE"/>
    <w:lvl w:ilvl="0" w:tplc="7B8290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59"/>
    <w:rsid w:val="00003AF2"/>
    <w:rsid w:val="00005841"/>
    <w:rsid w:val="00010C45"/>
    <w:rsid w:val="00010E3F"/>
    <w:rsid w:val="000129E2"/>
    <w:rsid w:val="00026D2E"/>
    <w:rsid w:val="000300C0"/>
    <w:rsid w:val="0005420E"/>
    <w:rsid w:val="00065C1A"/>
    <w:rsid w:val="00080F01"/>
    <w:rsid w:val="00081B8B"/>
    <w:rsid w:val="000822DC"/>
    <w:rsid w:val="0008635A"/>
    <w:rsid w:val="000A5A3E"/>
    <w:rsid w:val="000B078A"/>
    <w:rsid w:val="000D7BE1"/>
    <w:rsid w:val="000E015D"/>
    <w:rsid w:val="000E5DC3"/>
    <w:rsid w:val="000F1916"/>
    <w:rsid w:val="001077F5"/>
    <w:rsid w:val="00110097"/>
    <w:rsid w:val="00133880"/>
    <w:rsid w:val="00137307"/>
    <w:rsid w:val="001427DE"/>
    <w:rsid w:val="00157423"/>
    <w:rsid w:val="00157A72"/>
    <w:rsid w:val="00160ED3"/>
    <w:rsid w:val="0016763E"/>
    <w:rsid w:val="0017557F"/>
    <w:rsid w:val="00177F76"/>
    <w:rsid w:val="00190292"/>
    <w:rsid w:val="00196C7B"/>
    <w:rsid w:val="001A1099"/>
    <w:rsid w:val="001A7B16"/>
    <w:rsid w:val="001B7EAB"/>
    <w:rsid w:val="001C0FB9"/>
    <w:rsid w:val="001C6C8C"/>
    <w:rsid w:val="001D102D"/>
    <w:rsid w:val="001E73D6"/>
    <w:rsid w:val="001F085F"/>
    <w:rsid w:val="00215165"/>
    <w:rsid w:val="00216CD5"/>
    <w:rsid w:val="00224334"/>
    <w:rsid w:val="00230EA5"/>
    <w:rsid w:val="00280ECB"/>
    <w:rsid w:val="00281D54"/>
    <w:rsid w:val="00293873"/>
    <w:rsid w:val="00295C1B"/>
    <w:rsid w:val="002A08A0"/>
    <w:rsid w:val="002C0630"/>
    <w:rsid w:val="002C557E"/>
    <w:rsid w:val="002E3385"/>
    <w:rsid w:val="002F0100"/>
    <w:rsid w:val="002F1666"/>
    <w:rsid w:val="002F1AB8"/>
    <w:rsid w:val="00301A92"/>
    <w:rsid w:val="0031027B"/>
    <w:rsid w:val="003309DF"/>
    <w:rsid w:val="0033143B"/>
    <w:rsid w:val="003333F6"/>
    <w:rsid w:val="00334194"/>
    <w:rsid w:val="00343902"/>
    <w:rsid w:val="00345F18"/>
    <w:rsid w:val="00374FDD"/>
    <w:rsid w:val="0038085F"/>
    <w:rsid w:val="003933F2"/>
    <w:rsid w:val="003A31F3"/>
    <w:rsid w:val="003A5700"/>
    <w:rsid w:val="003B6994"/>
    <w:rsid w:val="003C3967"/>
    <w:rsid w:val="003C6AB2"/>
    <w:rsid w:val="003C735B"/>
    <w:rsid w:val="003F3187"/>
    <w:rsid w:val="003F3A4F"/>
    <w:rsid w:val="003F7926"/>
    <w:rsid w:val="00404025"/>
    <w:rsid w:val="00412A62"/>
    <w:rsid w:val="00427C4F"/>
    <w:rsid w:val="004318BA"/>
    <w:rsid w:val="004337E7"/>
    <w:rsid w:val="00436F20"/>
    <w:rsid w:val="00441E59"/>
    <w:rsid w:val="00471572"/>
    <w:rsid w:val="00472AF8"/>
    <w:rsid w:val="0047471C"/>
    <w:rsid w:val="004762B7"/>
    <w:rsid w:val="00484E96"/>
    <w:rsid w:val="00490F45"/>
    <w:rsid w:val="004A4F8D"/>
    <w:rsid w:val="004B1235"/>
    <w:rsid w:val="004B3BFE"/>
    <w:rsid w:val="004B6117"/>
    <w:rsid w:val="004C7382"/>
    <w:rsid w:val="004F5201"/>
    <w:rsid w:val="005034AB"/>
    <w:rsid w:val="00512310"/>
    <w:rsid w:val="00512ED1"/>
    <w:rsid w:val="00520C5A"/>
    <w:rsid w:val="005212FC"/>
    <w:rsid w:val="00526EFB"/>
    <w:rsid w:val="00547AA4"/>
    <w:rsid w:val="00554D52"/>
    <w:rsid w:val="0057244F"/>
    <w:rsid w:val="005A1A6E"/>
    <w:rsid w:val="005A66FB"/>
    <w:rsid w:val="005A7472"/>
    <w:rsid w:val="005D0530"/>
    <w:rsid w:val="005D063C"/>
    <w:rsid w:val="005D3867"/>
    <w:rsid w:val="005E3C54"/>
    <w:rsid w:val="005F12F3"/>
    <w:rsid w:val="005F45E0"/>
    <w:rsid w:val="00601949"/>
    <w:rsid w:val="00604741"/>
    <w:rsid w:val="00610299"/>
    <w:rsid w:val="00610D63"/>
    <w:rsid w:val="00611386"/>
    <w:rsid w:val="0061163D"/>
    <w:rsid w:val="00616A76"/>
    <w:rsid w:val="00627E2B"/>
    <w:rsid w:val="00633004"/>
    <w:rsid w:val="00642BF2"/>
    <w:rsid w:val="00644AFB"/>
    <w:rsid w:val="006473C4"/>
    <w:rsid w:val="0065501F"/>
    <w:rsid w:val="006843ED"/>
    <w:rsid w:val="006B31AD"/>
    <w:rsid w:val="006B5DFC"/>
    <w:rsid w:val="006C19E4"/>
    <w:rsid w:val="006C2C3B"/>
    <w:rsid w:val="006C4197"/>
    <w:rsid w:val="006C5FA9"/>
    <w:rsid w:val="006D0EEB"/>
    <w:rsid w:val="006F64FA"/>
    <w:rsid w:val="006F7D37"/>
    <w:rsid w:val="00710E85"/>
    <w:rsid w:val="0072654E"/>
    <w:rsid w:val="007409A6"/>
    <w:rsid w:val="007503C0"/>
    <w:rsid w:val="007662CE"/>
    <w:rsid w:val="0077116D"/>
    <w:rsid w:val="00776817"/>
    <w:rsid w:val="00792BAF"/>
    <w:rsid w:val="00794784"/>
    <w:rsid w:val="007C0132"/>
    <w:rsid w:val="007C3A3E"/>
    <w:rsid w:val="007D17EA"/>
    <w:rsid w:val="007D293F"/>
    <w:rsid w:val="007D4B3A"/>
    <w:rsid w:val="007E3371"/>
    <w:rsid w:val="007E500B"/>
    <w:rsid w:val="007F7D1B"/>
    <w:rsid w:val="00800281"/>
    <w:rsid w:val="00817B63"/>
    <w:rsid w:val="00821F48"/>
    <w:rsid w:val="0083168F"/>
    <w:rsid w:val="00832761"/>
    <w:rsid w:val="00834212"/>
    <w:rsid w:val="00834C59"/>
    <w:rsid w:val="0084632E"/>
    <w:rsid w:val="00862980"/>
    <w:rsid w:val="008632B4"/>
    <w:rsid w:val="0086465F"/>
    <w:rsid w:val="00864B75"/>
    <w:rsid w:val="00867D14"/>
    <w:rsid w:val="00867FEA"/>
    <w:rsid w:val="0087247B"/>
    <w:rsid w:val="008800D6"/>
    <w:rsid w:val="00895A00"/>
    <w:rsid w:val="008B29A8"/>
    <w:rsid w:val="008B3679"/>
    <w:rsid w:val="008B3FD5"/>
    <w:rsid w:val="008D5477"/>
    <w:rsid w:val="008F4027"/>
    <w:rsid w:val="00921FAC"/>
    <w:rsid w:val="009223F5"/>
    <w:rsid w:val="0092244A"/>
    <w:rsid w:val="00935D52"/>
    <w:rsid w:val="00937AE7"/>
    <w:rsid w:val="009437E5"/>
    <w:rsid w:val="00944CF7"/>
    <w:rsid w:val="009532AE"/>
    <w:rsid w:val="00962B73"/>
    <w:rsid w:val="00987FF5"/>
    <w:rsid w:val="00992675"/>
    <w:rsid w:val="00992B52"/>
    <w:rsid w:val="009A44C2"/>
    <w:rsid w:val="009A5ACD"/>
    <w:rsid w:val="009C31C0"/>
    <w:rsid w:val="009D5426"/>
    <w:rsid w:val="00A06410"/>
    <w:rsid w:val="00A07FF9"/>
    <w:rsid w:val="00A12BD7"/>
    <w:rsid w:val="00A16DFD"/>
    <w:rsid w:val="00A26A70"/>
    <w:rsid w:val="00A30B31"/>
    <w:rsid w:val="00A364ED"/>
    <w:rsid w:val="00A415D4"/>
    <w:rsid w:val="00A473EF"/>
    <w:rsid w:val="00A50539"/>
    <w:rsid w:val="00A50D93"/>
    <w:rsid w:val="00A621E0"/>
    <w:rsid w:val="00A634EC"/>
    <w:rsid w:val="00A84C86"/>
    <w:rsid w:val="00A84E1A"/>
    <w:rsid w:val="00A87F79"/>
    <w:rsid w:val="00A9515B"/>
    <w:rsid w:val="00AB1D78"/>
    <w:rsid w:val="00AB6783"/>
    <w:rsid w:val="00AD6D60"/>
    <w:rsid w:val="00AE64D1"/>
    <w:rsid w:val="00AF543F"/>
    <w:rsid w:val="00B07381"/>
    <w:rsid w:val="00B07E7F"/>
    <w:rsid w:val="00B253B6"/>
    <w:rsid w:val="00B56570"/>
    <w:rsid w:val="00B65B6D"/>
    <w:rsid w:val="00B76BBB"/>
    <w:rsid w:val="00B83BD3"/>
    <w:rsid w:val="00B84F27"/>
    <w:rsid w:val="00B94A3C"/>
    <w:rsid w:val="00BC1A72"/>
    <w:rsid w:val="00BD0FFF"/>
    <w:rsid w:val="00BE4464"/>
    <w:rsid w:val="00BF38D0"/>
    <w:rsid w:val="00C05048"/>
    <w:rsid w:val="00C06796"/>
    <w:rsid w:val="00C12C9C"/>
    <w:rsid w:val="00C1705A"/>
    <w:rsid w:val="00C233DB"/>
    <w:rsid w:val="00C23C72"/>
    <w:rsid w:val="00C41949"/>
    <w:rsid w:val="00C528FD"/>
    <w:rsid w:val="00C670BF"/>
    <w:rsid w:val="00C67273"/>
    <w:rsid w:val="00C7108F"/>
    <w:rsid w:val="00C7121B"/>
    <w:rsid w:val="00C729FE"/>
    <w:rsid w:val="00C94F55"/>
    <w:rsid w:val="00CB7200"/>
    <w:rsid w:val="00CC45CF"/>
    <w:rsid w:val="00CD17B4"/>
    <w:rsid w:val="00CD55AD"/>
    <w:rsid w:val="00CE2060"/>
    <w:rsid w:val="00D05B9A"/>
    <w:rsid w:val="00D107A4"/>
    <w:rsid w:val="00D25B97"/>
    <w:rsid w:val="00D30819"/>
    <w:rsid w:val="00D34E16"/>
    <w:rsid w:val="00D46BC9"/>
    <w:rsid w:val="00D553F5"/>
    <w:rsid w:val="00D5734F"/>
    <w:rsid w:val="00D61F05"/>
    <w:rsid w:val="00D64556"/>
    <w:rsid w:val="00D653D3"/>
    <w:rsid w:val="00D8371B"/>
    <w:rsid w:val="00DA2581"/>
    <w:rsid w:val="00DB4F1E"/>
    <w:rsid w:val="00DF7917"/>
    <w:rsid w:val="00DF7C7C"/>
    <w:rsid w:val="00E00967"/>
    <w:rsid w:val="00E12BCE"/>
    <w:rsid w:val="00E144D7"/>
    <w:rsid w:val="00E235DA"/>
    <w:rsid w:val="00E24643"/>
    <w:rsid w:val="00E320F8"/>
    <w:rsid w:val="00E32D2F"/>
    <w:rsid w:val="00E35EF8"/>
    <w:rsid w:val="00E42E2B"/>
    <w:rsid w:val="00E60781"/>
    <w:rsid w:val="00E7509D"/>
    <w:rsid w:val="00E7589F"/>
    <w:rsid w:val="00E85087"/>
    <w:rsid w:val="00EA2C98"/>
    <w:rsid w:val="00EA7620"/>
    <w:rsid w:val="00EB3BF7"/>
    <w:rsid w:val="00ED62E2"/>
    <w:rsid w:val="00EE5CE3"/>
    <w:rsid w:val="00EE769A"/>
    <w:rsid w:val="00F01404"/>
    <w:rsid w:val="00F025D2"/>
    <w:rsid w:val="00F11DF6"/>
    <w:rsid w:val="00F31F78"/>
    <w:rsid w:val="00F3305A"/>
    <w:rsid w:val="00F425BF"/>
    <w:rsid w:val="00F448C2"/>
    <w:rsid w:val="00F50EDB"/>
    <w:rsid w:val="00F536DA"/>
    <w:rsid w:val="00F5500A"/>
    <w:rsid w:val="00F632BC"/>
    <w:rsid w:val="00F94FB5"/>
    <w:rsid w:val="00F960FD"/>
    <w:rsid w:val="00FA467C"/>
    <w:rsid w:val="00FC075F"/>
    <w:rsid w:val="00FC16AA"/>
    <w:rsid w:val="00FD447D"/>
    <w:rsid w:val="00FE0C8C"/>
    <w:rsid w:val="00FE12B7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EAF3F6-94A8-4461-BBC3-E9E303C7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01404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3F6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3F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2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2E2"/>
    <w:rPr>
      <w:rFonts w:ascii="Calibri" w:eastAsia="Times New Roman" w:hAnsi="Calibri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536D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rzecznik@stat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.gov.pl/obszary-tematyczne/rachunki-narodowe/statystyka-sektora-instytucji-rzadowych-i-samorzadowy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eurostat/web/government-finance-statistics/excessive-deficit-procedure/edp-inventories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epp.eurostat.ec.europa.eu/portal/page/portal/eurostat/hom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urostat/documents/3859598/7203647/KS-GQ-16-001-EN-N.pdf/5cfae6dd-29d8-4487-80ac-37f76cd1f0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azmierskama\Desktop\do%20komunikatuuuu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azmierskama\Desktop\do%20komunikatuuuu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ane\Notyfikacja\Notyfikacja%20wrzesie&#324;%202016\do%20komunikatu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ysClr val="windowText" lastClr="000000"/>
                </a:solidFill>
              </a:rPr>
              <a:t>Deficyt sektora instytucji rządowych
i samorządowych w %</a:t>
            </a:r>
            <a:r>
              <a:rPr lang="pl-PL" sz="1000" b="1">
                <a:solidFill>
                  <a:sysClr val="windowText" lastClr="000000"/>
                </a:solidFill>
              </a:rPr>
              <a:t> PKB</a:t>
            </a:r>
            <a:endParaRPr lang="en-US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'30.09.2015 deficyt dlug'!$B$17</c:f>
              <c:strCache>
                <c:ptCount val="1"/>
                <c:pt idx="0">
                  <c:v>Deficyt sektora instytucji rządowych i samorządowych w % PKB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3015088599446995E-2"/>
                  <c:y val="3.2469487802022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1467712513813366"/>
                  <c:y val="-5.3937048733116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9333333333333376E-2"/>
                  <c:y val="-5.7702020202020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5222222222222315E-2"/>
                  <c:y val="-5.0925925925925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4629629629629624E-2"/>
                  <c:y val="-4.0951178451178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'30.09.2015 deficyt dlug'!$C$16:$H$16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'30.09.2015 deficyt dlug'!$C$17:$H$17</c:f>
              <c:numCache>
                <c:formatCode>0.0%</c:formatCode>
                <c:ptCount val="6"/>
                <c:pt idx="0">
                  <c:v>-7.2999999999999995E-2</c:v>
                </c:pt>
                <c:pt idx="1">
                  <c:v>-4.8000000000000001E-2</c:v>
                </c:pt>
                <c:pt idx="2">
                  <c:v>-3.6999999999999998E-2</c:v>
                </c:pt>
                <c:pt idx="3">
                  <c:v>-4.1000000000000002E-2</c:v>
                </c:pt>
                <c:pt idx="4">
                  <c:v>-3.4000000000000002E-2</c:v>
                </c:pt>
                <c:pt idx="5">
                  <c:v>-2.5999999999999999E-2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1728528"/>
        <c:axId val="-2081725808"/>
      </c:lineChart>
      <c:catAx>
        <c:axId val="-208172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2">
                <a:lumMod val="9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2081725808"/>
        <c:crosses val="autoZero"/>
        <c:auto val="1"/>
        <c:lblAlgn val="ctr"/>
        <c:lblOffset val="100"/>
        <c:noMultiLvlLbl val="0"/>
      </c:catAx>
      <c:valAx>
        <c:axId val="-208172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90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2081728528"/>
        <c:crosses val="autoZero"/>
        <c:crossBetween val="between"/>
        <c:majorUnit val="1.0000000000000002E-2"/>
      </c:valAx>
      <c:spPr>
        <a:noFill/>
        <a:ln>
          <a:solidFill>
            <a:schemeClr val="bg2">
              <a:lumMod val="9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pl-PL"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Dług sektora instytucji rządowych 
i samorządowych w %</a:t>
            </a:r>
            <a:r>
              <a:rPr lang="pl-PL"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 PKB</a:t>
            </a:r>
            <a:endParaRPr lang="en-US"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'30.09.2015 deficyt dlug'!$B$21</c:f>
              <c:strCache>
                <c:ptCount val="1"/>
                <c:pt idx="0">
                  <c:v>Dług sektora instytucji rządowych i samorządowych w % PKB</c:v>
                </c:pt>
              </c:strCache>
            </c:strRef>
          </c:tx>
          <c:spPr>
            <a:ln w="28575" cap="rnd">
              <a:solidFill>
                <a:srgbClr val="F68E3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68E38"/>
              </a:solidFill>
              <a:ln w="9525">
                <a:solidFill>
                  <a:srgbClr val="F68E3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2033333333333333"/>
                  <c:y val="-4.7011784511784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537037037037042"/>
                  <c:y val="-5.2356902356902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9135255804374286E-2"/>
                  <c:y val="-5.26393291747621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444444444444447E-2"/>
                  <c:y val="-3.7415824915824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351174983888515E-2"/>
                  <c:y val="3.246386414051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4.5449409796725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'30.09.2015 deficyt dlug'!$C$20:$H$20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'30.09.2015 deficyt dlug'!$C$21:$H$21</c:f>
              <c:numCache>
                <c:formatCode>0.0%</c:formatCode>
                <c:ptCount val="6"/>
                <c:pt idx="0">
                  <c:v>0.53100000000000003</c:v>
                </c:pt>
                <c:pt idx="1">
                  <c:v>0.54100000000000004</c:v>
                </c:pt>
                <c:pt idx="2">
                  <c:v>0.53700000000000003</c:v>
                </c:pt>
                <c:pt idx="3">
                  <c:v>0.55700000000000005</c:v>
                </c:pt>
                <c:pt idx="4">
                  <c:v>0.502</c:v>
                </c:pt>
                <c:pt idx="5">
                  <c:v>0.51100000000000001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58997616"/>
        <c:axId val="-1758996528"/>
      </c:lineChart>
      <c:catAx>
        <c:axId val="-175899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758996528"/>
        <c:crosses val="autoZero"/>
        <c:auto val="1"/>
        <c:lblAlgn val="ctr"/>
        <c:lblOffset val="100"/>
        <c:noMultiLvlLbl val="0"/>
      </c:catAx>
      <c:valAx>
        <c:axId val="-1758996528"/>
        <c:scaling>
          <c:orientation val="minMax"/>
          <c:max val="0.57000000000000006"/>
          <c:min val="0.4900000000000000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pl-PL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758997616"/>
        <c:crosses val="autoZero"/>
        <c:crossBetween val="between"/>
      </c:valAx>
      <c:spPr>
        <a:noFill/>
        <a:ln>
          <a:solidFill>
            <a:schemeClr val="bg2">
              <a:lumMod val="9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8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Dochody i wydatki sektora instytucji rządowych </a:t>
            </a:r>
            <a:br>
              <a:rPr lang="pl-PL" sz="8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pl-PL" sz="8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 samorządowych ogółem w % PKB</a:t>
            </a:r>
          </a:p>
        </c:rich>
      </c:tx>
      <c:layout>
        <c:manualLayout>
          <c:xMode val="edge"/>
          <c:yMode val="edge"/>
          <c:x val="0.17842220178742474"/>
          <c:y val="4.43951165371809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'30.09.2015 struktura'!$J$3</c:f>
              <c:strCache>
                <c:ptCount val="1"/>
                <c:pt idx="0">
                  <c:v>Dochody ogółem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1499068005492E-2"/>
                  <c:y val="-3.8919755694258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971775975583497E-2"/>
                  <c:y val="-3.89197556942579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366547877816002E-2"/>
                  <c:y val="-4.1950274885782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7564580105922795E-2"/>
                  <c:y val="-4.1950274885782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7564580105922976E-2"/>
                  <c:y val="-4.195027488578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7564575809737478E-2"/>
                  <c:y val="-4.1634069364723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'30.09.2015 struktura'!$K$2:$P$2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'30.09.2015 struktura'!$K$3:$P$3</c:f>
              <c:numCache>
                <c:formatCode>0.0%</c:formatCode>
                <c:ptCount val="6"/>
                <c:pt idx="0">
                  <c:v>0.38400000000000001</c:v>
                </c:pt>
                <c:pt idx="1">
                  <c:v>0.39</c:v>
                </c:pt>
                <c:pt idx="2">
                  <c:v>0.39</c:v>
                </c:pt>
                <c:pt idx="3">
                  <c:v>0.38400000000000001</c:v>
                </c:pt>
                <c:pt idx="4">
                  <c:v>0.38700000000000001</c:v>
                </c:pt>
                <c:pt idx="5">
                  <c:v>0.38900000000000001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'30.09.2015 struktura'!$J$4</c:f>
              <c:strCache>
                <c:ptCount val="1"/>
                <c:pt idx="0">
                  <c:v>Wydatki ogółem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040560925377558E-2"/>
                  <c:y val="-3.89197556942579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506168450480529E-2"/>
                  <c:y val="-5.0039685892617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168515649709208E-2"/>
                  <c:y val="-4.1950274885782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366547877816029E-2"/>
                  <c:y val="-4.1950274885782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366547877816029E-2"/>
                  <c:y val="-4.1950274885782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1168515649709326E-2"/>
                  <c:y val="-4.19502748857824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'30.09.2015 struktura'!$K$2:$P$2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'30.09.2015 struktura'!$K$4:$P$4</c:f>
              <c:numCache>
                <c:formatCode>0.0%</c:formatCode>
                <c:ptCount val="6"/>
                <c:pt idx="0">
                  <c:v>0.45700000000000002</c:v>
                </c:pt>
                <c:pt idx="1">
                  <c:v>0.438</c:v>
                </c:pt>
                <c:pt idx="2">
                  <c:v>0.42699999999999999</c:v>
                </c:pt>
                <c:pt idx="3">
                  <c:v>0.42399999999999999</c:v>
                </c:pt>
                <c:pt idx="4">
                  <c:v>0.42099999999999999</c:v>
                </c:pt>
                <c:pt idx="5">
                  <c:v>0.41499999999999998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58993808"/>
        <c:axId val="-1758990544"/>
      </c:lineChart>
      <c:catAx>
        <c:axId val="-175899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9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-1758990544"/>
        <c:crosses val="autoZero"/>
        <c:auto val="1"/>
        <c:lblAlgn val="ctr"/>
        <c:lblOffset val="100"/>
        <c:noMultiLvlLbl val="0"/>
      </c:catAx>
      <c:valAx>
        <c:axId val="-1758990544"/>
        <c:scaling>
          <c:orientation val="minMax"/>
          <c:max val="0.47000000000000003"/>
          <c:min val="0.37000000000000005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90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-1758993808"/>
        <c:crosses val="autoZero"/>
        <c:crossBetween val="between"/>
        <c:majorUnit val="2.0000000000000004E-2"/>
      </c:valAx>
      <c:spPr>
        <a:noFill/>
        <a:ln>
          <a:solidFill>
            <a:schemeClr val="bg2">
              <a:lumMod val="90000"/>
            </a:schemeClr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559A-3BB2-4B96-87FD-0F37F6FC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0</TotalTime>
  <Pages>3</Pages>
  <Words>1129</Words>
  <Characters>6616</Characters>
  <Application>Microsoft Office Word</Application>
  <DocSecurity>0</DocSecurity>
  <Lines>213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Pudłowski Tomasz</cp:lastModifiedBy>
  <cp:revision>2</cp:revision>
  <cp:lastPrinted>2016-10-18T08:30:00Z</cp:lastPrinted>
  <dcterms:created xsi:type="dcterms:W3CDTF">2016-10-19T07:09:00Z</dcterms:created>
  <dcterms:modified xsi:type="dcterms:W3CDTF">2016-10-19T07:09:00Z</dcterms:modified>
</cp:coreProperties>
</file>