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225BF" w:rsidRDefault="00690129" w:rsidP="007225BF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>eń</w:t>
      </w:r>
      <w:r w:rsidR="007E11F4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- </w:t>
      </w:r>
      <w:r w:rsidR="009F2D37">
        <w:rPr>
          <w:rFonts w:ascii="Fira Sans Extra Condensed SemiB" w:hAnsi="Fira Sans Extra Condensed SemiB" w:cs="Arial"/>
          <w:color w:val="auto"/>
          <w:sz w:val="40"/>
          <w:szCs w:val="40"/>
        </w:rPr>
        <w:t>czerwiec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201</w:t>
      </w:r>
      <w:r w:rsidR="00D53D5E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251460</wp:posOffset>
                </wp:positionV>
                <wp:extent cx="1725295" cy="1115695"/>
                <wp:effectExtent l="0" t="0" r="0" b="0"/>
                <wp:wrapTight wrapText="bothSides">
                  <wp:wrapPolygon edited="0">
                    <wp:start x="715" y="0"/>
                    <wp:lineTo x="715" y="21022"/>
                    <wp:lineTo x="20749" y="2102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Pr="009A5C86" w:rsidRDefault="007D13C0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Po </w:t>
                            </w:r>
                            <w:r w:rsidR="003E5EB2">
                              <w:rPr>
                                <w:rFonts w:cs="Arial"/>
                                <w:sz w:val="19"/>
                                <w:szCs w:val="19"/>
                              </w:rPr>
                              <w:t>sześciu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miesiącach notujemy wzrost eksportu wobec analogicznego okresu ub.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8pt;width:135.85pt;height:8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" filled="f" stroked="f">
                <v:textbox>
                  <w:txbxContent>
                    <w:p w:rsidR="007D13C0" w:rsidRPr="009A5C86" w:rsidRDefault="007D13C0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Po </w:t>
                      </w:r>
                      <w:r w:rsidR="003E5EB2">
                        <w:rPr>
                          <w:rFonts w:cs="Arial"/>
                          <w:sz w:val="19"/>
                          <w:szCs w:val="19"/>
                        </w:rPr>
                        <w:t>sześciu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 miesiącach notujemy wzrost eksportu wobec analogicznego okresu ub.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Pr="00B66B19" w:rsidRDefault="007D13C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1451F5B" wp14:editId="03D0E764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103,3</w:t>
                            </w:r>
                          </w:p>
                          <w:p w:rsidR="007D13C0" w:rsidRPr="00690129" w:rsidRDefault="007D13C0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eksportu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7D13C0" w:rsidRPr="00B66B19" w:rsidRDefault="007D13C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1451F5B" wp14:editId="03D0E764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103,3</w:t>
                      </w:r>
                    </w:p>
                    <w:p w:rsidR="007D13C0" w:rsidRPr="00690129" w:rsidRDefault="007D13C0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eksportu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291F7B">
        <w:rPr>
          <w:rFonts w:cs="Arial"/>
        </w:rPr>
        <w:t xml:space="preserve">w </w:t>
      </w:r>
      <w:r w:rsidR="005164A4">
        <w:rPr>
          <w:rFonts w:cs="Arial"/>
        </w:rPr>
        <w:t>okresie styczeń</w:t>
      </w:r>
      <w:r w:rsidR="00291F7B">
        <w:rPr>
          <w:rFonts w:cs="Arial"/>
        </w:rPr>
        <w:t xml:space="preserve"> - </w:t>
      </w:r>
      <w:r w:rsidR="005164A4">
        <w:rPr>
          <w:rFonts w:cs="Arial"/>
        </w:rPr>
        <w:t>czerwiec</w:t>
      </w:r>
      <w:r w:rsidR="00291F7B">
        <w:rPr>
          <w:rFonts w:cs="Arial"/>
        </w:rPr>
        <w:t xml:space="preserve"> br.</w:t>
      </w:r>
      <w:r w:rsidR="00116471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9F2D37">
        <w:rPr>
          <w:rFonts w:cs="Arial"/>
          <w:bCs/>
          <w:color w:val="000000"/>
        </w:rPr>
        <w:t>452,5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1F2763">
        <w:rPr>
          <w:rFonts w:cs="Arial"/>
          <w:bCs/>
          <w:color w:val="000000"/>
        </w:rPr>
        <w:t>4</w:t>
      </w:r>
      <w:r w:rsidR="009F2D37">
        <w:rPr>
          <w:rFonts w:cs="Arial"/>
          <w:bCs/>
          <w:color w:val="000000"/>
        </w:rPr>
        <w:t>57</w:t>
      </w:r>
      <w:r w:rsidR="00C436BE">
        <w:rPr>
          <w:rFonts w:cs="Arial"/>
          <w:bCs/>
          <w:color w:val="000000"/>
        </w:rPr>
        <w:t>,7</w:t>
      </w:r>
      <w:r w:rsidR="00690129" w:rsidRPr="00690129">
        <w:rPr>
          <w:rFonts w:cs="Arial"/>
          <w:bCs/>
          <w:color w:val="000000"/>
        </w:rPr>
        <w:t xml:space="preserve">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C436BE">
        <w:rPr>
          <w:rFonts w:cs="Arial"/>
          <w:bCs/>
          <w:color w:val="000000"/>
        </w:rPr>
        <w:t>5</w:t>
      </w:r>
      <w:r w:rsidR="001F2763">
        <w:rPr>
          <w:rFonts w:cs="Arial"/>
          <w:bCs/>
          <w:color w:val="000000"/>
        </w:rPr>
        <w:t>,2</w:t>
      </w:r>
      <w:r w:rsidR="00690129" w:rsidRPr="00690129">
        <w:rPr>
          <w:rFonts w:cs="Arial"/>
          <w:spacing w:val="-3"/>
        </w:rPr>
        <w:t xml:space="preserve"> 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>
        <w:rPr>
          <w:rFonts w:cs="Arial"/>
          <w:spacing w:val="-3"/>
        </w:rPr>
        <w:t xml:space="preserve">w </w:t>
      </w:r>
      <w:r w:rsidR="003E0EA7">
        <w:rPr>
          <w:rFonts w:cs="Arial"/>
          <w:spacing w:val="-3"/>
        </w:rPr>
        <w:t xml:space="preserve">analogicznym okresie roku ubiegłego było dodatnie i </w:t>
      </w:r>
      <w:r w:rsidR="00690129" w:rsidRPr="00690129">
        <w:rPr>
          <w:rFonts w:cs="Arial"/>
          <w:spacing w:val="-3"/>
        </w:rPr>
        <w:t>wyniosło</w:t>
      </w:r>
      <w:r w:rsidR="00A664CE">
        <w:rPr>
          <w:rFonts w:cs="Arial"/>
          <w:spacing w:val="-3"/>
        </w:rPr>
        <w:t xml:space="preserve"> 4,3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291F7B" w:rsidRPr="009A5C86">
        <w:rPr>
          <w:rFonts w:cs="Arial"/>
        </w:rPr>
        <w:t xml:space="preserve">W porównaniu </w:t>
      </w:r>
      <w:r w:rsidR="00291F7B">
        <w:t>z analogicznym okresem ubiegłego</w:t>
      </w:r>
      <w:r w:rsidR="00291F7B" w:rsidRPr="009A5C86">
        <w:rPr>
          <w:rFonts w:cs="Arial"/>
          <w:spacing w:val="-3"/>
        </w:rPr>
        <w:t xml:space="preserve"> rok</w:t>
      </w:r>
      <w:r w:rsidR="00291F7B">
        <w:rPr>
          <w:rFonts w:cs="Arial"/>
          <w:spacing w:val="-3"/>
        </w:rPr>
        <w:t xml:space="preserve">u </w:t>
      </w:r>
      <w:r w:rsidR="00291F7B" w:rsidRPr="009A5C86">
        <w:rPr>
          <w:rFonts w:cs="Arial"/>
        </w:rPr>
        <w:t xml:space="preserve">eksport </w:t>
      </w:r>
      <w:r w:rsidR="00291F7B">
        <w:rPr>
          <w:rFonts w:cs="Arial"/>
        </w:rPr>
        <w:t>wzrósł</w:t>
      </w:r>
      <w:r w:rsidR="00291F7B" w:rsidRPr="009A5C86">
        <w:rPr>
          <w:rFonts w:cs="Arial"/>
        </w:rPr>
        <w:t xml:space="preserve"> </w:t>
      </w:r>
      <w:r w:rsidR="00291F7B" w:rsidRPr="00F70DA2">
        <w:t>o</w:t>
      </w:r>
      <w:r w:rsidR="00291F7B">
        <w:t> </w:t>
      </w:r>
      <w:r w:rsidR="001F2763">
        <w:t>3,3</w:t>
      </w:r>
      <w:r w:rsidR="00291F7B" w:rsidRPr="009A5C86">
        <w:rPr>
          <w:rFonts w:cs="Arial"/>
        </w:rPr>
        <w:t>%, a import o </w:t>
      </w:r>
      <w:r w:rsidR="001F2763">
        <w:rPr>
          <w:rFonts w:cs="Arial"/>
        </w:rPr>
        <w:t>5</w:t>
      </w:r>
      <w:r w:rsidR="00C436BE">
        <w:rPr>
          <w:rFonts w:cs="Arial"/>
        </w:rPr>
        <w:t>,5</w:t>
      </w:r>
      <w:r w:rsidR="00291F7B">
        <w:rPr>
          <w:rFonts w:cs="Arial"/>
        </w:rPr>
        <w:t>%.</w:t>
      </w:r>
    </w:p>
    <w:p w:rsidR="00C22105" w:rsidRPr="00277A82" w:rsidRDefault="00277A82" w:rsidP="00074DD8">
      <w:pPr>
        <w:pStyle w:val="Nagwek1"/>
      </w:pPr>
      <w:r w:rsidRPr="00277A82">
        <w:t xml:space="preserve">Obroty towarowe handlu zagranicznego wyrażone w dolarach USA </w:t>
      </w:r>
      <w:r>
        <w:t>i</w:t>
      </w:r>
      <w:r w:rsidRPr="00277A82">
        <w:t xml:space="preserve"> w </w:t>
      </w:r>
      <w:r>
        <w:t>euro</w:t>
      </w:r>
      <w:r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F33F19">
        <w:rPr>
          <w:rFonts w:cs="Arial"/>
          <w:bCs/>
          <w:color w:val="000000"/>
          <w:szCs w:val="19"/>
        </w:rPr>
        <w:t>130,7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F33F19">
        <w:rPr>
          <w:rFonts w:cs="Arial"/>
          <w:spacing w:val="-3"/>
          <w:szCs w:val="19"/>
        </w:rPr>
        <w:t>132</w:t>
      </w:r>
      <w:r w:rsidR="00B1493C">
        <w:rPr>
          <w:rFonts w:cs="Arial"/>
          <w:spacing w:val="-3"/>
          <w:szCs w:val="19"/>
        </w:rPr>
        <w:t>,2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(w</w:t>
      </w:r>
      <w:r w:rsidR="003E0EA7">
        <w:rPr>
          <w:rFonts w:cs="Arial"/>
          <w:spacing w:val="-3"/>
          <w:szCs w:val="19"/>
        </w:rPr>
        <w:t xml:space="preserve">zrost </w:t>
      </w:r>
      <w:r w:rsidR="00F33F19">
        <w:rPr>
          <w:rFonts w:cs="Arial"/>
          <w:spacing w:val="-3"/>
          <w:szCs w:val="19"/>
        </w:rPr>
        <w:t>odpowiednio o 19,7</w:t>
      </w:r>
      <w:r w:rsidR="00682774">
        <w:rPr>
          <w:rFonts w:cs="Arial"/>
          <w:spacing w:val="-3"/>
          <w:szCs w:val="19"/>
        </w:rPr>
        <w:t xml:space="preserve">% i o </w:t>
      </w:r>
      <w:r w:rsidR="00F33F19">
        <w:rPr>
          <w:rFonts w:cs="Arial"/>
          <w:spacing w:val="-3"/>
          <w:szCs w:val="19"/>
        </w:rPr>
        <w:t>22</w:t>
      </w:r>
      <w:r w:rsidR="00B1493C">
        <w:rPr>
          <w:rFonts w:cs="Arial"/>
          <w:spacing w:val="-3"/>
          <w:szCs w:val="19"/>
        </w:rPr>
        <w:t>,1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4F2BB2">
        <w:rPr>
          <w:rFonts w:cs="Arial"/>
          <w:bCs/>
          <w:color w:val="000000"/>
          <w:szCs w:val="19"/>
        </w:rPr>
        <w:t>1</w:t>
      </w:r>
      <w:r w:rsidR="00874A1E">
        <w:rPr>
          <w:rFonts w:cs="Arial"/>
          <w:bCs/>
          <w:color w:val="000000"/>
          <w:szCs w:val="19"/>
        </w:rPr>
        <w:t>,</w:t>
      </w:r>
      <w:r w:rsidR="00D807ED">
        <w:rPr>
          <w:rFonts w:cs="Arial"/>
          <w:bCs/>
          <w:color w:val="000000"/>
          <w:szCs w:val="19"/>
        </w:rPr>
        <w:t>5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 xml:space="preserve"> USD (w analogicznym okresie </w:t>
      </w:r>
      <w:r w:rsidRPr="00A6544F">
        <w:rPr>
          <w:rFonts w:cs="Arial"/>
          <w:spacing w:val="-3"/>
          <w:szCs w:val="19"/>
        </w:rPr>
        <w:t>201</w:t>
      </w:r>
      <w:r w:rsidR="003E0EA7" w:rsidRPr="00A6544F">
        <w:rPr>
          <w:rFonts w:cs="Arial"/>
          <w:spacing w:val="-3"/>
          <w:szCs w:val="19"/>
        </w:rPr>
        <w:t>7</w:t>
      </w:r>
      <w:r w:rsidRPr="00A6544F">
        <w:rPr>
          <w:rFonts w:cs="Arial"/>
          <w:spacing w:val="-3"/>
          <w:szCs w:val="19"/>
        </w:rPr>
        <w:t xml:space="preserve"> roku </w:t>
      </w:r>
      <w:r w:rsidR="00A6544F">
        <w:rPr>
          <w:rFonts w:cs="Arial"/>
          <w:spacing w:val="-3"/>
          <w:szCs w:val="19"/>
        </w:rPr>
        <w:t>dodatnie saldo wyniosło</w:t>
      </w:r>
      <w:r w:rsidR="00E41F14">
        <w:rPr>
          <w:rFonts w:cs="Arial"/>
          <w:spacing w:val="-3"/>
          <w:szCs w:val="19"/>
        </w:rPr>
        <w:t xml:space="preserve"> 1,0 </w:t>
      </w:r>
      <w:r w:rsidR="00F70DA2" w:rsidRPr="00A6544F">
        <w:rPr>
          <w:rFonts w:cs="Arial"/>
          <w:spacing w:val="-3"/>
          <w:szCs w:val="19"/>
        </w:rPr>
        <w:t>mld</w:t>
      </w:r>
      <w:r w:rsidRPr="00A6544F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4F2BB2">
        <w:rPr>
          <w:rFonts w:cs="Arial"/>
          <w:bCs/>
          <w:color w:val="000000"/>
          <w:szCs w:val="19"/>
        </w:rPr>
        <w:t>107,6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4F2BB2">
        <w:rPr>
          <w:rFonts w:cs="Arial"/>
          <w:bCs/>
          <w:color w:val="000000"/>
          <w:szCs w:val="19"/>
        </w:rPr>
        <w:t>108,8</w:t>
      </w:r>
      <w:r w:rsidR="00874A1E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</w:t>
      </w:r>
      <w:r w:rsidR="00682774">
        <w:rPr>
          <w:rFonts w:cs="Arial"/>
          <w:szCs w:val="19"/>
        </w:rPr>
        <w:t>(wzrost w eksporcie o </w:t>
      </w:r>
      <w:r w:rsidR="004F2BB2">
        <w:rPr>
          <w:rFonts w:cs="Arial"/>
          <w:szCs w:val="19"/>
        </w:rPr>
        <w:t>5,7</w:t>
      </w:r>
      <w:r w:rsidRPr="00277A82">
        <w:rPr>
          <w:rFonts w:cs="Arial"/>
          <w:szCs w:val="19"/>
        </w:rPr>
        <w:t xml:space="preserve">%, a w imporcie o </w:t>
      </w:r>
      <w:r w:rsidR="00874A1E">
        <w:rPr>
          <w:rFonts w:cs="Arial"/>
          <w:szCs w:val="19"/>
        </w:rPr>
        <w:t>7</w:t>
      </w:r>
      <w:r w:rsidR="003C73DE">
        <w:rPr>
          <w:rFonts w:cs="Arial"/>
          <w:szCs w:val="19"/>
        </w:rPr>
        <w:t>,9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4F2BB2">
        <w:rPr>
          <w:rFonts w:cs="Arial"/>
          <w:bCs/>
          <w:color w:val="000000"/>
          <w:szCs w:val="19"/>
        </w:rPr>
        <w:t>1,2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wobec </w:t>
      </w:r>
      <w:r w:rsidR="00682774">
        <w:rPr>
          <w:rFonts w:cs="Arial"/>
          <w:szCs w:val="19"/>
        </w:rPr>
        <w:t xml:space="preserve">dodatniego </w:t>
      </w:r>
      <w:r w:rsidR="003E5D51">
        <w:rPr>
          <w:rFonts w:cs="Arial"/>
          <w:szCs w:val="19"/>
        </w:rPr>
        <w:t xml:space="preserve">1,0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="00682774">
        <w:rPr>
          <w:rFonts w:cs="Arial"/>
          <w:szCs w:val="19"/>
        </w:rPr>
        <w:t xml:space="preserve"> EUR w </w:t>
      </w:r>
      <w:r w:rsidR="00207FAB">
        <w:rPr>
          <w:rFonts w:cs="Arial"/>
          <w:szCs w:val="19"/>
        </w:rPr>
        <w:t>analogicznym okresie ubiegłego</w:t>
      </w:r>
      <w:r w:rsidRPr="00277A82">
        <w:rPr>
          <w:rFonts w:cs="Arial"/>
          <w:szCs w:val="19"/>
        </w:rPr>
        <w:t xml:space="preserve"> roku.</w:t>
      </w:r>
    </w:p>
    <w:p w:rsidR="00116087" w:rsidRPr="00017EBA" w:rsidRDefault="005164A4" w:rsidP="00074DD8">
      <w:pPr>
        <w:pStyle w:val="tytuwykresu"/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5220307</wp:posOffset>
                </wp:positionH>
                <wp:positionV relativeFrom="paragraph">
                  <wp:posOffset>31363</wp:posOffset>
                </wp:positionV>
                <wp:extent cx="1778000" cy="1138555"/>
                <wp:effectExtent l="0" t="0" r="0" b="4445"/>
                <wp:wrapTight wrapText="bothSides">
                  <wp:wrapPolygon edited="0">
                    <wp:start x="694" y="0"/>
                    <wp:lineTo x="694" y="21323"/>
                    <wp:lineTo x="20829" y="21323"/>
                    <wp:lineTo x="20829" y="0"/>
                    <wp:lineTo x="694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Pr="00E86D11" w:rsidRDefault="007D13C0" w:rsidP="00074DD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 w:rsidRPr="00E86D11">
                              <w:rPr>
                                <w:sz w:val="19"/>
                                <w:szCs w:val="19"/>
                              </w:rPr>
                              <w:t xml:space="preserve">W </w:t>
                            </w:r>
                            <w:r w:rsidR="005375A6">
                              <w:rPr>
                                <w:sz w:val="19"/>
                                <w:szCs w:val="19"/>
                              </w:rPr>
                              <w:t xml:space="preserve">czerwcu </w:t>
                            </w:r>
                            <w:r w:rsidRPr="00E86D11">
                              <w:rPr>
                                <w:sz w:val="19"/>
                                <w:szCs w:val="19"/>
                              </w:rPr>
                              <w:t>w handlu zagranicznym zanotowano ujemne saldo</w:t>
                            </w:r>
                            <w:r w:rsidR="00DA7554">
                              <w:rPr>
                                <w:sz w:val="19"/>
                                <w:szCs w:val="19"/>
                              </w:rPr>
                              <w:t xml:space="preserve"> wobec dodatniego obserwowanego</w:t>
                            </w:r>
                            <w:r w:rsidR="00116471">
                              <w:rPr>
                                <w:sz w:val="19"/>
                                <w:szCs w:val="19"/>
                              </w:rPr>
                              <w:t xml:space="preserve"> w kwietniu i maju</w:t>
                            </w:r>
                          </w:p>
                          <w:p w:rsidR="007D13C0" w:rsidRPr="00093508" w:rsidRDefault="007D13C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11.05pt;margin-top:2.45pt;width:140pt;height:89.6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" filled="f" stroked="f">
                <v:textbox>
                  <w:txbxContent>
                    <w:p w:rsidR="007D13C0" w:rsidRPr="00E86D11" w:rsidRDefault="007D13C0" w:rsidP="00074DD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 w:rsidRPr="00E86D11">
                        <w:rPr>
                          <w:sz w:val="19"/>
                          <w:szCs w:val="19"/>
                        </w:rPr>
                        <w:t xml:space="preserve">W </w:t>
                      </w:r>
                      <w:r w:rsidR="005375A6">
                        <w:rPr>
                          <w:sz w:val="19"/>
                          <w:szCs w:val="19"/>
                        </w:rPr>
                        <w:t xml:space="preserve">czerwcu </w:t>
                      </w:r>
                      <w:r w:rsidRPr="00E86D11">
                        <w:rPr>
                          <w:sz w:val="19"/>
                          <w:szCs w:val="19"/>
                        </w:rPr>
                        <w:t>w handlu zagranicznym zanotowano ujemne saldo</w:t>
                      </w:r>
                      <w:r w:rsidR="00DA7554">
                        <w:rPr>
                          <w:sz w:val="19"/>
                          <w:szCs w:val="19"/>
                        </w:rPr>
                        <w:t xml:space="preserve"> wobec dodatniego obserwowanego</w:t>
                      </w:r>
                      <w:r w:rsidR="00116471">
                        <w:rPr>
                          <w:sz w:val="19"/>
                          <w:szCs w:val="19"/>
                        </w:rPr>
                        <w:t xml:space="preserve"> w kwietniu i maju</w:t>
                      </w:r>
                    </w:p>
                    <w:p w:rsidR="007D13C0" w:rsidRPr="00093508" w:rsidRDefault="007D13C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B5906" w:rsidRPr="00A477B8">
        <w:t xml:space="preserve">Wykres </w:t>
      </w:r>
      <w:r w:rsidR="00074DD8" w:rsidRPr="00A477B8">
        <w:t>1</w:t>
      </w:r>
      <w:r w:rsidR="00585385" w:rsidRPr="00A477B8">
        <w:t>.</w:t>
      </w:r>
      <w:r w:rsidR="00074DD8" w:rsidRPr="00A477B8">
        <w:rPr>
          <w:shd w:val="clear" w:color="auto" w:fill="FFFFFF"/>
        </w:rPr>
        <w:t xml:space="preserve"> </w:t>
      </w:r>
      <w:r w:rsidR="00017EBA" w:rsidRPr="00A477B8">
        <w:rPr>
          <w:shd w:val="clear" w:color="auto" w:fill="FFFFFF"/>
        </w:rPr>
        <w:t xml:space="preserve">Obroty za </w:t>
      </w:r>
      <w:r w:rsidR="00585385" w:rsidRPr="00A477B8">
        <w:rPr>
          <w:shd w:val="clear" w:color="auto" w:fill="FFFFFF"/>
        </w:rPr>
        <w:t>trzy ostatnie miesiące w ml</w:t>
      </w:r>
      <w:r w:rsidR="009D1900" w:rsidRPr="00A477B8">
        <w:rPr>
          <w:shd w:val="clear" w:color="auto" w:fill="FFFFFF"/>
        </w:rPr>
        <w:t>d</w:t>
      </w:r>
      <w:r w:rsidR="00585385" w:rsidRPr="00A477B8">
        <w:rPr>
          <w:shd w:val="clear" w:color="auto" w:fill="FFFFFF"/>
        </w:rPr>
        <w:t xml:space="preserve"> zł</w:t>
      </w:r>
    </w:p>
    <w:p w:rsidR="00F802BE" w:rsidRDefault="00C20096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0BEE44B7" wp14:editId="54CAD1F2">
            <wp:extent cx="5032005" cy="2255146"/>
            <wp:effectExtent l="0" t="0" r="16510" b="1206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</w:t>
                            </w:r>
                            <w:r>
                              <w:t>, od lat,</w:t>
                            </w:r>
                            <w:r w:rsidRPr="008720A0">
                              <w:t xml:space="preserve">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Default="007D13C0" w:rsidP="00F802BE">
                            <w:pPr>
                              <w:pStyle w:val="tekstzboku"/>
                            </w:pPr>
                          </w:p>
                          <w:p w:rsidR="007D13C0" w:rsidRPr="00074DD8" w:rsidRDefault="007D13C0" w:rsidP="00F802BE">
                            <w:pPr>
                              <w:pStyle w:val="tekstzboku"/>
                            </w:pPr>
                          </w:p>
                          <w:p w:rsidR="007D13C0" w:rsidRPr="00D616D2" w:rsidRDefault="007D13C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7D13C0" w:rsidRDefault="007D13C0" w:rsidP="00F802BE">
                      <w:pPr>
                        <w:pStyle w:val="tekstzboku"/>
                      </w:pPr>
                      <w:r w:rsidRPr="008720A0">
                        <w:t>Na wysoki udział krajów rozwiniętych w obrotach towarowych</w:t>
                      </w:r>
                      <w:r>
                        <w:t>, od lat,</w:t>
                      </w:r>
                      <w:r w:rsidRPr="008720A0">
                        <w:t xml:space="preserve">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Default="007D13C0" w:rsidP="00F802BE">
                      <w:pPr>
                        <w:pStyle w:val="tekstzboku"/>
                      </w:pPr>
                    </w:p>
                    <w:p w:rsidR="007D13C0" w:rsidRPr="00074DD8" w:rsidRDefault="007D13C0" w:rsidP="00F802BE">
                      <w:pPr>
                        <w:pStyle w:val="tekstzboku"/>
                      </w:pPr>
                    </w:p>
                    <w:p w:rsidR="007D13C0" w:rsidRPr="00D616D2" w:rsidRDefault="007D13C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8</w:t>
      </w:r>
      <w:r w:rsidR="00832FBE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>,</w:t>
      </w:r>
      <w:r w:rsidR="009F3BA0">
        <w:rPr>
          <w:rFonts w:cs="Arial"/>
          <w:spacing w:val="-3"/>
        </w:rPr>
        <w:t>1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9F3BA0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E637B8">
        <w:rPr>
          <w:rFonts w:cs="Arial"/>
          <w:spacing w:val="-3"/>
        </w:rPr>
        <w:t>66,</w:t>
      </w:r>
      <w:r w:rsidR="009F3BA0">
        <w:rPr>
          <w:rFonts w:cs="Arial"/>
          <w:spacing w:val="-3"/>
        </w:rPr>
        <w:t>7</w:t>
      </w:r>
      <w:r w:rsidR="007D6BC4">
        <w:rPr>
          <w:rFonts w:cs="Arial"/>
          <w:spacing w:val="-3"/>
        </w:rPr>
        <w:t xml:space="preserve">% (w tym </w:t>
      </w:r>
      <w:r w:rsidR="007D6BC4" w:rsidRPr="00797CEA">
        <w:rPr>
          <w:rFonts w:cs="Arial"/>
          <w:spacing w:val="-3"/>
        </w:rPr>
        <w:t xml:space="preserve">UE </w:t>
      </w:r>
      <w:r w:rsidR="009F3BA0">
        <w:rPr>
          <w:rFonts w:cs="Arial"/>
          <w:spacing w:val="-3"/>
        </w:rPr>
        <w:t>59,3</w:t>
      </w:r>
      <w:r w:rsidRPr="00797CEA">
        <w:rPr>
          <w:rFonts w:cs="Arial"/>
          <w:spacing w:val="-3"/>
        </w:rPr>
        <w:t>%), wobec odpowied</w:t>
      </w:r>
      <w:r w:rsidRPr="000821F2">
        <w:rPr>
          <w:rFonts w:cs="Arial"/>
          <w:color w:val="000000" w:themeColor="text1"/>
          <w:spacing w:val="-3"/>
        </w:rPr>
        <w:t xml:space="preserve">nio </w:t>
      </w:r>
      <w:r w:rsidR="000821F2" w:rsidRPr="000821F2">
        <w:rPr>
          <w:rFonts w:cs="Arial"/>
          <w:color w:val="000000" w:themeColor="text1"/>
          <w:spacing w:val="-3"/>
        </w:rPr>
        <w:t>86</w:t>
      </w:r>
      <w:r w:rsidR="00E637B8" w:rsidRPr="000821F2">
        <w:rPr>
          <w:rFonts w:cs="Arial"/>
          <w:color w:val="000000" w:themeColor="text1"/>
          <w:spacing w:val="-3"/>
        </w:rPr>
        <w:t>,</w:t>
      </w:r>
      <w:r w:rsidR="000821F2" w:rsidRPr="000821F2">
        <w:rPr>
          <w:rFonts w:cs="Arial"/>
          <w:color w:val="000000" w:themeColor="text1"/>
          <w:spacing w:val="-3"/>
        </w:rPr>
        <w:t>9</w:t>
      </w:r>
      <w:r w:rsidRPr="000821F2">
        <w:rPr>
          <w:rFonts w:cs="Arial"/>
          <w:color w:val="000000" w:themeColor="text1"/>
          <w:spacing w:val="-3"/>
        </w:rPr>
        <w:t xml:space="preserve">% (w tym UE </w:t>
      </w:r>
      <w:r w:rsidR="00832FBE" w:rsidRPr="000821F2">
        <w:rPr>
          <w:rFonts w:cs="Arial"/>
          <w:color w:val="000000" w:themeColor="text1"/>
          <w:spacing w:val="-3"/>
        </w:rPr>
        <w:t>8</w:t>
      </w:r>
      <w:r w:rsidR="00E637B8" w:rsidRPr="000821F2">
        <w:rPr>
          <w:rFonts w:cs="Arial"/>
          <w:color w:val="000000" w:themeColor="text1"/>
          <w:spacing w:val="-3"/>
        </w:rPr>
        <w:t>0</w:t>
      </w:r>
      <w:r w:rsidR="00832FBE" w:rsidRPr="000821F2">
        <w:rPr>
          <w:rFonts w:cs="Arial"/>
          <w:color w:val="000000" w:themeColor="text1"/>
          <w:spacing w:val="-3"/>
        </w:rPr>
        <w:t>,</w:t>
      </w:r>
      <w:r w:rsidR="000821F2" w:rsidRPr="000821F2">
        <w:rPr>
          <w:rFonts w:cs="Arial"/>
          <w:color w:val="000000" w:themeColor="text1"/>
          <w:spacing w:val="-3"/>
        </w:rPr>
        <w:t>0</w:t>
      </w:r>
      <w:r w:rsidRPr="000821F2">
        <w:rPr>
          <w:rFonts w:cs="Arial"/>
          <w:color w:val="000000" w:themeColor="text1"/>
          <w:spacing w:val="-3"/>
        </w:rPr>
        <w:t>%) i</w:t>
      </w:r>
      <w:r w:rsidR="00992926" w:rsidRPr="000821F2">
        <w:rPr>
          <w:rFonts w:cs="Arial"/>
          <w:color w:val="000000" w:themeColor="text1"/>
          <w:spacing w:val="-3"/>
        </w:rPr>
        <w:t> </w:t>
      </w:r>
      <w:r w:rsidR="00E637B8" w:rsidRPr="000821F2">
        <w:rPr>
          <w:rFonts w:cs="Arial"/>
          <w:color w:val="000000" w:themeColor="text1"/>
          <w:spacing w:val="-3"/>
        </w:rPr>
        <w:t>67,</w:t>
      </w:r>
      <w:r w:rsidR="000821F2" w:rsidRPr="000821F2">
        <w:rPr>
          <w:rFonts w:cs="Arial"/>
          <w:color w:val="000000" w:themeColor="text1"/>
          <w:spacing w:val="-3"/>
        </w:rPr>
        <w:t>8</w:t>
      </w:r>
      <w:r w:rsidRPr="000821F2">
        <w:rPr>
          <w:rFonts w:cs="Arial"/>
          <w:color w:val="000000" w:themeColor="text1"/>
          <w:spacing w:val="-3"/>
        </w:rPr>
        <w:t xml:space="preserve">% (w tym UE </w:t>
      </w:r>
      <w:r w:rsidR="00E637B8" w:rsidRPr="000821F2">
        <w:rPr>
          <w:rFonts w:cs="Arial"/>
          <w:color w:val="000000" w:themeColor="text1"/>
          <w:spacing w:val="-3"/>
        </w:rPr>
        <w:t>60,</w:t>
      </w:r>
      <w:r w:rsidR="000821F2" w:rsidRPr="000821F2">
        <w:rPr>
          <w:rFonts w:cs="Arial"/>
          <w:color w:val="000000" w:themeColor="text1"/>
          <w:spacing w:val="-3"/>
        </w:rPr>
        <w:t>4</w:t>
      </w:r>
      <w:r w:rsidRPr="000821F2">
        <w:rPr>
          <w:rFonts w:cs="Arial"/>
          <w:color w:val="000000" w:themeColor="text1"/>
          <w:spacing w:val="-3"/>
        </w:rPr>
        <w:t xml:space="preserve">%) w analogicznym okresie </w:t>
      </w:r>
      <w:r w:rsidR="00832FBE" w:rsidRPr="000821F2">
        <w:rPr>
          <w:rFonts w:cs="Arial"/>
          <w:color w:val="000000" w:themeColor="text1"/>
          <w:spacing w:val="-3"/>
        </w:rPr>
        <w:t>ub.</w:t>
      </w:r>
      <w:r w:rsidRPr="000821F2">
        <w:rPr>
          <w:rFonts w:cs="Arial"/>
          <w:color w:val="000000" w:themeColor="text1"/>
          <w:spacing w:val="-3"/>
        </w:rPr>
        <w:t xml:space="preserve"> roku</w:t>
      </w:r>
      <w:r w:rsidR="00F802BE" w:rsidRPr="000821F2">
        <w:rPr>
          <w:color w:val="000000" w:themeColor="text1"/>
          <w:shd w:val="clear" w:color="auto" w:fill="FFFFFF"/>
        </w:rPr>
        <w:t>.</w:t>
      </w:r>
      <w:r w:rsidR="008720A0" w:rsidRPr="000821F2">
        <w:rPr>
          <w:color w:val="000000" w:themeColor="text1"/>
          <w:shd w:val="clear" w:color="auto" w:fill="FFFFFF"/>
        </w:rPr>
        <w:t xml:space="preserve"> Nat</w:t>
      </w:r>
      <w:r w:rsidR="008720A0">
        <w:rPr>
          <w:shd w:val="clear" w:color="auto" w:fill="FFFFFF"/>
        </w:rPr>
        <w:t xml:space="preserve">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9F3BA0">
        <w:rPr>
          <w:rFonts w:cs="Arial"/>
          <w:spacing w:val="-3"/>
        </w:rPr>
        <w:t>7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9F3BA0">
        <w:rPr>
          <w:rFonts w:cs="Arial"/>
          <w:spacing w:val="-3"/>
        </w:rPr>
        <w:t>8,9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</w:t>
      </w:r>
      <w:r w:rsidR="00701D51" w:rsidRPr="006F4D10">
        <w:rPr>
          <w:rFonts w:cs="Arial"/>
          <w:color w:val="000000" w:themeColor="text1"/>
          <w:spacing w:val="-3"/>
        </w:rPr>
        <w:t xml:space="preserve">wobec odpowiednio </w:t>
      </w:r>
      <w:r w:rsidR="001C3584" w:rsidRPr="006F4D10">
        <w:rPr>
          <w:rFonts w:cs="Arial"/>
          <w:color w:val="000000" w:themeColor="text1"/>
          <w:spacing w:val="-3"/>
        </w:rPr>
        <w:t>5,</w:t>
      </w:r>
      <w:r w:rsidR="006F4D10" w:rsidRPr="006F4D10">
        <w:rPr>
          <w:rFonts w:cs="Arial"/>
          <w:color w:val="000000" w:themeColor="text1"/>
          <w:spacing w:val="-3"/>
        </w:rPr>
        <w:t>6</w:t>
      </w:r>
      <w:r w:rsidR="00185BAA" w:rsidRPr="006F4D10">
        <w:rPr>
          <w:rFonts w:cs="Arial"/>
          <w:color w:val="000000" w:themeColor="text1"/>
          <w:spacing w:val="-3"/>
        </w:rPr>
        <w:t xml:space="preserve">% i </w:t>
      </w:r>
      <w:r w:rsidR="006F4D10" w:rsidRPr="006F4D10">
        <w:rPr>
          <w:rFonts w:cs="Arial"/>
          <w:color w:val="000000" w:themeColor="text1"/>
          <w:spacing w:val="-3"/>
        </w:rPr>
        <w:t>7,9</w:t>
      </w:r>
      <w:r w:rsidR="00185BAA" w:rsidRPr="006F4D10">
        <w:rPr>
          <w:rFonts w:cs="Arial"/>
          <w:color w:val="000000" w:themeColor="text1"/>
          <w:spacing w:val="-3"/>
        </w:rPr>
        <w:t>%</w:t>
      </w:r>
      <w:r w:rsidR="00701D51" w:rsidRPr="006F4D10">
        <w:rPr>
          <w:rFonts w:cs="Arial"/>
          <w:color w:val="000000" w:themeColor="text1"/>
          <w:spacing w:val="-3"/>
        </w:rPr>
        <w:t xml:space="preserve"> </w:t>
      </w:r>
      <w:r w:rsidR="00F0780F">
        <w:rPr>
          <w:rFonts w:cs="Arial"/>
          <w:color w:val="000000" w:themeColor="text1"/>
          <w:spacing w:val="-3"/>
        </w:rPr>
        <w:t>po sześciu miesiącach</w:t>
      </w:r>
      <w:r w:rsidR="001C3584" w:rsidRPr="006F4D10">
        <w:rPr>
          <w:rFonts w:cs="Arial"/>
          <w:color w:val="000000" w:themeColor="text1"/>
          <w:spacing w:val="-3"/>
        </w:rPr>
        <w:t xml:space="preserve"> </w:t>
      </w:r>
      <w:r w:rsidR="00036E65" w:rsidRPr="006F4D10">
        <w:rPr>
          <w:rFonts w:cs="Arial"/>
          <w:color w:val="000000" w:themeColor="text1"/>
          <w:spacing w:val="-3"/>
        </w:rPr>
        <w:t>2017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E24517">
        <w:rPr>
          <w:rFonts w:cs="Arial"/>
          <w:color w:val="000000"/>
        </w:rPr>
        <w:t>79,2</w:t>
      </w:r>
      <w:r w:rsidR="001C3584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E24517">
        <w:rPr>
          <w:rFonts w:cs="Arial"/>
          <w:color w:val="000000"/>
        </w:rPr>
        <w:t>22</w:t>
      </w:r>
      <w:r w:rsidR="00D12F60">
        <w:rPr>
          <w:rFonts w:cs="Arial"/>
          <w:color w:val="000000"/>
        </w:rPr>
        <w:t>,</w:t>
      </w:r>
      <w:r w:rsidR="00E24517">
        <w:rPr>
          <w:rFonts w:cs="Arial"/>
          <w:color w:val="000000"/>
        </w:rPr>
        <w:t>9</w:t>
      </w:r>
      <w:r w:rsidR="001C3584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06579B">
        <w:rPr>
          <w:rFonts w:cs="Arial"/>
          <w:spacing w:val="-3"/>
        </w:rPr>
        <w:t>18,9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351B8D">
        <w:rPr>
          <w:rFonts w:cs="Arial"/>
          <w:spacing w:val="-3"/>
        </w:rPr>
        <w:t>15,0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(minus </w:t>
      </w:r>
      <w:r w:rsidR="00351B8D">
        <w:rPr>
          <w:rFonts w:cs="Arial"/>
          <w:spacing w:val="-3"/>
        </w:rPr>
        <w:t>4,3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351B8D">
        <w:rPr>
          <w:rFonts w:cs="Arial"/>
          <w:color w:val="000000"/>
        </w:rPr>
        <w:t>3,6</w:t>
      </w:r>
      <w:r w:rsidR="001C3584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710704">
        <w:rPr>
          <w:rFonts w:cs="Arial"/>
          <w:color w:val="000000"/>
        </w:rPr>
        <w:t>89,0</w:t>
      </w:r>
      <w:r w:rsidR="00D12F60">
        <w:t> </w:t>
      </w:r>
      <w:r w:rsidRPr="00D12F60">
        <w:t>ml</w:t>
      </w:r>
      <w:r w:rsidR="00F70DA2" w:rsidRPr="00D12F60">
        <w:t>d</w:t>
      </w:r>
      <w:r w:rsidR="00D12F60">
        <w:rPr>
          <w:rFonts w:cs="Arial"/>
          <w:spacing w:val="-3"/>
        </w:rPr>
        <w:t> </w:t>
      </w:r>
      <w:r w:rsidRPr="008720A0">
        <w:rPr>
          <w:rFonts w:cs="Arial"/>
          <w:spacing w:val="-3"/>
        </w:rPr>
        <w:t>zł (</w:t>
      </w:r>
      <w:r w:rsidR="00710704">
        <w:rPr>
          <w:rFonts w:cs="Arial"/>
          <w:spacing w:val="-3"/>
        </w:rPr>
        <w:t>25,7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06579B">
        <w:rPr>
          <w:rFonts w:cs="Arial"/>
          <w:color w:val="000000"/>
        </w:rPr>
        <w:t>21,2</w:t>
      </w:r>
      <w:r w:rsidR="00710704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390EF4">
        <w:rPr>
          <w:rFonts w:cs="Arial"/>
          <w:color w:val="000000"/>
        </w:rPr>
        <w:t>92,3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1D18E8">
        <w:rPr>
          <w:rFonts w:cs="Arial"/>
          <w:spacing w:val="-3"/>
        </w:rPr>
        <w:t>26,7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1D18E8">
        <w:rPr>
          <w:rFonts w:cs="Arial"/>
          <w:color w:val="000000"/>
        </w:rPr>
        <w:t>22,0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114BB7" w:rsidRDefault="00114BB7" w:rsidP="002D45CF">
      <w:pPr>
        <w:rPr>
          <w:rFonts w:cs="Arial"/>
          <w:b/>
          <w:spacing w:val="-3"/>
          <w:sz w:val="18"/>
          <w:szCs w:val="18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lastRenderedPageBreak/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843B8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7E11F4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C77A24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FF29C2" w:rsidRPr="00E33A76" w:rsidTr="00B2535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C77A24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DE2D1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E2D12">
              <w:rPr>
                <w:rFonts w:cs="Arial"/>
                <w:sz w:val="16"/>
                <w:szCs w:val="16"/>
              </w:rPr>
              <w:t>V</w:t>
            </w:r>
            <w:r w:rsidR="00C77A24">
              <w:rPr>
                <w:rFonts w:cs="Arial"/>
                <w:sz w:val="16"/>
                <w:szCs w:val="16"/>
              </w:rPr>
              <w:t>I</w:t>
            </w:r>
            <w:r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E33A76" w:rsidRPr="00E33A76" w:rsidTr="00B2535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FF29C2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</w:t>
            </w:r>
            <w:r w:rsidR="004B64A7" w:rsidRPr="00673305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452,5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130,7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107,6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103,3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119,7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105,7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100,0</w:t>
            </w:r>
          </w:p>
        </w:tc>
      </w:tr>
      <w:tr w:rsidR="00247475" w:rsidRPr="00E33A76" w:rsidTr="00247475">
        <w:trPr>
          <w:trHeight w:val="35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394,3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113,9</w:t>
            </w:r>
          </w:p>
        </w:tc>
        <w:tc>
          <w:tcPr>
            <w:tcW w:w="717" w:type="dxa"/>
            <w:vAlign w:val="center"/>
          </w:tcPr>
          <w:p w:rsidR="00247475" w:rsidRPr="00247475" w:rsidRDefault="00CD7C95" w:rsidP="00247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103,6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120,0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106,0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86,9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87,1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363,6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105,1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86,5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103,7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120,2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106,1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80,0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80,3</w:t>
            </w:r>
          </w:p>
        </w:tc>
      </w:tr>
      <w:tr w:rsidR="00247475" w:rsidRPr="00E33A76" w:rsidTr="00247475">
        <w:trPr>
          <w:trHeight w:val="270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261,8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75,6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62,3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104,7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121,3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107,1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57,1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57,8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32,6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9,4</w:t>
            </w:r>
          </w:p>
        </w:tc>
        <w:tc>
          <w:tcPr>
            <w:tcW w:w="717" w:type="dxa"/>
            <w:vAlign w:val="center"/>
          </w:tcPr>
          <w:p w:rsidR="00247475" w:rsidRPr="00247475" w:rsidRDefault="00CD7C95" w:rsidP="00247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99,4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115,0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101,6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7,5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7,2</w:t>
            </w:r>
          </w:p>
        </w:tc>
      </w:tr>
      <w:tr w:rsidR="00247475" w:rsidRPr="00E33A76" w:rsidTr="00247475">
        <w:trPr>
          <w:trHeight w:val="308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25,6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7,4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6,1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104,2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120,3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106,4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5,6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5,7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A00ADB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457,7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132,2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108,8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105,5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122,1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107,9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100,0</w:t>
            </w:r>
          </w:p>
        </w:tc>
      </w:tr>
      <w:tr w:rsidR="00247475" w:rsidRPr="00E33A76" w:rsidTr="00247475">
        <w:trPr>
          <w:trHeight w:val="35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305,3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88,2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72,6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103,8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120,2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106,2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67,7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66,7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271,3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78,4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64,5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103,5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119,8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105,8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60,4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59,3</w:t>
            </w:r>
          </w:p>
        </w:tc>
      </w:tr>
      <w:tr w:rsidR="00247475" w:rsidRPr="00E33A76" w:rsidTr="00247475">
        <w:trPr>
          <w:trHeight w:val="35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218,0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63,0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51,8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104,2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120,7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106,6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48,2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47,6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111,8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32,3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26,6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105,8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122,5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108,2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24,4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24,4</w:t>
            </w:r>
          </w:p>
        </w:tc>
      </w:tr>
      <w:tr w:rsidR="00247475" w:rsidRPr="00E33A76" w:rsidTr="00247475">
        <w:trPr>
          <w:trHeight w:val="355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40,6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9,6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119,0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137,9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121,8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7,9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8,9</w:t>
            </w:r>
          </w:p>
        </w:tc>
      </w:tr>
      <w:tr w:rsidR="00247475" w:rsidRPr="00247475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-5,2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-1,5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-1,2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b/>
                <w:sz w:val="16"/>
                <w:szCs w:val="16"/>
              </w:rPr>
            </w:pPr>
            <w:r w:rsidRPr="00247475">
              <w:rPr>
                <w:b/>
                <w:sz w:val="16"/>
                <w:szCs w:val="16"/>
              </w:rPr>
              <w:t>X</w:t>
            </w:r>
          </w:p>
        </w:tc>
      </w:tr>
      <w:tr w:rsidR="00247475" w:rsidRPr="00E33A76" w:rsidTr="00247475">
        <w:trPr>
          <w:trHeight w:val="35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89,0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25,7</w:t>
            </w:r>
          </w:p>
        </w:tc>
        <w:tc>
          <w:tcPr>
            <w:tcW w:w="717" w:type="dxa"/>
            <w:vAlign w:val="center"/>
          </w:tcPr>
          <w:p w:rsidR="00247475" w:rsidRPr="00247475" w:rsidRDefault="00CD7C95" w:rsidP="00247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92,3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26,7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22,0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</w:tr>
      <w:tr w:rsidR="00247475" w:rsidRPr="00E33A76" w:rsidTr="00247475">
        <w:trPr>
          <w:trHeight w:val="35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43,8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12,6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10,5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</w:tr>
      <w:tr w:rsidR="00247475" w:rsidRPr="00E33A76" w:rsidTr="00247475">
        <w:trPr>
          <w:trHeight w:val="342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-79,2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-22,9</w:t>
            </w:r>
          </w:p>
        </w:tc>
        <w:tc>
          <w:tcPr>
            <w:tcW w:w="717" w:type="dxa"/>
            <w:vAlign w:val="center"/>
          </w:tcPr>
          <w:p w:rsidR="00247475" w:rsidRPr="00247475" w:rsidRDefault="00CD7C95" w:rsidP="00247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-18,9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</w:tr>
      <w:tr w:rsidR="00247475" w:rsidRPr="00E33A76" w:rsidTr="00247475">
        <w:trPr>
          <w:trHeight w:val="258"/>
        </w:trPr>
        <w:tc>
          <w:tcPr>
            <w:tcW w:w="2552" w:type="dxa"/>
            <w:vAlign w:val="center"/>
          </w:tcPr>
          <w:p w:rsidR="00247475" w:rsidRPr="00E33A76" w:rsidRDefault="00247475" w:rsidP="00247475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-15,0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-4,3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-3,5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247475" w:rsidRPr="00247475" w:rsidRDefault="00247475" w:rsidP="00247475">
            <w:pPr>
              <w:jc w:val="right"/>
              <w:rPr>
                <w:sz w:val="16"/>
                <w:szCs w:val="16"/>
              </w:rPr>
            </w:pPr>
            <w:r w:rsidRPr="00247475">
              <w:rPr>
                <w:sz w:val="16"/>
                <w:szCs w:val="16"/>
              </w:rPr>
              <w:t>X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5250815</wp:posOffset>
                </wp:positionH>
                <wp:positionV relativeFrom="paragraph">
                  <wp:posOffset>128270</wp:posOffset>
                </wp:positionV>
                <wp:extent cx="1680210" cy="1257935"/>
                <wp:effectExtent l="0" t="0" r="0" b="0"/>
                <wp:wrapTight wrapText="bothSides">
                  <wp:wrapPolygon edited="0">
                    <wp:start x="735" y="0"/>
                    <wp:lineTo x="735" y="21262"/>
                    <wp:lineTo x="20816" y="21262"/>
                    <wp:lineTo x="20816" y="0"/>
                    <wp:lineTo x="73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345F7C">
                            <w:pPr>
                              <w:pStyle w:val="tekstzboku"/>
                            </w:pPr>
                            <w:r>
                              <w:t xml:space="preserve">Wśród głównych partnerów handlowych </w:t>
                            </w:r>
                            <w:r w:rsidR="005375A6">
                              <w:t>Polski odnotowano</w:t>
                            </w:r>
                            <w:r>
                              <w:t xml:space="preserve"> w eksporcie spadek obrotów do </w:t>
                            </w:r>
                            <w:r w:rsidR="005375A6">
                              <w:t>Włoch i W. Brytanii</w:t>
                            </w: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Default="007D13C0" w:rsidP="00345F7C">
                            <w:pPr>
                              <w:pStyle w:val="tekstzboku"/>
                            </w:pPr>
                          </w:p>
                          <w:p w:rsidR="007D13C0" w:rsidRPr="00074DD8" w:rsidRDefault="007D13C0" w:rsidP="00345F7C">
                            <w:pPr>
                              <w:pStyle w:val="tekstzboku"/>
                            </w:pPr>
                          </w:p>
                          <w:p w:rsidR="007D13C0" w:rsidRPr="00D616D2" w:rsidRDefault="007D13C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45pt;margin-top:10.1pt;width:132.3pt;height:99.0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AlEgIAAP8D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" filled="f" stroked="f">
                <v:textbox>
                  <w:txbxContent>
                    <w:p w:rsidR="007D13C0" w:rsidRDefault="007D13C0" w:rsidP="00345F7C">
                      <w:pPr>
                        <w:pStyle w:val="tekstzboku"/>
                      </w:pPr>
                      <w:r>
                        <w:t xml:space="preserve">Wśród głównych partnerów handlowych </w:t>
                      </w:r>
                      <w:r w:rsidR="005375A6">
                        <w:t>Polski odnotowano</w:t>
                      </w:r>
                      <w:r>
                        <w:t xml:space="preserve"> w eksporcie spadek obrotów do </w:t>
                      </w:r>
                      <w:r w:rsidR="005375A6">
                        <w:t>Włoch i W. Brytanii</w:t>
                      </w: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Default="007D13C0" w:rsidP="00345F7C">
                      <w:pPr>
                        <w:pStyle w:val="tekstzboku"/>
                      </w:pPr>
                    </w:p>
                    <w:p w:rsidR="007D13C0" w:rsidRPr="00074DD8" w:rsidRDefault="007D13C0" w:rsidP="00345F7C">
                      <w:pPr>
                        <w:pStyle w:val="tekstzboku"/>
                      </w:pPr>
                    </w:p>
                    <w:p w:rsidR="007D13C0" w:rsidRPr="00D616D2" w:rsidRDefault="007D13C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2F362F">
        <w:rPr>
          <w:rFonts w:cs="Arial"/>
        </w:rPr>
        <w:t>okresie styczeń – czerwiec</w:t>
      </w:r>
      <w:r w:rsidR="0089134A">
        <w:rPr>
          <w:rFonts w:cs="Arial"/>
        </w:rPr>
        <w:t xml:space="preserve"> </w:t>
      </w:r>
      <w:r w:rsidR="00490CCF" w:rsidRPr="00951F4F">
        <w:rPr>
          <w:rFonts w:cs="Arial"/>
          <w:szCs w:val="19"/>
        </w:rPr>
        <w:t>b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6E4FFD">
        <w:rPr>
          <w:rFonts w:cs="Arial"/>
          <w:szCs w:val="19"/>
        </w:rPr>
        <w:t xml:space="preserve">Rosji, </w:t>
      </w:r>
      <w:r w:rsidR="0021516D">
        <w:rPr>
          <w:rFonts w:cs="Arial"/>
          <w:szCs w:val="19"/>
        </w:rPr>
        <w:t xml:space="preserve">Niemiec, </w:t>
      </w:r>
      <w:r w:rsidR="00824808">
        <w:rPr>
          <w:rFonts w:cs="Arial"/>
          <w:szCs w:val="19"/>
        </w:rPr>
        <w:t xml:space="preserve">Stanów Zjednoczonych, </w:t>
      </w:r>
      <w:r w:rsidR="0021516D">
        <w:rPr>
          <w:rFonts w:cs="Arial"/>
          <w:szCs w:val="19"/>
        </w:rPr>
        <w:t>Francji,</w:t>
      </w:r>
      <w:r w:rsidR="0021516D" w:rsidRPr="00951F4F">
        <w:rPr>
          <w:rFonts w:cs="Arial"/>
          <w:szCs w:val="19"/>
        </w:rPr>
        <w:t xml:space="preserve"> </w:t>
      </w:r>
      <w:r w:rsidR="0021516D">
        <w:rPr>
          <w:rFonts w:cs="Arial"/>
          <w:szCs w:val="19"/>
        </w:rPr>
        <w:t>Holandii,</w:t>
      </w:r>
      <w:r w:rsidR="0021516D" w:rsidRPr="00951F4F">
        <w:rPr>
          <w:rFonts w:cs="Arial"/>
          <w:szCs w:val="19"/>
        </w:rPr>
        <w:t xml:space="preserve"> </w:t>
      </w:r>
      <w:r w:rsidR="00951F4F" w:rsidRPr="00951F4F">
        <w:rPr>
          <w:rFonts w:cs="Arial"/>
          <w:szCs w:val="19"/>
        </w:rPr>
        <w:t>Szwecji</w:t>
      </w:r>
      <w:r w:rsidR="0021516D">
        <w:rPr>
          <w:rFonts w:cs="Arial"/>
          <w:szCs w:val="19"/>
        </w:rPr>
        <w:t xml:space="preserve">, </w:t>
      </w:r>
      <w:r w:rsidR="00824808">
        <w:rPr>
          <w:rFonts w:cs="Arial"/>
          <w:szCs w:val="19"/>
        </w:rPr>
        <w:t>Hiszpanii</w:t>
      </w:r>
      <w:r w:rsidR="0021516D">
        <w:rPr>
          <w:rFonts w:cs="Arial"/>
          <w:szCs w:val="19"/>
        </w:rPr>
        <w:t xml:space="preserve"> oraz Czech</w:t>
      </w:r>
      <w:r w:rsidR="0089134A">
        <w:rPr>
          <w:rFonts w:cs="Arial"/>
          <w:szCs w:val="19"/>
        </w:rPr>
        <w:t>,</w:t>
      </w:r>
      <w:r w:rsidR="00951F4F" w:rsidRPr="00951F4F">
        <w:rPr>
          <w:rFonts w:cs="Arial"/>
          <w:szCs w:val="19"/>
        </w:rPr>
        <w:t xml:space="preserve"> a importu – </w:t>
      </w:r>
      <w:r w:rsidR="00F136D9" w:rsidRPr="00951F4F">
        <w:rPr>
          <w:rFonts w:cs="Arial"/>
          <w:szCs w:val="19"/>
        </w:rPr>
        <w:t>ze Stanów Zjednoczonych</w:t>
      </w:r>
      <w:r w:rsidR="00F136D9">
        <w:rPr>
          <w:rFonts w:cs="Arial"/>
          <w:szCs w:val="19"/>
        </w:rPr>
        <w:t xml:space="preserve">, </w:t>
      </w:r>
      <w:r w:rsidR="00951F4F" w:rsidRPr="00951F4F">
        <w:rPr>
          <w:rFonts w:cs="Arial"/>
          <w:szCs w:val="19"/>
        </w:rPr>
        <w:t xml:space="preserve">z Rosji, </w:t>
      </w:r>
      <w:r w:rsidR="00D37998">
        <w:rPr>
          <w:rFonts w:cs="Arial"/>
          <w:szCs w:val="19"/>
        </w:rPr>
        <w:t xml:space="preserve">Hiszpanii, </w:t>
      </w:r>
      <w:r w:rsidR="00824808">
        <w:rPr>
          <w:rFonts w:cs="Arial"/>
          <w:szCs w:val="19"/>
        </w:rPr>
        <w:t xml:space="preserve">Niemiec, </w:t>
      </w:r>
      <w:r w:rsidR="00F136D9">
        <w:rPr>
          <w:rFonts w:cs="Arial"/>
          <w:szCs w:val="19"/>
        </w:rPr>
        <w:t xml:space="preserve">Francji, </w:t>
      </w:r>
      <w:r w:rsidR="0021516D">
        <w:t>Belgii,</w:t>
      </w:r>
      <w:r w:rsidR="0021516D" w:rsidRPr="00722DDE">
        <w:t xml:space="preserve"> </w:t>
      </w:r>
      <w:r w:rsidR="00824808" w:rsidRPr="00722DDE">
        <w:t>Holandii</w:t>
      </w:r>
      <w:r w:rsidR="0021516D">
        <w:t xml:space="preserve"> </w:t>
      </w:r>
      <w:r w:rsidR="00824808">
        <w:t>o</w:t>
      </w:r>
      <w:r w:rsidR="004E0FEC">
        <w:t>raz</w:t>
      </w:r>
      <w:r w:rsidR="00824808">
        <w:t xml:space="preserve"> Chin</w:t>
      </w:r>
      <w:r w:rsidRPr="00951F4F">
        <w:rPr>
          <w:rFonts w:cs="Arial"/>
          <w:szCs w:val="19"/>
        </w:rPr>
        <w:t>.</w:t>
      </w:r>
    </w:p>
    <w:p w:rsidR="00345F7C" w:rsidRPr="00483835" w:rsidRDefault="00483835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 w:rsidR="00B76C0C">
        <w:rPr>
          <w:rFonts w:cs="Arial"/>
        </w:rPr>
        <w:t>w</w:t>
      </w:r>
      <w:r w:rsidRPr="00483835">
        <w:rPr>
          <w:rFonts w:cs="Arial"/>
        </w:rPr>
        <w:t xml:space="preserve"> ekspor</w:t>
      </w:r>
      <w:r w:rsidR="00B76C0C">
        <w:rPr>
          <w:rFonts w:cs="Arial"/>
        </w:rPr>
        <w:t xml:space="preserve">cie </w:t>
      </w:r>
      <w:r>
        <w:rPr>
          <w:rFonts w:cs="Arial"/>
        </w:rPr>
        <w:t>6</w:t>
      </w:r>
      <w:r w:rsidR="00F136D9">
        <w:rPr>
          <w:rFonts w:cs="Arial"/>
        </w:rPr>
        <w:t>6</w:t>
      </w:r>
      <w:r w:rsidR="00722DDE">
        <w:rPr>
          <w:rFonts w:cs="Arial"/>
        </w:rPr>
        <w:t>,</w:t>
      </w:r>
      <w:r w:rsidR="00747B06">
        <w:rPr>
          <w:rFonts w:cs="Arial"/>
        </w:rPr>
        <w:t>6</w:t>
      </w:r>
      <w:r w:rsidR="00B76C0C">
        <w:rPr>
          <w:rFonts w:cs="Arial"/>
        </w:rPr>
        <w:t>%</w:t>
      </w:r>
      <w:r w:rsidR="00177026">
        <w:rPr>
          <w:rFonts w:cs="Arial"/>
        </w:rPr>
        <w:t>, wobec 66,7% w  </w:t>
      </w:r>
      <w:r w:rsidR="00177026" w:rsidRPr="00483835">
        <w:rPr>
          <w:rFonts w:cs="Arial"/>
        </w:rPr>
        <w:t>analogicznym okresie ub. r.</w:t>
      </w:r>
      <w:r w:rsidRPr="00483835">
        <w:rPr>
          <w:rFonts w:cs="Arial"/>
        </w:rPr>
        <w:t xml:space="preserve">, a </w:t>
      </w:r>
      <w:r w:rsidR="00B76C0C">
        <w:rPr>
          <w:rFonts w:cs="Arial"/>
        </w:rPr>
        <w:t xml:space="preserve">w </w:t>
      </w:r>
      <w:r w:rsidRPr="00483835">
        <w:rPr>
          <w:rFonts w:cs="Arial"/>
        </w:rPr>
        <w:t>impor</w:t>
      </w:r>
      <w:r w:rsidR="00B76C0C"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>
        <w:rPr>
          <w:rFonts w:cs="Arial"/>
        </w:rPr>
        <w:t>65,</w:t>
      </w:r>
      <w:r w:rsidR="00747B06">
        <w:rPr>
          <w:rFonts w:cs="Arial"/>
        </w:rPr>
        <w:t>3</w:t>
      </w:r>
      <w:r w:rsidRPr="00483835">
        <w:rPr>
          <w:rFonts w:cs="Arial"/>
        </w:rPr>
        <w:t xml:space="preserve">% (wobec </w:t>
      </w:r>
      <w:r>
        <w:rPr>
          <w:rFonts w:cs="Arial"/>
        </w:rPr>
        <w:t>6</w:t>
      </w:r>
      <w:r w:rsidR="00747B06">
        <w:rPr>
          <w:rFonts w:cs="Arial"/>
        </w:rPr>
        <w:t>5,4</w:t>
      </w:r>
      <w:r w:rsidRPr="00483835">
        <w:rPr>
          <w:rFonts w:cs="Arial"/>
        </w:rPr>
        <w:t xml:space="preserve">% w </w:t>
      </w:r>
      <w:r w:rsidR="006A02A8">
        <w:rPr>
          <w:rFonts w:cs="Arial"/>
        </w:rPr>
        <w:t xml:space="preserve">okresie sześciu miesięcy </w:t>
      </w:r>
      <w:r w:rsidRPr="00483835">
        <w:rPr>
          <w:rFonts w:cs="Arial"/>
        </w:rPr>
        <w:t>201</w:t>
      </w:r>
      <w:r>
        <w:rPr>
          <w:rFonts w:cs="Arial"/>
        </w:rPr>
        <w:t>7</w:t>
      </w:r>
      <w:r w:rsidRPr="00483835">
        <w:rPr>
          <w:rFonts w:cs="Arial"/>
        </w:rPr>
        <w:t xml:space="preserve"> r.).</w:t>
      </w:r>
    </w:p>
    <w:p w:rsidR="00490CCF" w:rsidRPr="000B7003" w:rsidRDefault="00F136D9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 xml:space="preserve">w porównaniu z analogicznym okresem ub. r.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 w:rsidR="00DC48DF">
        <w:rPr>
          <w:rFonts w:cs="Arial"/>
          <w:szCs w:val="19"/>
        </w:rPr>
        <w:t>7</w:t>
      </w:r>
      <w:r w:rsidRPr="00483835">
        <w:rPr>
          <w:rFonts w:cs="Arial"/>
          <w:szCs w:val="19"/>
        </w:rPr>
        <w:t> p. proc. i wyniósł 2</w:t>
      </w:r>
      <w:r>
        <w:rPr>
          <w:rFonts w:cs="Arial"/>
          <w:szCs w:val="19"/>
        </w:rPr>
        <w:t>7</w:t>
      </w:r>
      <w:r w:rsidRPr="00483835">
        <w:rPr>
          <w:rFonts w:cs="Arial"/>
          <w:szCs w:val="19"/>
        </w:rPr>
        <w:t>,</w:t>
      </w:r>
      <w:r w:rsidR="00DC48DF">
        <w:rPr>
          <w:rFonts w:cs="Arial"/>
          <w:szCs w:val="19"/>
        </w:rPr>
        <w:t>9</w:t>
      </w:r>
      <w:r w:rsidRPr="00483835">
        <w:rPr>
          <w:rFonts w:cs="Arial"/>
          <w:szCs w:val="19"/>
        </w:rPr>
        <w:t>%,</w:t>
      </w:r>
      <w:r w:rsidR="00C77C4A" w:rsidRPr="00483835">
        <w:rPr>
          <w:rFonts w:cs="Arial"/>
          <w:szCs w:val="19"/>
        </w:rPr>
        <w:t xml:space="preserve"> a w imporcie </w:t>
      </w:r>
      <w:r w:rsidR="00722DDE">
        <w:rPr>
          <w:rFonts w:cs="Arial"/>
          <w:szCs w:val="19"/>
        </w:rPr>
        <w:t xml:space="preserve">obniżył się </w:t>
      </w:r>
      <w:r w:rsidR="00C77C4A" w:rsidRPr="00483835">
        <w:rPr>
          <w:rFonts w:cs="Arial"/>
          <w:szCs w:val="19"/>
        </w:rPr>
        <w:t>o 0,</w:t>
      </w:r>
      <w:r w:rsidR="00DC48DF">
        <w:rPr>
          <w:rFonts w:cs="Arial"/>
          <w:szCs w:val="19"/>
        </w:rPr>
        <w:t>1</w:t>
      </w:r>
      <w:r w:rsidR="00C77C4A" w:rsidRPr="00483835">
        <w:rPr>
          <w:rFonts w:cs="Arial"/>
          <w:szCs w:val="19"/>
        </w:rPr>
        <w:t xml:space="preserve"> p. proc</w:t>
      </w:r>
      <w:r w:rsidR="00116471">
        <w:rPr>
          <w:rFonts w:cs="Arial"/>
          <w:szCs w:val="19"/>
        </w:rPr>
        <w:t>.</w:t>
      </w:r>
      <w:r w:rsidR="00C77C4A" w:rsidRPr="00483835">
        <w:rPr>
          <w:rFonts w:cs="Arial"/>
          <w:szCs w:val="19"/>
        </w:rPr>
        <w:t xml:space="preserve"> i stanowił 2</w:t>
      </w:r>
      <w:r w:rsidR="00722DDE">
        <w:rPr>
          <w:rFonts w:cs="Arial"/>
          <w:szCs w:val="19"/>
        </w:rPr>
        <w:t>2,</w:t>
      </w:r>
      <w:r w:rsidR="00DC48DF">
        <w:rPr>
          <w:rFonts w:cs="Arial"/>
          <w:szCs w:val="19"/>
        </w:rPr>
        <w:t>8</w:t>
      </w:r>
      <w:r w:rsidR="00C77C4A" w:rsidRPr="00483835">
        <w:rPr>
          <w:rFonts w:cs="Arial"/>
          <w:szCs w:val="19"/>
        </w:rPr>
        <w:t xml:space="preserve">%. Dodatnie saldo wyniosło </w:t>
      </w:r>
      <w:r w:rsidR="00772AD7">
        <w:rPr>
          <w:rFonts w:cs="Arial"/>
          <w:szCs w:val="19"/>
        </w:rPr>
        <w:t>22,1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772AD7">
        <w:rPr>
          <w:rFonts w:cs="Arial"/>
          <w:szCs w:val="19"/>
        </w:rPr>
        <w:t>6,4</w:t>
      </w:r>
      <w:r w:rsidR="00F70DA2" w:rsidRPr="00483835">
        <w:rPr>
          <w:rFonts w:cs="Arial"/>
          <w:szCs w:val="19"/>
        </w:rPr>
        <w:t xml:space="preserve"> mld</w:t>
      </w:r>
      <w:r w:rsidR="00C77C4A" w:rsidRPr="00483835">
        <w:rPr>
          <w:rFonts w:cs="Arial"/>
          <w:szCs w:val="19"/>
        </w:rPr>
        <w:t xml:space="preserve"> USD</w:t>
      </w:r>
      <w:r w:rsidR="00C77C4A" w:rsidRPr="00797CEA">
        <w:rPr>
          <w:rFonts w:cs="Arial"/>
          <w:szCs w:val="19"/>
        </w:rPr>
        <w:t xml:space="preserve">, </w:t>
      </w:r>
      <w:r w:rsidR="004A017B">
        <w:rPr>
          <w:rFonts w:cs="Arial"/>
          <w:szCs w:val="19"/>
        </w:rPr>
        <w:t>5,3</w:t>
      </w:r>
      <w:r w:rsidR="00AF6C4B" w:rsidRPr="00797CEA">
        <w:rPr>
          <w:rFonts w:cs="Arial"/>
          <w:szCs w:val="19"/>
        </w:rPr>
        <w:t xml:space="preserve"> </w:t>
      </w:r>
      <w:r w:rsidR="00C77C4A" w:rsidRPr="00797CEA">
        <w:rPr>
          <w:rFonts w:cs="Arial"/>
          <w:szCs w:val="19"/>
        </w:rPr>
        <w:t>ml</w:t>
      </w:r>
      <w:r w:rsidR="00F70DA2" w:rsidRPr="00797CEA">
        <w:rPr>
          <w:rFonts w:cs="Arial"/>
          <w:szCs w:val="19"/>
        </w:rPr>
        <w:t>d</w:t>
      </w:r>
      <w:r w:rsidR="00C77C4A" w:rsidRPr="00797CEA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 xml:space="preserve">EUR) wobec </w:t>
      </w:r>
      <w:r w:rsidR="00512AAE">
        <w:rPr>
          <w:rFonts w:cs="Arial"/>
          <w:szCs w:val="19"/>
        </w:rPr>
        <w:t>1</w:t>
      </w:r>
      <w:r w:rsidR="009B7EEB">
        <w:rPr>
          <w:rFonts w:cs="Arial"/>
          <w:szCs w:val="19"/>
        </w:rPr>
        <w:t>9</w:t>
      </w:r>
      <w:r w:rsidR="00512AAE">
        <w:rPr>
          <w:rFonts w:cs="Arial"/>
          <w:szCs w:val="19"/>
        </w:rPr>
        <w:t>,</w:t>
      </w:r>
      <w:r w:rsidR="009B7EEB">
        <w:rPr>
          <w:rFonts w:cs="Arial"/>
          <w:szCs w:val="19"/>
        </w:rPr>
        <w:t>5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9B7EEB">
        <w:rPr>
          <w:rFonts w:cs="Arial"/>
          <w:szCs w:val="19"/>
        </w:rPr>
        <w:t>4,8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USD, </w:t>
      </w:r>
      <w:r w:rsidR="009B7EEB">
        <w:rPr>
          <w:rFonts w:cs="Arial"/>
          <w:szCs w:val="19"/>
        </w:rPr>
        <w:t>4,5</w:t>
      </w:r>
      <w:r w:rsidR="00F70DA2" w:rsidRPr="00483835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>w analogicznym okresie ub. r.</w:t>
      </w: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lastRenderedPageBreak/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Obroty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5322339</wp:posOffset>
                </wp:positionH>
                <wp:positionV relativeFrom="paragraph">
                  <wp:posOffset>4407824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Pr="00FF1498" w:rsidRDefault="007D13C0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r.    </w:t>
                            </w:r>
                            <w:r w:rsidRPr="004E32D8">
                              <w:t>o</w:t>
                            </w:r>
                            <w:r>
                              <w:t xml:space="preserve"> </w:t>
                            </w:r>
                            <w:r w:rsidRPr="004E32D8">
                              <w:t>0</w:t>
                            </w:r>
                            <w:r w:rsidR="008A157F">
                              <w:rPr>
                                <w:rFonts w:cs="Arial"/>
                              </w:rPr>
                              <w:t>,7</w:t>
                            </w:r>
                            <w:r>
                              <w:rPr>
                                <w:rFonts w:cs="Arial"/>
                              </w:rPr>
                              <w:t xml:space="preserve"> p. proc. i stanowił 7,1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Default="007D13C0" w:rsidP="00A00ADB">
                            <w:pPr>
                              <w:pStyle w:val="tekstzboku"/>
                            </w:pPr>
                          </w:p>
                          <w:p w:rsidR="007D13C0" w:rsidRPr="00074DD8" w:rsidRDefault="007D13C0" w:rsidP="00A00ADB">
                            <w:pPr>
                              <w:pStyle w:val="tekstzboku"/>
                            </w:pPr>
                          </w:p>
                          <w:p w:rsidR="007D13C0" w:rsidRPr="00D616D2" w:rsidRDefault="007D13C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9.1pt;margin-top:347.05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" filled="f" stroked="f">
                <v:textbox>
                  <w:txbxContent>
                    <w:p w:rsidR="007D13C0" w:rsidRPr="00FF1498" w:rsidRDefault="007D13C0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r.    </w:t>
                      </w:r>
                      <w:r w:rsidRPr="004E32D8">
                        <w:t>o</w:t>
                      </w:r>
                      <w:r>
                        <w:t xml:space="preserve"> </w:t>
                      </w:r>
                      <w:r w:rsidRPr="004E32D8">
                        <w:t>0</w:t>
                      </w:r>
                      <w:r w:rsidR="008A157F">
                        <w:rPr>
                          <w:rFonts w:cs="Arial"/>
                        </w:rPr>
                        <w:t>,7</w:t>
                      </w:r>
                      <w:r>
                        <w:rPr>
                          <w:rFonts w:cs="Arial"/>
                        </w:rPr>
                        <w:t xml:space="preserve"> p. proc. i stanowił 7,1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Default="007D13C0" w:rsidP="00A00ADB">
                      <w:pPr>
                        <w:pStyle w:val="tekstzboku"/>
                      </w:pPr>
                    </w:p>
                    <w:p w:rsidR="007D13C0" w:rsidRPr="00074DD8" w:rsidRDefault="007D13C0" w:rsidP="00A00ADB">
                      <w:pPr>
                        <w:pStyle w:val="tekstzboku"/>
                      </w:pPr>
                    </w:p>
                    <w:p w:rsidR="007D13C0" w:rsidRPr="00D616D2" w:rsidRDefault="007D13C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2B1493">
              <w:rPr>
                <w:rFonts w:cs="Arial"/>
                <w:sz w:val="16"/>
                <w:szCs w:val="16"/>
              </w:rPr>
              <w:t>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FF29C2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2B1493">
              <w:rPr>
                <w:rFonts w:cs="Arial"/>
                <w:sz w:val="16"/>
                <w:szCs w:val="16"/>
              </w:rPr>
              <w:t>I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226D9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226D98">
              <w:rPr>
                <w:rFonts w:cs="Arial"/>
                <w:sz w:val="16"/>
                <w:szCs w:val="16"/>
              </w:rPr>
              <w:t>V</w:t>
            </w:r>
            <w:r w:rsidR="002B1493">
              <w:rPr>
                <w:rFonts w:cs="Arial"/>
                <w:sz w:val="16"/>
                <w:szCs w:val="16"/>
              </w:rPr>
              <w:t>I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FF29C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126,4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123,2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27,9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118,0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Szwecja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Stany Zjednoczone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122,9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2B1493" w:rsidRPr="00A4070A" w:rsidTr="007D13C0">
        <w:tc>
          <w:tcPr>
            <w:tcW w:w="2407" w:type="dxa"/>
            <w:vAlign w:val="bottom"/>
          </w:tcPr>
          <w:p w:rsidR="002B1493" w:rsidRPr="00366025" w:rsidRDefault="002B1493" w:rsidP="002B14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Hiszpania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B1493" w:rsidRPr="00A4070A" w:rsidRDefault="002B1493" w:rsidP="002B1493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70A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104,3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30,1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24,8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104,9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121,4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107,2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22,9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22,8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50,3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14,5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12,0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101,0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117,0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103,4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11,5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11,0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32,6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9,4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7,8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118,4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137,1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121,1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7,1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23,3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5,5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99,6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115,3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101,9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5,4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5,1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Francja 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17,6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5,1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4,2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103,4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119,7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105,7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3,8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17,4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5,0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4,1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102,6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118,9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104,9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3,8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15,8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4,6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3,8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98,5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114,1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100,8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3,7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3,5</w:t>
            </w:r>
          </w:p>
        </w:tc>
      </w:tr>
      <w:tr w:rsidR="00A4070A" w:rsidRPr="00366025" w:rsidTr="00A4070A">
        <w:tc>
          <w:tcPr>
            <w:tcW w:w="2407" w:type="dxa"/>
            <w:vAlign w:val="bottom"/>
          </w:tcPr>
          <w:p w:rsidR="00A4070A" w:rsidRPr="00366025" w:rsidRDefault="00A4070A" w:rsidP="00A4070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14,8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4,3</w:t>
            </w:r>
          </w:p>
        </w:tc>
        <w:tc>
          <w:tcPr>
            <w:tcW w:w="772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3,5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121,1</w:t>
            </w:r>
          </w:p>
        </w:tc>
        <w:tc>
          <w:tcPr>
            <w:tcW w:w="671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139,4</w:t>
            </w:r>
          </w:p>
        </w:tc>
        <w:tc>
          <w:tcPr>
            <w:tcW w:w="670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123,5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A4070A" w:rsidRPr="00A4070A" w:rsidRDefault="00A4070A" w:rsidP="00A4070A">
            <w:pPr>
              <w:jc w:val="right"/>
              <w:rPr>
                <w:sz w:val="16"/>
                <w:szCs w:val="16"/>
              </w:rPr>
            </w:pPr>
            <w:r w:rsidRPr="00A4070A">
              <w:rPr>
                <w:sz w:val="16"/>
                <w:szCs w:val="16"/>
              </w:rPr>
              <w:t>3,2</w:t>
            </w:r>
          </w:p>
        </w:tc>
      </w:tr>
      <w:tr w:rsidR="00A4070A" w:rsidRPr="00366025" w:rsidTr="00980AA6">
        <w:tc>
          <w:tcPr>
            <w:tcW w:w="2407" w:type="dxa"/>
            <w:vAlign w:val="bottom"/>
          </w:tcPr>
          <w:p w:rsidR="00A4070A" w:rsidRPr="00980AA6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80AA6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11,7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3,4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2,8</w:t>
            </w:r>
          </w:p>
        </w:tc>
        <w:tc>
          <w:tcPr>
            <w:tcW w:w="671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102,9</w:t>
            </w:r>
          </w:p>
        </w:tc>
        <w:tc>
          <w:tcPr>
            <w:tcW w:w="671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119,1</w:t>
            </w:r>
          </w:p>
        </w:tc>
        <w:tc>
          <w:tcPr>
            <w:tcW w:w="670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105,2</w:t>
            </w:r>
          </w:p>
        </w:tc>
        <w:tc>
          <w:tcPr>
            <w:tcW w:w="644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2,6</w:t>
            </w:r>
          </w:p>
        </w:tc>
      </w:tr>
      <w:tr w:rsidR="00A4070A" w:rsidRPr="00366025" w:rsidTr="00980AA6">
        <w:tc>
          <w:tcPr>
            <w:tcW w:w="2407" w:type="dxa"/>
            <w:vAlign w:val="bottom"/>
          </w:tcPr>
          <w:p w:rsidR="00A4070A" w:rsidRPr="00980AA6" w:rsidRDefault="00A4070A" w:rsidP="00A4070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980AA6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10,9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3,2</w:t>
            </w:r>
          </w:p>
        </w:tc>
        <w:tc>
          <w:tcPr>
            <w:tcW w:w="772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2,6</w:t>
            </w:r>
          </w:p>
        </w:tc>
        <w:tc>
          <w:tcPr>
            <w:tcW w:w="671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109,2</w:t>
            </w:r>
          </w:p>
        </w:tc>
        <w:tc>
          <w:tcPr>
            <w:tcW w:w="671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126,5</w:t>
            </w:r>
          </w:p>
        </w:tc>
        <w:tc>
          <w:tcPr>
            <w:tcW w:w="670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111,7</w:t>
            </w:r>
          </w:p>
        </w:tc>
        <w:tc>
          <w:tcPr>
            <w:tcW w:w="644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2,3</w:t>
            </w:r>
          </w:p>
        </w:tc>
        <w:tc>
          <w:tcPr>
            <w:tcW w:w="644" w:type="dxa"/>
            <w:vAlign w:val="bottom"/>
          </w:tcPr>
          <w:p w:rsidR="00A4070A" w:rsidRPr="00980AA6" w:rsidRDefault="00A4070A" w:rsidP="00980AA6">
            <w:pPr>
              <w:jc w:val="right"/>
              <w:rPr>
                <w:sz w:val="16"/>
                <w:szCs w:val="16"/>
              </w:rPr>
            </w:pPr>
            <w:r w:rsidRPr="00980AA6">
              <w:rPr>
                <w:sz w:val="16"/>
                <w:szCs w:val="16"/>
              </w:rPr>
              <w:t>2,4</w:t>
            </w:r>
          </w:p>
        </w:tc>
      </w:tr>
    </w:tbl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>
        <w:rPr>
          <w:rFonts w:cs="Arial"/>
          <w:spacing w:val="-3"/>
        </w:rPr>
        <w:t xml:space="preserve">Największy obrót towarowy w imporcie według kraju wysyłki Polska odnotowała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 xml:space="preserve">mi </w:t>
      </w:r>
      <w:r w:rsidRPr="003C6B82">
        <w:rPr>
          <w:rFonts w:cs="Arial"/>
        </w:rPr>
        <w:t>–</w:t>
      </w:r>
      <w:r>
        <w:rPr>
          <w:rFonts w:cs="Arial"/>
          <w:spacing w:val="-3"/>
        </w:rPr>
        <w:t xml:space="preserve"> </w:t>
      </w:r>
      <w:r w:rsidR="00284750">
        <w:rPr>
          <w:rFonts w:cs="Arial"/>
          <w:spacing w:val="-3"/>
        </w:rPr>
        <w:t>342,3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 tym </w:t>
      </w:r>
      <w:r>
        <w:rPr>
          <w:rFonts w:cs="Arial"/>
          <w:spacing w:val="-3"/>
        </w:rPr>
        <w:t xml:space="preserve">z </w:t>
      </w:r>
      <w:r w:rsidRPr="003C6B82">
        <w:rPr>
          <w:rFonts w:cs="Arial"/>
          <w:spacing w:val="-3"/>
        </w:rPr>
        <w:t>UE</w:t>
      </w:r>
      <w:r>
        <w:rPr>
          <w:rFonts w:cs="Arial"/>
          <w:spacing w:val="-3"/>
        </w:rPr>
        <w:t xml:space="preserve"> – </w:t>
      </w:r>
      <w:r w:rsidR="001A4F01">
        <w:rPr>
          <w:rFonts w:cs="Arial"/>
          <w:spacing w:val="-3"/>
        </w:rPr>
        <w:t>320,1</w:t>
      </w:r>
      <w:r w:rsidR="004921B7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>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A0699E">
        <w:rPr>
          <w:rFonts w:cs="Arial"/>
          <w:spacing w:val="-3"/>
        </w:rPr>
        <w:t>331,3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A0699E">
        <w:rPr>
          <w:rFonts w:cs="Arial"/>
          <w:spacing w:val="-3"/>
        </w:rPr>
        <w:t>310</w:t>
      </w:r>
      <w:r w:rsidR="00FF6881">
        <w:rPr>
          <w:rFonts w:cs="Arial"/>
          <w:spacing w:val="-3"/>
        </w:rPr>
        <w:t>,6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471416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0B7003" w:rsidRDefault="000B7003" w:rsidP="00366025">
      <w:pPr>
        <w:rPr>
          <w:shd w:val="clear" w:color="auto" w:fill="FFFFFF"/>
        </w:rPr>
      </w:pPr>
    </w:p>
    <w:p w:rsidR="00AE636C" w:rsidRPr="00BE1B11" w:rsidRDefault="0048231B" w:rsidP="00366025">
      <w:pPr>
        <w:rPr>
          <w:b/>
          <w:sz w:val="18"/>
          <w:szCs w:val="18"/>
          <w:shd w:val="clear" w:color="auto" w:fill="FFFFFF"/>
        </w:rPr>
      </w:pPr>
      <w:r w:rsidRPr="00BE1B11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BE1B11">
        <w:rPr>
          <w:rFonts w:cs="Arial"/>
          <w:b/>
          <w:spacing w:val="-3"/>
          <w:sz w:val="18"/>
          <w:szCs w:val="18"/>
        </w:rPr>
        <w:t>3</w:t>
      </w:r>
      <w:r w:rsidRPr="00BE1B11">
        <w:rPr>
          <w:rFonts w:cs="Arial"/>
          <w:b/>
          <w:spacing w:val="-3"/>
          <w:sz w:val="18"/>
          <w:szCs w:val="18"/>
        </w:rPr>
        <w:t xml:space="preserve">. </w:t>
      </w:r>
      <w:r w:rsidRPr="00BE1B11">
        <w:rPr>
          <w:b/>
          <w:sz w:val="18"/>
          <w:szCs w:val="18"/>
        </w:rPr>
        <w:t xml:space="preserve">Import według kraju wysyłki ogółem </w:t>
      </w:r>
      <w:r w:rsidR="00E44BC0" w:rsidRPr="00BE1B11">
        <w:rPr>
          <w:b/>
          <w:sz w:val="18"/>
          <w:szCs w:val="18"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A3677A" w:rsidTr="00075150">
        <w:trPr>
          <w:trHeight w:hRule="exact" w:val="340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A3677A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A3677A" w:rsidRDefault="0051165C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I</w:t>
            </w:r>
            <w:r w:rsidR="0013325B" w:rsidRPr="00A3677A">
              <w:rPr>
                <w:rFonts w:cs="Arial"/>
                <w:sz w:val="16"/>
                <w:szCs w:val="16"/>
              </w:rPr>
              <w:t xml:space="preserve"> – </w:t>
            </w:r>
            <w:r w:rsidR="00606763" w:rsidRPr="00A3677A">
              <w:rPr>
                <w:rFonts w:cs="Arial"/>
                <w:sz w:val="16"/>
                <w:szCs w:val="16"/>
              </w:rPr>
              <w:t>V</w:t>
            </w:r>
            <w:r w:rsidR="004A053A" w:rsidRPr="00A3677A">
              <w:rPr>
                <w:rFonts w:cs="Arial"/>
                <w:sz w:val="16"/>
                <w:szCs w:val="16"/>
              </w:rPr>
              <w:t>I</w:t>
            </w:r>
            <w:r w:rsidR="004E32D8" w:rsidRPr="00A3677A">
              <w:rPr>
                <w:rFonts w:cs="Arial"/>
                <w:sz w:val="16"/>
                <w:szCs w:val="16"/>
              </w:rPr>
              <w:t xml:space="preserve"> </w:t>
            </w:r>
            <w:r w:rsidRPr="00A3677A">
              <w:rPr>
                <w:rFonts w:cs="Arial"/>
                <w:sz w:val="16"/>
                <w:szCs w:val="16"/>
              </w:rPr>
              <w:t>201</w:t>
            </w:r>
            <w:r w:rsidR="00BE060A" w:rsidRPr="00A367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A3677A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201</w:t>
            </w:r>
            <w:r w:rsidR="00BE060A" w:rsidRPr="00A367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A3677A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201</w:t>
            </w:r>
            <w:r w:rsidR="00BE060A" w:rsidRPr="00A3677A">
              <w:rPr>
                <w:rFonts w:cs="Arial"/>
                <w:sz w:val="16"/>
                <w:szCs w:val="16"/>
              </w:rPr>
              <w:t>8</w:t>
            </w:r>
          </w:p>
        </w:tc>
      </w:tr>
      <w:tr w:rsidR="00FF29C2" w:rsidRPr="00A3677A" w:rsidTr="00075150">
        <w:trPr>
          <w:trHeight w:hRule="exact" w:val="34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A3677A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A3677A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A3677A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A3677A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A3677A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A3677A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w mld</w:t>
            </w:r>
          </w:p>
          <w:p w:rsidR="00FF29C2" w:rsidRPr="00A3677A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A3677A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I</w:t>
            </w:r>
            <w:r w:rsidR="0013325B" w:rsidRPr="00A3677A">
              <w:rPr>
                <w:rFonts w:cs="Arial"/>
                <w:sz w:val="16"/>
                <w:szCs w:val="16"/>
              </w:rPr>
              <w:t xml:space="preserve"> – </w:t>
            </w:r>
            <w:r w:rsidR="00606763" w:rsidRPr="00A3677A">
              <w:rPr>
                <w:rFonts w:cs="Arial"/>
                <w:sz w:val="16"/>
                <w:szCs w:val="16"/>
              </w:rPr>
              <w:t>V</w:t>
            </w:r>
            <w:r w:rsidR="004A053A" w:rsidRPr="00A3677A">
              <w:rPr>
                <w:rFonts w:cs="Arial"/>
                <w:sz w:val="16"/>
                <w:szCs w:val="16"/>
              </w:rPr>
              <w:t>I</w:t>
            </w:r>
            <w:r w:rsidR="004E32D8" w:rsidRPr="00A3677A">
              <w:rPr>
                <w:rFonts w:cs="Arial"/>
                <w:sz w:val="16"/>
                <w:szCs w:val="16"/>
              </w:rPr>
              <w:t xml:space="preserve"> </w:t>
            </w:r>
            <w:r w:rsidRPr="00A3677A">
              <w:rPr>
                <w:rFonts w:cs="Arial"/>
                <w:sz w:val="16"/>
                <w:szCs w:val="16"/>
              </w:rPr>
              <w:t>201</w:t>
            </w:r>
            <w:r w:rsidR="00BE060A" w:rsidRPr="00A3677A">
              <w:rPr>
                <w:rFonts w:cs="Arial"/>
                <w:sz w:val="16"/>
                <w:szCs w:val="16"/>
              </w:rPr>
              <w:t>7</w:t>
            </w:r>
            <w:r w:rsidRPr="00A3677A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A3677A" w:rsidRDefault="00FF29C2" w:rsidP="00606763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I</w:t>
            </w:r>
            <w:r w:rsidR="0013325B" w:rsidRPr="00A3677A">
              <w:rPr>
                <w:rFonts w:cs="Arial"/>
                <w:sz w:val="16"/>
                <w:szCs w:val="16"/>
              </w:rPr>
              <w:t xml:space="preserve"> – </w:t>
            </w:r>
            <w:r w:rsidR="00606763" w:rsidRPr="00A3677A">
              <w:rPr>
                <w:rFonts w:cs="Arial"/>
                <w:sz w:val="16"/>
                <w:szCs w:val="16"/>
              </w:rPr>
              <w:t>V</w:t>
            </w:r>
            <w:r w:rsidR="004A053A" w:rsidRPr="00A3677A">
              <w:rPr>
                <w:rFonts w:cs="Arial"/>
                <w:sz w:val="16"/>
                <w:szCs w:val="16"/>
              </w:rPr>
              <w:t>I</w:t>
            </w:r>
            <w:r w:rsidR="004E32D8" w:rsidRPr="00A3677A">
              <w:rPr>
                <w:rFonts w:cs="Arial"/>
                <w:sz w:val="16"/>
                <w:szCs w:val="16"/>
              </w:rPr>
              <w:t xml:space="preserve"> </w:t>
            </w:r>
            <w:r w:rsidRPr="00A3677A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A3677A" w:rsidTr="00BE1B11">
        <w:trPr>
          <w:trHeight w:hRule="exact" w:val="546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A3677A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A3677A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A3677A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A3677A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A3677A" w:rsidRDefault="00FF29C2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Z</w:t>
            </w:r>
            <w:r w:rsidR="0051165C" w:rsidRPr="00A3677A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A3677A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A3677A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A3677A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0561D" w:rsidRPr="00A3677A" w:rsidTr="003A5A4A">
        <w:trPr>
          <w:trHeight w:hRule="exact" w:val="43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A3677A">
              <w:rPr>
                <w:rFonts w:cs="Arial"/>
                <w:sz w:val="16"/>
                <w:szCs w:val="16"/>
              </w:rPr>
              <w:t>(wg kraju wysyłki)</w:t>
            </w:r>
            <w:r w:rsidRPr="00A3677A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457,7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132,2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108,8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105,5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122,1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107,9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100,0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342,3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98,8</w:t>
            </w:r>
          </w:p>
        </w:tc>
        <w:tc>
          <w:tcPr>
            <w:tcW w:w="717" w:type="dxa"/>
            <w:vAlign w:val="bottom"/>
          </w:tcPr>
          <w:p w:rsidR="0050561D" w:rsidRPr="00A3677A" w:rsidRDefault="00FF1925" w:rsidP="00505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103,3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119,6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76,4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74,8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w tym UE</w:t>
            </w:r>
            <w:r w:rsidRPr="00A367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367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320,1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92,5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76,1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103,0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119,3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105,4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71,6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69,9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260,0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75,1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61,8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103,3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119,6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58,0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56,8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72,2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20,9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17,2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106,8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123,7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109,2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15,6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15,8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43,2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12,5</w:t>
            </w:r>
          </w:p>
        </w:tc>
        <w:tc>
          <w:tcPr>
            <w:tcW w:w="717" w:type="dxa"/>
            <w:vAlign w:val="bottom"/>
          </w:tcPr>
          <w:p w:rsidR="0050561D" w:rsidRPr="00A3677A" w:rsidRDefault="00FF1925" w:rsidP="00505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123,9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143,5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126,8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8,0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9,4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A367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-5,2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-1,4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-1,2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52,0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15,1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>w tym UE</w:t>
            </w:r>
            <w:r w:rsidRPr="00A367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A367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43,5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12,6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10,4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1,8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0,5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0,5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-39,6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-11,5</w:t>
            </w:r>
          </w:p>
        </w:tc>
        <w:tc>
          <w:tcPr>
            <w:tcW w:w="717" w:type="dxa"/>
            <w:vAlign w:val="bottom"/>
          </w:tcPr>
          <w:p w:rsidR="0050561D" w:rsidRPr="00A3677A" w:rsidRDefault="00FF1925" w:rsidP="00505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-9,5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  <w:tr w:rsidR="0050561D" w:rsidRPr="00A3677A" w:rsidTr="00075150">
        <w:trPr>
          <w:trHeight w:hRule="exact" w:val="340"/>
        </w:trPr>
        <w:tc>
          <w:tcPr>
            <w:tcW w:w="2237" w:type="dxa"/>
            <w:vAlign w:val="center"/>
          </w:tcPr>
          <w:p w:rsidR="0050561D" w:rsidRPr="00A3677A" w:rsidRDefault="0050561D" w:rsidP="0050561D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A367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-17,6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-5,1</w:t>
            </w:r>
          </w:p>
        </w:tc>
        <w:tc>
          <w:tcPr>
            <w:tcW w:w="717" w:type="dxa"/>
            <w:vAlign w:val="bottom"/>
          </w:tcPr>
          <w:p w:rsidR="0050561D" w:rsidRPr="00A3677A" w:rsidRDefault="00FF1925" w:rsidP="0050561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-4,1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50561D" w:rsidRPr="00A3677A" w:rsidRDefault="0050561D" w:rsidP="0050561D">
            <w:pPr>
              <w:jc w:val="right"/>
              <w:rPr>
                <w:sz w:val="16"/>
                <w:szCs w:val="16"/>
              </w:rPr>
            </w:pPr>
            <w:r w:rsidRPr="00A3677A">
              <w:rPr>
                <w:sz w:val="16"/>
                <w:szCs w:val="16"/>
              </w:rPr>
              <w:t>X</w:t>
            </w:r>
          </w:p>
        </w:tc>
      </w:tr>
    </w:tbl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BE1B11" w:rsidRDefault="002C7384" w:rsidP="002C7384">
      <w:pPr>
        <w:rPr>
          <w:lang w:eastAsia="pl-PL"/>
        </w:rPr>
      </w:pPr>
      <w:r w:rsidRPr="002C7384">
        <w:rPr>
          <w:lang w:eastAsia="pl-PL"/>
        </w:rPr>
        <w:t>Udział Niemiec w imporcie według  kraju wysyłki w stos</w:t>
      </w:r>
      <w:r w:rsidR="00BE0D38">
        <w:rPr>
          <w:lang w:eastAsia="pl-PL"/>
        </w:rPr>
        <w:t>unk</w:t>
      </w:r>
      <w:r w:rsidR="00646CDE">
        <w:rPr>
          <w:lang w:eastAsia="pl-PL"/>
        </w:rPr>
        <w:t>u</w:t>
      </w:r>
      <w:r w:rsidR="00BE0D38">
        <w:rPr>
          <w:lang w:eastAsia="pl-PL"/>
        </w:rPr>
        <w:t xml:space="preserve"> do importu według kraju po</w:t>
      </w:r>
      <w:r w:rsidRPr="002C7384">
        <w:rPr>
          <w:lang w:eastAsia="pl-PL"/>
        </w:rPr>
        <w:t>chodzenia był większy o 4,4 p. proc., udział Holandii odpowiednio był większy o 1,9 p. proc., a Belgii o 1,2 p. proc.</w:t>
      </w:r>
      <w:r w:rsidR="00BE1B11">
        <w:rPr>
          <w:lang w:eastAsia="pl-PL"/>
        </w:rPr>
        <w:t xml:space="preserve"> </w:t>
      </w:r>
    </w:p>
    <w:p w:rsidR="002C7384" w:rsidRPr="00BE1B11" w:rsidRDefault="00030640" w:rsidP="002C7384">
      <w:pPr>
        <w:rPr>
          <w:b/>
          <w:sz w:val="18"/>
          <w:szCs w:val="18"/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76C3BC97" wp14:editId="4E26D3E2">
                <wp:simplePos x="0" y="0"/>
                <wp:positionH relativeFrom="page">
                  <wp:posOffset>5768671</wp:posOffset>
                </wp:positionH>
                <wp:positionV relativeFrom="paragraph">
                  <wp:posOffset>158943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40" w:rsidRDefault="00030640" w:rsidP="00030640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Udział importu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udziału według kraju pochodzenia był mniejszy  o </w:t>
                            </w:r>
                            <w:r w:rsidR="004F2CA5">
                              <w:rPr>
                                <w:rFonts w:cs="Arial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</w:rPr>
                              <w:t>,</w:t>
                            </w:r>
                            <w:r w:rsidR="004F2CA5"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</w:rPr>
                              <w:t> p. proc.</w:t>
                            </w: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Default="00030640" w:rsidP="00030640">
                            <w:pPr>
                              <w:pStyle w:val="tekstzboku"/>
                            </w:pPr>
                          </w:p>
                          <w:p w:rsidR="00030640" w:rsidRPr="00074DD8" w:rsidRDefault="00030640" w:rsidP="00030640">
                            <w:pPr>
                              <w:pStyle w:val="tekstzboku"/>
                            </w:pPr>
                          </w:p>
                          <w:p w:rsidR="00030640" w:rsidRPr="00D616D2" w:rsidRDefault="00030640" w:rsidP="0003064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3BC97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32" type="#_x0000_t202" style="position:absolute;margin-left:454.25pt;margin-top:12.5pt;width:135.85pt;height:82.4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" filled="f" stroked="f">
                <v:textbox>
                  <w:txbxContent>
                    <w:p w:rsidR="00030640" w:rsidRDefault="00030640" w:rsidP="00030640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Udział importu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udziału według kraju pochodzenia był mniejszy  o </w:t>
                      </w:r>
                      <w:r w:rsidR="004F2CA5">
                        <w:rPr>
                          <w:rFonts w:cs="Arial"/>
                        </w:rPr>
                        <w:t>4</w:t>
                      </w:r>
                      <w:r>
                        <w:rPr>
                          <w:rFonts w:cs="Arial"/>
                        </w:rPr>
                        <w:t>,</w:t>
                      </w:r>
                      <w:r w:rsidR="004F2CA5">
                        <w:rPr>
                          <w:rFonts w:cs="Arial"/>
                        </w:rPr>
                        <w:t>0</w:t>
                      </w:r>
                      <w:r>
                        <w:rPr>
                          <w:rFonts w:cs="Arial"/>
                        </w:rPr>
                        <w:t> p. proc.</w:t>
                      </w: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Default="00030640" w:rsidP="00030640">
                      <w:pPr>
                        <w:pStyle w:val="tekstzboku"/>
                      </w:pPr>
                    </w:p>
                    <w:p w:rsidR="00030640" w:rsidRPr="00074DD8" w:rsidRDefault="00030640" w:rsidP="00030640">
                      <w:pPr>
                        <w:pStyle w:val="tekstzboku"/>
                      </w:pPr>
                    </w:p>
                    <w:p w:rsidR="00030640" w:rsidRPr="00D616D2" w:rsidRDefault="00030640" w:rsidP="0003064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1B11" w:rsidRPr="00BE1B11">
        <w:rPr>
          <w:b/>
          <w:sz w:val="18"/>
          <w:szCs w:val="18"/>
          <w:lang w:eastAsia="pl-PL"/>
        </w:rPr>
        <w:t>Tablica 4. Import według kraju wysyłki - według krajów</w:t>
      </w:r>
    </w:p>
    <w:tbl>
      <w:tblPr>
        <w:tblpPr w:leftFromText="141" w:rightFromText="141" w:vertAnchor="page" w:horzAnchor="margin" w:tblpY="8429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075150" w:rsidRPr="00366025" w:rsidTr="00075150">
        <w:trPr>
          <w:trHeight w:hRule="exact" w:val="340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I – V</w:t>
            </w:r>
            <w:r>
              <w:rPr>
                <w:rFonts w:cs="Arial"/>
                <w:sz w:val="16"/>
                <w:szCs w:val="16"/>
              </w:rPr>
              <w:t>I</w:t>
            </w:r>
            <w:r w:rsidRPr="008F76DE">
              <w:rPr>
                <w:rFonts w:cs="Arial"/>
                <w:sz w:val="16"/>
                <w:szCs w:val="16"/>
              </w:rPr>
              <w:t xml:space="preserve"> 2018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2017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2018</w:t>
            </w:r>
          </w:p>
        </w:tc>
      </w:tr>
      <w:tr w:rsidR="00075150" w:rsidRPr="00366025" w:rsidTr="00C97046">
        <w:trPr>
          <w:trHeight w:hRule="exact" w:val="383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075150" w:rsidRPr="008F76DE" w:rsidRDefault="00075150" w:rsidP="0007515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C97046" w:rsidRDefault="00C97046" w:rsidP="00C97046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:rsidR="00075150" w:rsidRPr="008F76DE" w:rsidRDefault="00075150" w:rsidP="00C97046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w mld</w:t>
            </w:r>
          </w:p>
          <w:p w:rsidR="00075150" w:rsidRPr="008F76DE" w:rsidRDefault="00075150" w:rsidP="00C97046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Zł</w:t>
            </w:r>
          </w:p>
          <w:p w:rsidR="00075150" w:rsidRPr="008F76DE" w:rsidRDefault="00075150" w:rsidP="00C9704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075150" w:rsidRPr="008F76DE" w:rsidRDefault="00075150" w:rsidP="00C97046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075150" w:rsidRPr="008F76DE" w:rsidRDefault="00075150" w:rsidP="00C97046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I – V</w:t>
            </w:r>
            <w:r>
              <w:rPr>
                <w:rFonts w:cs="Arial"/>
                <w:sz w:val="16"/>
                <w:szCs w:val="16"/>
              </w:rPr>
              <w:t>I</w:t>
            </w:r>
            <w:r w:rsidRPr="008F76DE">
              <w:rPr>
                <w:rFonts w:cs="Arial"/>
                <w:sz w:val="16"/>
                <w:szCs w:val="16"/>
              </w:rPr>
              <w:t xml:space="preserve"> 2017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075150" w:rsidRPr="008F76DE" w:rsidRDefault="00075150" w:rsidP="00075150">
            <w:pPr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I – V</w:t>
            </w:r>
            <w:r>
              <w:rPr>
                <w:rFonts w:cs="Arial"/>
                <w:sz w:val="16"/>
                <w:szCs w:val="16"/>
              </w:rPr>
              <w:t>I</w:t>
            </w:r>
            <w:r w:rsidRPr="008F76DE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075150" w:rsidRPr="00366025" w:rsidTr="00BE1B11">
        <w:trPr>
          <w:trHeight w:hRule="exact" w:val="459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075150" w:rsidRPr="008F76DE" w:rsidRDefault="00075150" w:rsidP="0007515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075150" w:rsidRPr="008F76DE" w:rsidRDefault="00075150" w:rsidP="0007515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075150" w:rsidRPr="008F76DE" w:rsidRDefault="00075150" w:rsidP="00075150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075150" w:rsidRPr="008F76DE" w:rsidRDefault="00075150" w:rsidP="00075150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F76DE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124,5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36,0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29,6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103,5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119,8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105,8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27,7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27,2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 xml:space="preserve">2.  Rosja 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34,3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9,9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8,2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124,2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143,8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127,1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6,4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7,5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3.  Chiny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32,0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9,2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7,6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104,5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121,2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107,0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7,1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7,0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26,1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7,5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6,2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99,4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115,1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101,7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6,1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5,7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23,4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6,8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5,6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99,1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114,8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101,3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5,4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5,1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19,1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5,5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4,5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104,2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120,7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106,6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4,2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18,0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5,2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4,3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101,0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116,9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103,3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4,1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3,9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8. Belgia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17,5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5,1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4,2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108,8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126,0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111,3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3,7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3,8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9.  W. Brytania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11,5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3,3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2,7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99,7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115,5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102,0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2,5</w:t>
            </w:r>
          </w:p>
        </w:tc>
      </w:tr>
      <w:tr w:rsidR="00075150" w:rsidRPr="00366025" w:rsidTr="00075150">
        <w:trPr>
          <w:trHeight w:hRule="exact" w:val="340"/>
        </w:trPr>
        <w:tc>
          <w:tcPr>
            <w:tcW w:w="2351" w:type="dxa"/>
            <w:vAlign w:val="center"/>
          </w:tcPr>
          <w:p w:rsidR="00075150" w:rsidRPr="008F76DE" w:rsidRDefault="00075150" w:rsidP="0007515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F76DE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11,1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3,2</w:t>
            </w:r>
          </w:p>
        </w:tc>
        <w:tc>
          <w:tcPr>
            <w:tcW w:w="754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2,6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105,7</w:t>
            </w:r>
          </w:p>
        </w:tc>
        <w:tc>
          <w:tcPr>
            <w:tcW w:w="655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122,4</w:t>
            </w:r>
          </w:p>
        </w:tc>
        <w:tc>
          <w:tcPr>
            <w:tcW w:w="656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108,1</w:t>
            </w:r>
          </w:p>
        </w:tc>
        <w:tc>
          <w:tcPr>
            <w:tcW w:w="629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2,4</w:t>
            </w:r>
          </w:p>
        </w:tc>
        <w:tc>
          <w:tcPr>
            <w:tcW w:w="630" w:type="dxa"/>
            <w:vAlign w:val="bottom"/>
          </w:tcPr>
          <w:p w:rsidR="00075150" w:rsidRPr="00A664CE" w:rsidRDefault="00075150" w:rsidP="00075150">
            <w:pPr>
              <w:jc w:val="right"/>
              <w:rPr>
                <w:sz w:val="16"/>
                <w:szCs w:val="16"/>
              </w:rPr>
            </w:pPr>
            <w:r w:rsidRPr="00A664CE">
              <w:rPr>
                <w:sz w:val="16"/>
                <w:szCs w:val="16"/>
              </w:rPr>
              <w:t>2,4</w:t>
            </w:r>
          </w:p>
        </w:tc>
      </w:tr>
    </w:tbl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A3677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8" w:right="3119" w:bottom="567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646CDE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3C0" w:rsidRDefault="007D13C0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D13C0" w:rsidRPr="00A00ADB" w:rsidRDefault="007D13C0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7D13C0" w:rsidRPr="0090586A" w:rsidRDefault="00E1530F" w:rsidP="00AB6D25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7D13C0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2017</w:t>
                              </w:r>
                            </w:hyperlink>
                          </w:p>
                          <w:p w:rsidR="007D13C0" w:rsidRDefault="00E1530F" w:rsidP="00E12DB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hyperlink r:id="rId25" w:history="1">
                              <w:r w:rsidR="007D13C0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Obroty towarowe handlu zagranicznego w 2016 r.</w:t>
                              </w:r>
                            </w:hyperlink>
                          </w:p>
                          <w:p w:rsidR="007D13C0" w:rsidRPr="00D47F89" w:rsidRDefault="00E1530F" w:rsidP="00E12DB3">
                            <w:pPr>
                              <w:rPr>
                                <w:color w:val="333399"/>
                                <w:szCs w:val="19"/>
                              </w:rPr>
                            </w:pPr>
                            <w:hyperlink r:id="rId26" w:history="1">
                              <w:r w:rsidR="007D13C0" w:rsidRPr="00D47F89">
                                <w:rPr>
                                  <w:rStyle w:val="Hipercze"/>
                                  <w:color w:val="333399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7D13C0" w:rsidRPr="00A00ADB" w:rsidRDefault="007D1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D13C0" w:rsidRPr="00A00ADB" w:rsidRDefault="007D1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7D13C0" w:rsidRPr="0090586A" w:rsidRDefault="007D13C0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7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7D13C0" w:rsidRPr="0090586A" w:rsidRDefault="007D13C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7D13C0" w:rsidRPr="00A00ADB" w:rsidRDefault="007D1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7D13C0" w:rsidRDefault="007D1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7D13C0" w:rsidRPr="0090586A" w:rsidRDefault="00E1530F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9" w:history="1">
                              <w:r w:rsidR="007D13C0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7D13C0" w:rsidRPr="003C491B" w:rsidRDefault="00E1530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7D13C0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7D13C0" w:rsidRPr="003C491B" w:rsidRDefault="007D13C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7D13C0" w:rsidRPr="00020CD4" w:rsidRDefault="007D13C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7D13C0" w:rsidRPr="00020CD4" w:rsidRDefault="007D13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2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eDPg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" fillcolor="#f2f2f2 [3052]" strokecolor="white [3212]">
                <v:textbox>
                  <w:txbxContent>
                    <w:p w:rsidR="007D13C0" w:rsidRDefault="007D13C0" w:rsidP="00AB6D25">
                      <w:pPr>
                        <w:rPr>
                          <w:b/>
                        </w:rPr>
                      </w:pPr>
                    </w:p>
                    <w:p w:rsidR="007D13C0" w:rsidRPr="00A00ADB" w:rsidRDefault="007D13C0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7D13C0" w:rsidRPr="0090586A" w:rsidRDefault="007D13C0" w:rsidP="00AB6D25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2017</w:t>
                        </w:r>
                      </w:hyperlink>
                    </w:p>
                    <w:p w:rsidR="007D13C0" w:rsidRDefault="007D13C0" w:rsidP="00E12DB3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hyperlink r:id="rId32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</w:rPr>
                          <w:t>Obroty towarowe handlu zagranicznego w 2016 r.</w:t>
                        </w:r>
                      </w:hyperlink>
                    </w:p>
                    <w:p w:rsidR="007D13C0" w:rsidRPr="00D47F89" w:rsidRDefault="007D13C0" w:rsidP="00E12DB3">
                      <w:pPr>
                        <w:rPr>
                          <w:color w:val="333399"/>
                          <w:szCs w:val="19"/>
                        </w:rPr>
                      </w:pPr>
                      <w:hyperlink r:id="rId33" w:history="1">
                        <w:r w:rsidRPr="00D47F89">
                          <w:rPr>
                            <w:rStyle w:val="Hipercze"/>
                            <w:color w:val="333399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7D13C0" w:rsidRPr="00A00ADB" w:rsidRDefault="007D1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D13C0" w:rsidRPr="00A00ADB" w:rsidRDefault="007D1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7D13C0" w:rsidRPr="0090586A" w:rsidRDefault="007D13C0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7D13C0" w:rsidRPr="0090586A" w:rsidRDefault="007D13C0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7D13C0" w:rsidRPr="00A00ADB" w:rsidRDefault="007D1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7D13C0" w:rsidRDefault="007D1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7D13C0" w:rsidRPr="0090586A" w:rsidRDefault="007D13C0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7D13C0" w:rsidRPr="003C491B" w:rsidRDefault="007D13C0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7D13C0" w:rsidRPr="003C491B" w:rsidRDefault="007D13C0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7D13C0" w:rsidRPr="00020CD4" w:rsidRDefault="007D13C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7D13C0" w:rsidRPr="00020CD4" w:rsidRDefault="007D13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0F" w:rsidRDefault="00E1530F" w:rsidP="000662E2">
      <w:pPr>
        <w:spacing w:after="0" w:line="240" w:lineRule="auto"/>
      </w:pPr>
      <w:r>
        <w:separator/>
      </w:r>
    </w:p>
  </w:endnote>
  <w:endnote w:type="continuationSeparator" w:id="0">
    <w:p w:rsidR="00E1530F" w:rsidRDefault="00E153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770103"/>
      <w:docPartObj>
        <w:docPartGallery w:val="Page Numbers (Bottom of Page)"/>
        <w:docPartUnique/>
      </w:docPartObj>
    </w:sdtPr>
    <w:sdtEndPr/>
    <w:sdtContent>
      <w:p w:rsidR="007D13C0" w:rsidRDefault="007D13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A2">
          <w:rPr>
            <w:noProof/>
          </w:rPr>
          <w:t>2</w:t>
        </w:r>
        <w:r>
          <w:fldChar w:fldCharType="end"/>
        </w:r>
      </w:p>
    </w:sdtContent>
  </w:sdt>
  <w:p w:rsidR="007D13C0" w:rsidRDefault="007D13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065660"/>
      <w:docPartObj>
        <w:docPartGallery w:val="Page Numbers (Bottom of Page)"/>
        <w:docPartUnique/>
      </w:docPartObj>
    </w:sdtPr>
    <w:sdtEndPr/>
    <w:sdtContent>
      <w:p w:rsidR="007D13C0" w:rsidRDefault="007D13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A2">
          <w:rPr>
            <w:noProof/>
          </w:rPr>
          <w:t>1</w:t>
        </w:r>
        <w:r>
          <w:fldChar w:fldCharType="end"/>
        </w:r>
      </w:p>
    </w:sdtContent>
  </w:sdt>
  <w:p w:rsidR="007D13C0" w:rsidRDefault="007D13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0F" w:rsidRDefault="00E1530F" w:rsidP="000662E2">
      <w:pPr>
        <w:spacing w:after="0" w:line="240" w:lineRule="auto"/>
      </w:pPr>
      <w:r>
        <w:separator/>
      </w:r>
    </w:p>
  </w:footnote>
  <w:footnote w:type="continuationSeparator" w:id="0">
    <w:p w:rsidR="00E1530F" w:rsidRDefault="00E1530F" w:rsidP="000662E2">
      <w:pPr>
        <w:spacing w:after="0" w:line="240" w:lineRule="auto"/>
      </w:pPr>
      <w:r>
        <w:continuationSeparator/>
      </w:r>
    </w:p>
  </w:footnote>
  <w:footnote w:id="1">
    <w:p w:rsidR="007D13C0" w:rsidRPr="004926AC" w:rsidRDefault="007D13C0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7D13C0" w:rsidRDefault="007D13C0" w:rsidP="00247475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7D13C0" w:rsidRDefault="007D13C0" w:rsidP="0050561D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3C0" w:rsidRDefault="007D13C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D13C0" w:rsidRDefault="007D13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3C0" w:rsidRDefault="007D13C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D13C0" w:rsidRPr="003C6C8D" w:rsidRDefault="007D13C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D13C0" w:rsidRPr="003C6C8D" w:rsidRDefault="007D13C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97FCE4" wp14:editId="2ECD959D">
          <wp:extent cx="2210137" cy="720000"/>
          <wp:effectExtent l="0" t="0" r="0" b="444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13C0" w:rsidRDefault="007D13C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13C0" w:rsidRPr="00C97596" w:rsidRDefault="007D13C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14.08.2018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D13C0" w:rsidRPr="00C97596" w:rsidRDefault="007D13C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14.08.2018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3C0" w:rsidRDefault="007D13C0">
    <w:pPr>
      <w:pStyle w:val="Nagwek"/>
    </w:pPr>
  </w:p>
  <w:p w:rsidR="007D13C0" w:rsidRDefault="007D13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5pt;height:125.3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6F61"/>
    <w:rsid w:val="00030640"/>
    <w:rsid w:val="00036E65"/>
    <w:rsid w:val="00042C5D"/>
    <w:rsid w:val="0004582E"/>
    <w:rsid w:val="000470AA"/>
    <w:rsid w:val="00057CA1"/>
    <w:rsid w:val="0006579B"/>
    <w:rsid w:val="000662E2"/>
    <w:rsid w:val="00066883"/>
    <w:rsid w:val="00071154"/>
    <w:rsid w:val="00074DD8"/>
    <w:rsid w:val="00075150"/>
    <w:rsid w:val="00076A47"/>
    <w:rsid w:val="000806F7"/>
    <w:rsid w:val="00081272"/>
    <w:rsid w:val="000821F2"/>
    <w:rsid w:val="00091E91"/>
    <w:rsid w:val="00093508"/>
    <w:rsid w:val="00094050"/>
    <w:rsid w:val="000A1EEF"/>
    <w:rsid w:val="000A4C89"/>
    <w:rsid w:val="000A7A9E"/>
    <w:rsid w:val="000B0727"/>
    <w:rsid w:val="000B3A5D"/>
    <w:rsid w:val="000B3CED"/>
    <w:rsid w:val="000B6C36"/>
    <w:rsid w:val="000B7003"/>
    <w:rsid w:val="000B71D4"/>
    <w:rsid w:val="000C135D"/>
    <w:rsid w:val="000D1D43"/>
    <w:rsid w:val="000D225C"/>
    <w:rsid w:val="000D2A5C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46CE"/>
    <w:rsid w:val="00114BB7"/>
    <w:rsid w:val="00114DB9"/>
    <w:rsid w:val="00116087"/>
    <w:rsid w:val="00116471"/>
    <w:rsid w:val="00130296"/>
    <w:rsid w:val="0013325B"/>
    <w:rsid w:val="001423B6"/>
    <w:rsid w:val="001440E1"/>
    <w:rsid w:val="001448A7"/>
    <w:rsid w:val="00146621"/>
    <w:rsid w:val="001478E5"/>
    <w:rsid w:val="00150575"/>
    <w:rsid w:val="00152273"/>
    <w:rsid w:val="0015688D"/>
    <w:rsid w:val="00162325"/>
    <w:rsid w:val="0017078D"/>
    <w:rsid w:val="00170B2E"/>
    <w:rsid w:val="001731B2"/>
    <w:rsid w:val="00177026"/>
    <w:rsid w:val="001808A7"/>
    <w:rsid w:val="00180BE8"/>
    <w:rsid w:val="00185BAA"/>
    <w:rsid w:val="00186D31"/>
    <w:rsid w:val="001951DA"/>
    <w:rsid w:val="001A4F01"/>
    <w:rsid w:val="001B232A"/>
    <w:rsid w:val="001C3269"/>
    <w:rsid w:val="001C3584"/>
    <w:rsid w:val="001D111C"/>
    <w:rsid w:val="001D18E8"/>
    <w:rsid w:val="001D1DB4"/>
    <w:rsid w:val="001F10F6"/>
    <w:rsid w:val="001F1B03"/>
    <w:rsid w:val="001F2763"/>
    <w:rsid w:val="00207FAB"/>
    <w:rsid w:val="00212F9D"/>
    <w:rsid w:val="0021516D"/>
    <w:rsid w:val="00226D98"/>
    <w:rsid w:val="002313C5"/>
    <w:rsid w:val="00240783"/>
    <w:rsid w:val="002420CA"/>
    <w:rsid w:val="00246534"/>
    <w:rsid w:val="00247475"/>
    <w:rsid w:val="002574F9"/>
    <w:rsid w:val="0025788E"/>
    <w:rsid w:val="0026119D"/>
    <w:rsid w:val="0027462D"/>
    <w:rsid w:val="00276811"/>
    <w:rsid w:val="00277A82"/>
    <w:rsid w:val="00282699"/>
    <w:rsid w:val="0028458E"/>
    <w:rsid w:val="00284750"/>
    <w:rsid w:val="00291F7B"/>
    <w:rsid w:val="002926DF"/>
    <w:rsid w:val="00296697"/>
    <w:rsid w:val="002A2450"/>
    <w:rsid w:val="002B0472"/>
    <w:rsid w:val="002B1493"/>
    <w:rsid w:val="002B6B12"/>
    <w:rsid w:val="002C7384"/>
    <w:rsid w:val="002D45CF"/>
    <w:rsid w:val="002E14D1"/>
    <w:rsid w:val="002E6140"/>
    <w:rsid w:val="002E6985"/>
    <w:rsid w:val="002E71B6"/>
    <w:rsid w:val="002F2768"/>
    <w:rsid w:val="002F362F"/>
    <w:rsid w:val="002F6500"/>
    <w:rsid w:val="002F77C8"/>
    <w:rsid w:val="00304F22"/>
    <w:rsid w:val="00306C7C"/>
    <w:rsid w:val="00320D7D"/>
    <w:rsid w:val="003216C9"/>
    <w:rsid w:val="00322EDD"/>
    <w:rsid w:val="00332320"/>
    <w:rsid w:val="0034509D"/>
    <w:rsid w:val="00345F7C"/>
    <w:rsid w:val="0034666A"/>
    <w:rsid w:val="00346AAD"/>
    <w:rsid w:val="00347D72"/>
    <w:rsid w:val="00351B8D"/>
    <w:rsid w:val="003538DC"/>
    <w:rsid w:val="00357611"/>
    <w:rsid w:val="00361DB6"/>
    <w:rsid w:val="00366025"/>
    <w:rsid w:val="00367237"/>
    <w:rsid w:val="0037077F"/>
    <w:rsid w:val="00371FC0"/>
    <w:rsid w:val="00373882"/>
    <w:rsid w:val="0038341F"/>
    <w:rsid w:val="003843DB"/>
    <w:rsid w:val="0038490F"/>
    <w:rsid w:val="00385BF0"/>
    <w:rsid w:val="00390EF4"/>
    <w:rsid w:val="00393761"/>
    <w:rsid w:val="00397D18"/>
    <w:rsid w:val="003A1B36"/>
    <w:rsid w:val="003A5A4A"/>
    <w:rsid w:val="003B1454"/>
    <w:rsid w:val="003C0295"/>
    <w:rsid w:val="003C491B"/>
    <w:rsid w:val="003C59E0"/>
    <w:rsid w:val="003C6B82"/>
    <w:rsid w:val="003C6C8D"/>
    <w:rsid w:val="003C73DE"/>
    <w:rsid w:val="003D23E6"/>
    <w:rsid w:val="003D4F95"/>
    <w:rsid w:val="003D5F42"/>
    <w:rsid w:val="003D60A9"/>
    <w:rsid w:val="003D744D"/>
    <w:rsid w:val="003E0EA7"/>
    <w:rsid w:val="003E3ECE"/>
    <w:rsid w:val="003E5D51"/>
    <w:rsid w:val="003E5EB2"/>
    <w:rsid w:val="003F4C97"/>
    <w:rsid w:val="003F7FE6"/>
    <w:rsid w:val="00400193"/>
    <w:rsid w:val="00403C1A"/>
    <w:rsid w:val="004045B9"/>
    <w:rsid w:val="00404EF4"/>
    <w:rsid w:val="00411C0A"/>
    <w:rsid w:val="00415EEB"/>
    <w:rsid w:val="004212E7"/>
    <w:rsid w:val="0042446D"/>
    <w:rsid w:val="0042458C"/>
    <w:rsid w:val="00424EA5"/>
    <w:rsid w:val="004258A4"/>
    <w:rsid w:val="00427BF8"/>
    <w:rsid w:val="00431C02"/>
    <w:rsid w:val="00434D16"/>
    <w:rsid w:val="00437395"/>
    <w:rsid w:val="004376C1"/>
    <w:rsid w:val="004437F4"/>
    <w:rsid w:val="00445047"/>
    <w:rsid w:val="0045590E"/>
    <w:rsid w:val="00463E39"/>
    <w:rsid w:val="004657FC"/>
    <w:rsid w:val="0046619C"/>
    <w:rsid w:val="00471416"/>
    <w:rsid w:val="004733F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17B"/>
    <w:rsid w:val="004A051B"/>
    <w:rsid w:val="004A053A"/>
    <w:rsid w:val="004A29AD"/>
    <w:rsid w:val="004B2FBB"/>
    <w:rsid w:val="004B64A7"/>
    <w:rsid w:val="004C1895"/>
    <w:rsid w:val="004C6D40"/>
    <w:rsid w:val="004D100F"/>
    <w:rsid w:val="004E0FEC"/>
    <w:rsid w:val="004E32D8"/>
    <w:rsid w:val="004F0C3C"/>
    <w:rsid w:val="004F2BB2"/>
    <w:rsid w:val="004F2CA5"/>
    <w:rsid w:val="004F39A5"/>
    <w:rsid w:val="004F5A14"/>
    <w:rsid w:val="004F63FC"/>
    <w:rsid w:val="004F68CF"/>
    <w:rsid w:val="004F6A62"/>
    <w:rsid w:val="0050561D"/>
    <w:rsid w:val="00505A92"/>
    <w:rsid w:val="0051165C"/>
    <w:rsid w:val="00512AAE"/>
    <w:rsid w:val="005164A4"/>
    <w:rsid w:val="005203F1"/>
    <w:rsid w:val="00521BC3"/>
    <w:rsid w:val="00533632"/>
    <w:rsid w:val="005354A1"/>
    <w:rsid w:val="005375A6"/>
    <w:rsid w:val="0053772A"/>
    <w:rsid w:val="0054251F"/>
    <w:rsid w:val="00550618"/>
    <w:rsid w:val="005520D8"/>
    <w:rsid w:val="005549A9"/>
    <w:rsid w:val="00556CF1"/>
    <w:rsid w:val="00567B0A"/>
    <w:rsid w:val="005762A7"/>
    <w:rsid w:val="00585385"/>
    <w:rsid w:val="00586936"/>
    <w:rsid w:val="00587286"/>
    <w:rsid w:val="005916D7"/>
    <w:rsid w:val="005A698C"/>
    <w:rsid w:val="005A729A"/>
    <w:rsid w:val="005B3955"/>
    <w:rsid w:val="005C1EC2"/>
    <w:rsid w:val="005C3C14"/>
    <w:rsid w:val="005C4C4F"/>
    <w:rsid w:val="005C5358"/>
    <w:rsid w:val="005E0799"/>
    <w:rsid w:val="005E0EBD"/>
    <w:rsid w:val="005E67F5"/>
    <w:rsid w:val="005E76AC"/>
    <w:rsid w:val="005F0F6A"/>
    <w:rsid w:val="005F30B8"/>
    <w:rsid w:val="005F39A7"/>
    <w:rsid w:val="005F3D74"/>
    <w:rsid w:val="005F5A80"/>
    <w:rsid w:val="006044FF"/>
    <w:rsid w:val="00606763"/>
    <w:rsid w:val="00607CC5"/>
    <w:rsid w:val="00633014"/>
    <w:rsid w:val="0063437B"/>
    <w:rsid w:val="006401A1"/>
    <w:rsid w:val="00646CDE"/>
    <w:rsid w:val="0065337E"/>
    <w:rsid w:val="006537F5"/>
    <w:rsid w:val="00654F9B"/>
    <w:rsid w:val="006646E5"/>
    <w:rsid w:val="00664C1E"/>
    <w:rsid w:val="00665A78"/>
    <w:rsid w:val="006673CA"/>
    <w:rsid w:val="00670C86"/>
    <w:rsid w:val="00673305"/>
    <w:rsid w:val="00673C26"/>
    <w:rsid w:val="0067678F"/>
    <w:rsid w:val="006812AF"/>
    <w:rsid w:val="00682774"/>
    <w:rsid w:val="0068327D"/>
    <w:rsid w:val="00690129"/>
    <w:rsid w:val="00692740"/>
    <w:rsid w:val="00694AF0"/>
    <w:rsid w:val="00695495"/>
    <w:rsid w:val="006A02A8"/>
    <w:rsid w:val="006A215D"/>
    <w:rsid w:val="006A4F91"/>
    <w:rsid w:val="006B0E9E"/>
    <w:rsid w:val="006B1B39"/>
    <w:rsid w:val="006B53C4"/>
    <w:rsid w:val="006B5AE4"/>
    <w:rsid w:val="006C57ED"/>
    <w:rsid w:val="006D31C0"/>
    <w:rsid w:val="006D4054"/>
    <w:rsid w:val="006E02EC"/>
    <w:rsid w:val="006E4FFD"/>
    <w:rsid w:val="006F4D10"/>
    <w:rsid w:val="006F6C73"/>
    <w:rsid w:val="00701D51"/>
    <w:rsid w:val="00710704"/>
    <w:rsid w:val="00712DB0"/>
    <w:rsid w:val="00714C0B"/>
    <w:rsid w:val="007211B1"/>
    <w:rsid w:val="007225BF"/>
    <w:rsid w:val="00722DDE"/>
    <w:rsid w:val="00744325"/>
    <w:rsid w:val="00746187"/>
    <w:rsid w:val="007476ED"/>
    <w:rsid w:val="00747B06"/>
    <w:rsid w:val="0076254F"/>
    <w:rsid w:val="00772AD7"/>
    <w:rsid w:val="00773E91"/>
    <w:rsid w:val="00774E70"/>
    <w:rsid w:val="007801F5"/>
    <w:rsid w:val="007808EF"/>
    <w:rsid w:val="00783CA4"/>
    <w:rsid w:val="007842FB"/>
    <w:rsid w:val="00786124"/>
    <w:rsid w:val="007912C4"/>
    <w:rsid w:val="0079514B"/>
    <w:rsid w:val="00797CEA"/>
    <w:rsid w:val="007A2DC1"/>
    <w:rsid w:val="007A3CC4"/>
    <w:rsid w:val="007A4923"/>
    <w:rsid w:val="007C5AC9"/>
    <w:rsid w:val="007D13C0"/>
    <w:rsid w:val="007D3319"/>
    <w:rsid w:val="007D335D"/>
    <w:rsid w:val="007D3F3F"/>
    <w:rsid w:val="007D6BC4"/>
    <w:rsid w:val="007E11F4"/>
    <w:rsid w:val="007E3314"/>
    <w:rsid w:val="007E3777"/>
    <w:rsid w:val="007E4B03"/>
    <w:rsid w:val="007F324B"/>
    <w:rsid w:val="007F3FA5"/>
    <w:rsid w:val="007F6BA3"/>
    <w:rsid w:val="0080553C"/>
    <w:rsid w:val="00805B46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52AD"/>
    <w:rsid w:val="0087094B"/>
    <w:rsid w:val="0087116E"/>
    <w:rsid w:val="008720A0"/>
    <w:rsid w:val="00874A1E"/>
    <w:rsid w:val="0088258A"/>
    <w:rsid w:val="00886332"/>
    <w:rsid w:val="00887BD4"/>
    <w:rsid w:val="0089134A"/>
    <w:rsid w:val="008935C5"/>
    <w:rsid w:val="008A10A2"/>
    <w:rsid w:val="008A157F"/>
    <w:rsid w:val="008A26D9"/>
    <w:rsid w:val="008A697A"/>
    <w:rsid w:val="008B4B4D"/>
    <w:rsid w:val="008C0C29"/>
    <w:rsid w:val="008C317D"/>
    <w:rsid w:val="008C3310"/>
    <w:rsid w:val="008F3638"/>
    <w:rsid w:val="008F6F31"/>
    <w:rsid w:val="008F74DF"/>
    <w:rsid w:val="008F76DE"/>
    <w:rsid w:val="0090586A"/>
    <w:rsid w:val="009127BA"/>
    <w:rsid w:val="00921F50"/>
    <w:rsid w:val="009227A6"/>
    <w:rsid w:val="00932408"/>
    <w:rsid w:val="00933EC1"/>
    <w:rsid w:val="00946BAC"/>
    <w:rsid w:val="00951F4F"/>
    <w:rsid w:val="009530DB"/>
    <w:rsid w:val="00953676"/>
    <w:rsid w:val="00955FF5"/>
    <w:rsid w:val="009705EE"/>
    <w:rsid w:val="00977927"/>
    <w:rsid w:val="00980AA6"/>
    <w:rsid w:val="0098135C"/>
    <w:rsid w:val="0098156A"/>
    <w:rsid w:val="00982B24"/>
    <w:rsid w:val="00984585"/>
    <w:rsid w:val="00985D81"/>
    <w:rsid w:val="00987A98"/>
    <w:rsid w:val="00991BAC"/>
    <w:rsid w:val="00992926"/>
    <w:rsid w:val="0099454C"/>
    <w:rsid w:val="009A0F70"/>
    <w:rsid w:val="009A39CF"/>
    <w:rsid w:val="009A5C86"/>
    <w:rsid w:val="009A6EA0"/>
    <w:rsid w:val="009B7EEB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F21D8"/>
    <w:rsid w:val="009F2D37"/>
    <w:rsid w:val="009F3BA0"/>
    <w:rsid w:val="009F50B3"/>
    <w:rsid w:val="009F59A3"/>
    <w:rsid w:val="009F6713"/>
    <w:rsid w:val="00A00ADB"/>
    <w:rsid w:val="00A032BB"/>
    <w:rsid w:val="00A0699E"/>
    <w:rsid w:val="00A139F5"/>
    <w:rsid w:val="00A165B0"/>
    <w:rsid w:val="00A34319"/>
    <w:rsid w:val="00A365F4"/>
    <w:rsid w:val="00A3677A"/>
    <w:rsid w:val="00A4070A"/>
    <w:rsid w:val="00A416B1"/>
    <w:rsid w:val="00A44ACB"/>
    <w:rsid w:val="00A477B8"/>
    <w:rsid w:val="00A47D80"/>
    <w:rsid w:val="00A53132"/>
    <w:rsid w:val="00A563F2"/>
    <w:rsid w:val="00A566E8"/>
    <w:rsid w:val="00A6544F"/>
    <w:rsid w:val="00A664CE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710D"/>
    <w:rsid w:val="00AB6D25"/>
    <w:rsid w:val="00AB72B1"/>
    <w:rsid w:val="00AD34B4"/>
    <w:rsid w:val="00AE2D4B"/>
    <w:rsid w:val="00AE4325"/>
    <w:rsid w:val="00AE4F99"/>
    <w:rsid w:val="00AE636C"/>
    <w:rsid w:val="00AE77A2"/>
    <w:rsid w:val="00AF6C4B"/>
    <w:rsid w:val="00B04285"/>
    <w:rsid w:val="00B1493C"/>
    <w:rsid w:val="00B14952"/>
    <w:rsid w:val="00B15BEB"/>
    <w:rsid w:val="00B25357"/>
    <w:rsid w:val="00B31E5A"/>
    <w:rsid w:val="00B33E37"/>
    <w:rsid w:val="00B50115"/>
    <w:rsid w:val="00B5279C"/>
    <w:rsid w:val="00B62D1C"/>
    <w:rsid w:val="00B653AB"/>
    <w:rsid w:val="00B65F9E"/>
    <w:rsid w:val="00B66555"/>
    <w:rsid w:val="00B66B19"/>
    <w:rsid w:val="00B718F6"/>
    <w:rsid w:val="00B72ACF"/>
    <w:rsid w:val="00B76C0C"/>
    <w:rsid w:val="00B914E9"/>
    <w:rsid w:val="00B92654"/>
    <w:rsid w:val="00B956EE"/>
    <w:rsid w:val="00B957EC"/>
    <w:rsid w:val="00BA1D4F"/>
    <w:rsid w:val="00BA2BA1"/>
    <w:rsid w:val="00BB4F09"/>
    <w:rsid w:val="00BD2BC3"/>
    <w:rsid w:val="00BD4E33"/>
    <w:rsid w:val="00BD67C2"/>
    <w:rsid w:val="00BE060A"/>
    <w:rsid w:val="00BE0D38"/>
    <w:rsid w:val="00BE1B11"/>
    <w:rsid w:val="00BE588F"/>
    <w:rsid w:val="00C02127"/>
    <w:rsid w:val="00C030DE"/>
    <w:rsid w:val="00C20096"/>
    <w:rsid w:val="00C22105"/>
    <w:rsid w:val="00C244B6"/>
    <w:rsid w:val="00C30406"/>
    <w:rsid w:val="00C3702F"/>
    <w:rsid w:val="00C425A6"/>
    <w:rsid w:val="00C436BE"/>
    <w:rsid w:val="00C43CFC"/>
    <w:rsid w:val="00C5627C"/>
    <w:rsid w:val="00C64A37"/>
    <w:rsid w:val="00C7158E"/>
    <w:rsid w:val="00C7250B"/>
    <w:rsid w:val="00C733C3"/>
    <w:rsid w:val="00C7346B"/>
    <w:rsid w:val="00C7776D"/>
    <w:rsid w:val="00C77A24"/>
    <w:rsid w:val="00C77C0E"/>
    <w:rsid w:val="00C77C4A"/>
    <w:rsid w:val="00C85BB8"/>
    <w:rsid w:val="00C91687"/>
    <w:rsid w:val="00C924A8"/>
    <w:rsid w:val="00C945FE"/>
    <w:rsid w:val="00C96FAA"/>
    <w:rsid w:val="00C97046"/>
    <w:rsid w:val="00C97A04"/>
    <w:rsid w:val="00CA107B"/>
    <w:rsid w:val="00CA484D"/>
    <w:rsid w:val="00CB5036"/>
    <w:rsid w:val="00CC018D"/>
    <w:rsid w:val="00CC303A"/>
    <w:rsid w:val="00CC739E"/>
    <w:rsid w:val="00CD2FE9"/>
    <w:rsid w:val="00CD58B7"/>
    <w:rsid w:val="00CD7C95"/>
    <w:rsid w:val="00CF4099"/>
    <w:rsid w:val="00D00796"/>
    <w:rsid w:val="00D0610C"/>
    <w:rsid w:val="00D07F56"/>
    <w:rsid w:val="00D115A8"/>
    <w:rsid w:val="00D12F60"/>
    <w:rsid w:val="00D261A2"/>
    <w:rsid w:val="00D34D98"/>
    <w:rsid w:val="00D37998"/>
    <w:rsid w:val="00D454F6"/>
    <w:rsid w:val="00D47F89"/>
    <w:rsid w:val="00D51FC3"/>
    <w:rsid w:val="00D53D5E"/>
    <w:rsid w:val="00D616D2"/>
    <w:rsid w:val="00D626BB"/>
    <w:rsid w:val="00D63B5F"/>
    <w:rsid w:val="00D67CD3"/>
    <w:rsid w:val="00D70EF7"/>
    <w:rsid w:val="00D807ED"/>
    <w:rsid w:val="00D8397C"/>
    <w:rsid w:val="00D845BF"/>
    <w:rsid w:val="00D94EED"/>
    <w:rsid w:val="00D96026"/>
    <w:rsid w:val="00DA4CE5"/>
    <w:rsid w:val="00DA7554"/>
    <w:rsid w:val="00DA7C1C"/>
    <w:rsid w:val="00DB147A"/>
    <w:rsid w:val="00DB1B7A"/>
    <w:rsid w:val="00DB20ED"/>
    <w:rsid w:val="00DB562E"/>
    <w:rsid w:val="00DC48DF"/>
    <w:rsid w:val="00DC6708"/>
    <w:rsid w:val="00DE267C"/>
    <w:rsid w:val="00DE2D12"/>
    <w:rsid w:val="00E01436"/>
    <w:rsid w:val="00E045BD"/>
    <w:rsid w:val="00E103C6"/>
    <w:rsid w:val="00E12DB3"/>
    <w:rsid w:val="00E1530F"/>
    <w:rsid w:val="00E17B77"/>
    <w:rsid w:val="00E23337"/>
    <w:rsid w:val="00E2418E"/>
    <w:rsid w:val="00E24517"/>
    <w:rsid w:val="00E259EA"/>
    <w:rsid w:val="00E31C5A"/>
    <w:rsid w:val="00E32061"/>
    <w:rsid w:val="00E33A76"/>
    <w:rsid w:val="00E41F14"/>
    <w:rsid w:val="00E42FF9"/>
    <w:rsid w:val="00E441B4"/>
    <w:rsid w:val="00E44BC0"/>
    <w:rsid w:val="00E4714C"/>
    <w:rsid w:val="00E51AEB"/>
    <w:rsid w:val="00E522A7"/>
    <w:rsid w:val="00E53C35"/>
    <w:rsid w:val="00E54452"/>
    <w:rsid w:val="00E552AA"/>
    <w:rsid w:val="00E62E85"/>
    <w:rsid w:val="00E637B8"/>
    <w:rsid w:val="00E664C5"/>
    <w:rsid w:val="00E671A2"/>
    <w:rsid w:val="00E723F3"/>
    <w:rsid w:val="00E76D26"/>
    <w:rsid w:val="00E86D11"/>
    <w:rsid w:val="00E93AC6"/>
    <w:rsid w:val="00EA7416"/>
    <w:rsid w:val="00EB1390"/>
    <w:rsid w:val="00EB2C71"/>
    <w:rsid w:val="00EB4340"/>
    <w:rsid w:val="00EB556D"/>
    <w:rsid w:val="00EB5A7D"/>
    <w:rsid w:val="00EC6793"/>
    <w:rsid w:val="00ED55C0"/>
    <w:rsid w:val="00ED682B"/>
    <w:rsid w:val="00EE41D5"/>
    <w:rsid w:val="00F02C7E"/>
    <w:rsid w:val="00F037A4"/>
    <w:rsid w:val="00F067F4"/>
    <w:rsid w:val="00F0780F"/>
    <w:rsid w:val="00F136D9"/>
    <w:rsid w:val="00F152E6"/>
    <w:rsid w:val="00F274D0"/>
    <w:rsid w:val="00F27C8F"/>
    <w:rsid w:val="00F32749"/>
    <w:rsid w:val="00F33F19"/>
    <w:rsid w:val="00F3415A"/>
    <w:rsid w:val="00F35F16"/>
    <w:rsid w:val="00F37172"/>
    <w:rsid w:val="00F42440"/>
    <w:rsid w:val="00F4477E"/>
    <w:rsid w:val="00F657FD"/>
    <w:rsid w:val="00F67D8F"/>
    <w:rsid w:val="00F70DA2"/>
    <w:rsid w:val="00F71B2B"/>
    <w:rsid w:val="00F802BE"/>
    <w:rsid w:val="00F80745"/>
    <w:rsid w:val="00F86024"/>
    <w:rsid w:val="00F8611A"/>
    <w:rsid w:val="00FA5128"/>
    <w:rsid w:val="00FB42D4"/>
    <w:rsid w:val="00FB50BD"/>
    <w:rsid w:val="00FB5906"/>
    <w:rsid w:val="00FB762F"/>
    <w:rsid w:val="00FC0B7D"/>
    <w:rsid w:val="00FC2AED"/>
    <w:rsid w:val="00FD2E48"/>
    <w:rsid w:val="00FD5EA7"/>
    <w:rsid w:val="00FF1498"/>
    <w:rsid w:val="00FF1925"/>
    <w:rsid w:val="00FF1AF9"/>
    <w:rsid w:val="00FF29C2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s://stat.gov.pl/obszary-tematyczne/ceny-handel/handel/handel-zagraniczny-statystyka-lustrzana-i-statystyka-asymetrii,17,1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SitePagesDBW/HandelZagranicz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obszary-tematyczne/ceny-handel/handel/obroty-towarowe-handlu-zagranicznego-w-2016-r-,4,14.html" TargetMode="External"/><Relationship Id="rId33" Type="http://schemas.openxmlformats.org/officeDocument/2006/relationships/hyperlink" Target="https://stat.gov.pl/obszary-tematyczne/ceny-handel/handel/handel-zagraniczny-statystyka-lustrzana-i-statystyka-asymetrii,17,1.html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4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roczniki-statystyczne/roczniki-statystyczne/rocznik-statystyczny-handlu-zagranicznego-2017,9,11.html" TargetMode="External"/><Relationship Id="rId32" Type="http://schemas.openxmlformats.org/officeDocument/2006/relationships/hyperlink" Target="http://stat.gov.pl/obszary-tematyczne/ceny-handel/handel/obroty-towarowe-handlu-zagranicznego-w-2016-r-,4,14.html" TargetMode="External"/><Relationship Id="rId37" Type="http://schemas.openxmlformats.org/officeDocument/2006/relationships/hyperlink" Target="http://stat.gov.pl/metainformacje/slownik-pojec/pojecia-stosowane-w-statystyce-publicznej/11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banki-i-bazy-danych/handel-zagraniczny/" TargetMode="External"/><Relationship Id="rId36" Type="http://schemas.openxmlformats.org/officeDocument/2006/relationships/hyperlink" Target="http://stat.gov.pl/metainformacje/slownik-pojec/pojecia-stosowane-w-statystyce-publicznej/746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obszary-tematyczne/roczniki-statystyczne/roczniki-statystyczne/rocznik-statystyczny-handlu-zagranicznego-2017,9,1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HandelZagraniczny.aspx" TargetMode="External"/><Relationship Id="rId30" Type="http://schemas.openxmlformats.org/officeDocument/2006/relationships/hyperlink" Target="http://stat.gov.pl/metainformacje/slownik-pojec/pojecia-stosowane-w-statystyce-publicznej/119,pojecie.html" TargetMode="External"/><Relationship Id="rId35" Type="http://schemas.openxmlformats.org/officeDocument/2006/relationships/hyperlink" Target="http://stat.gov.pl/banki-i-bazy-danych/handel-zagraniczn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0239895877924655E-2"/>
          <c:y val="3.5840258956211221E-2"/>
          <c:w val="0.91351947373558284"/>
          <c:h val="0.84614934630812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wykres!$D$21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</c:spPr>
          <c:invertIfNegative val="0"/>
          <c:cat>
            <c:strRef>
              <c:f>wykres!$E$20:$G$20</c:f>
              <c:strCache>
                <c:ptCount val="3"/>
                <c:pt idx="0">
                  <c:v>IV</c:v>
                </c:pt>
                <c:pt idx="1">
                  <c:v>V</c:v>
                </c:pt>
                <c:pt idx="2">
                  <c:v>VI</c:v>
                </c:pt>
              </c:strCache>
            </c:strRef>
          </c:cat>
          <c:val>
            <c:numRef>
              <c:f>wykres!$E$21:$G$21</c:f>
              <c:numCache>
                <c:formatCode>0.0</c:formatCode>
                <c:ptCount val="3"/>
                <c:pt idx="0">
                  <c:v>75</c:v>
                </c:pt>
                <c:pt idx="1">
                  <c:v>76.2</c:v>
                </c:pt>
                <c:pt idx="2">
                  <c:v>77.3</c:v>
                </c:pt>
              </c:numCache>
            </c:numRef>
          </c:val>
        </c:ser>
        <c:ser>
          <c:idx val="1"/>
          <c:order val="1"/>
          <c:tx>
            <c:strRef>
              <c:f>wykres!$D$22</c:f>
              <c:strCache>
                <c:ptCount val="1"/>
                <c:pt idx="0">
                  <c:v>Import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wykres!$E$20:$G$20</c:f>
              <c:strCache>
                <c:ptCount val="3"/>
                <c:pt idx="0">
                  <c:v>IV</c:v>
                </c:pt>
                <c:pt idx="1">
                  <c:v>V</c:v>
                </c:pt>
                <c:pt idx="2">
                  <c:v>VI</c:v>
                </c:pt>
              </c:strCache>
            </c:strRef>
          </c:cat>
          <c:val>
            <c:numRef>
              <c:f>wykres!$E$22:$G$22</c:f>
              <c:numCache>
                <c:formatCode>0.0</c:formatCode>
                <c:ptCount val="3"/>
                <c:pt idx="0">
                  <c:v>74.8</c:v>
                </c:pt>
                <c:pt idx="1">
                  <c:v>74.5</c:v>
                </c:pt>
                <c:pt idx="2">
                  <c:v>79.3</c:v>
                </c:pt>
              </c:numCache>
            </c:numRef>
          </c:val>
        </c:ser>
        <c:ser>
          <c:idx val="2"/>
          <c:order val="2"/>
          <c:tx>
            <c:strRef>
              <c:f>wykres!$D$23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wykres!$E$20:$G$20</c:f>
              <c:strCache>
                <c:ptCount val="3"/>
                <c:pt idx="0">
                  <c:v>IV</c:v>
                </c:pt>
                <c:pt idx="1">
                  <c:v>V</c:v>
                </c:pt>
                <c:pt idx="2">
                  <c:v>VI</c:v>
                </c:pt>
              </c:strCache>
            </c:strRef>
          </c:cat>
          <c:val>
            <c:numRef>
              <c:f>wykres!$E$23:$G$23</c:f>
              <c:numCache>
                <c:formatCode>0.0</c:formatCode>
                <c:ptCount val="3"/>
                <c:pt idx="0">
                  <c:v>0.2</c:v>
                </c:pt>
                <c:pt idx="1">
                  <c:v>1.7</c:v>
                </c:pt>
                <c:pt idx="2">
                  <c:v>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2618768"/>
        <c:axId val="1862616592"/>
      </c:barChart>
      <c:catAx>
        <c:axId val="186261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616592"/>
        <c:crosses val="autoZero"/>
        <c:auto val="1"/>
        <c:lblAlgn val="ctr"/>
        <c:lblOffset val="100"/>
        <c:noMultiLvlLbl val="0"/>
      </c:catAx>
      <c:valAx>
        <c:axId val="186261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86261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388515800052986"/>
          <c:y val="0.90050048284058848"/>
          <c:w val="0.34133198613761345"/>
          <c:h val="9.9499517159411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iepły niebieski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4A66AC"/>
    </a:accent1>
    <a:accent2>
      <a:srgbClr val="629DD1"/>
    </a:accent2>
    <a:accent3>
      <a:srgbClr val="297FD5"/>
    </a:accent3>
    <a:accent4>
      <a:srgbClr val="7F8FA9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Pakiet 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D65DC-6E8C-460B-849A-CC1EC473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styczeń-czerwiec 2018 roku</dc:title>
  <dc:subject>Obroty towarowe handlu zagranicznego ogółem i według krajów w okresie styczeń-czerwiec 2018 roku</dc:subject>
  <dc:creator>Główny Urząd Statystyczny</dc:creator>
  <cp:keywords>międzynarodowa wymiana towarowa; eksport; import; obroty towarowe handlu zagranicznego wg grup krajów</cp:keywords>
  <dc:description>Obroty towarowe handlu zagranicznego ogółem i według krajów w okresie styczeń-czerwiec 2018 roku</dc:description>
  <cp:lastModifiedBy>Żołynia Marcin</cp:lastModifiedBy>
  <cp:revision>3</cp:revision>
  <cp:lastPrinted>2018-07-04T11:06:00Z</cp:lastPrinted>
  <dcterms:created xsi:type="dcterms:W3CDTF">2018-08-14T07:16:00Z</dcterms:created>
  <dcterms:modified xsi:type="dcterms:W3CDTF">2018-08-14T07:16:00Z</dcterms:modified>
  <cp:category>Obroty towarowe handlu zagranicznego; Handel zagraniczny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