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31581" w:rsidRDefault="00D13520" w:rsidP="00074DD8">
      <w:pPr>
        <w:pStyle w:val="tytuinformacji"/>
        <w:rPr>
          <w:b/>
          <w:szCs w:val="40"/>
          <w:shd w:val="clear" w:color="auto" w:fill="FFFFFF"/>
        </w:rPr>
      </w:pPr>
      <w:r w:rsidRPr="00E31581">
        <w:rPr>
          <w:rFonts w:cs="Arial"/>
          <w:b/>
          <w:szCs w:val="40"/>
        </w:rPr>
        <w:t xml:space="preserve">Dynamika sprzedaży detalicznej w </w:t>
      </w:r>
      <w:r w:rsidR="00F64C62">
        <w:rPr>
          <w:rFonts w:cs="Arial"/>
          <w:b/>
          <w:szCs w:val="40"/>
        </w:rPr>
        <w:t>marcu</w:t>
      </w:r>
      <w:r w:rsidRPr="00E31581">
        <w:rPr>
          <w:rFonts w:cs="Arial"/>
          <w:b/>
          <w:szCs w:val="40"/>
        </w:rPr>
        <w:t xml:space="preserve"> 201</w:t>
      </w:r>
      <w:r w:rsidR="006534EB" w:rsidRPr="00E31581">
        <w:rPr>
          <w:rFonts w:cs="Arial"/>
          <w:b/>
          <w:szCs w:val="40"/>
        </w:rPr>
        <w:t>8</w:t>
      </w:r>
      <w:r w:rsidRPr="00E31581">
        <w:rPr>
          <w:rFonts w:cs="Arial"/>
          <w:b/>
          <w:szCs w:val="40"/>
        </w:rPr>
        <w:t xml:space="preserve"> r.</w:t>
      </w:r>
    </w:p>
    <w:p w:rsidR="00393761" w:rsidRPr="0095396F" w:rsidRDefault="00065EDC" w:rsidP="00074DD8">
      <w:pPr>
        <w:pStyle w:val="tytuinformacji"/>
        <w:rPr>
          <w:rFonts w:asciiTheme="majorHAnsi" w:hAnsiTheme="majorHAnsi"/>
          <w:sz w:val="32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5238115</wp:posOffset>
                </wp:positionH>
                <wp:positionV relativeFrom="paragraph">
                  <wp:posOffset>246380</wp:posOffset>
                </wp:positionV>
                <wp:extent cx="1721485" cy="1095375"/>
                <wp:effectExtent l="0" t="0" r="0" b="0"/>
                <wp:wrapTight wrapText="bothSides">
                  <wp:wrapPolygon edited="0">
                    <wp:start x="717" y="0"/>
                    <wp:lineTo x="717" y="21037"/>
                    <wp:lineTo x="20795" y="21037"/>
                    <wp:lineTo x="20795" y="0"/>
                    <wp:lineTo x="717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917AEC" w:rsidRDefault="00A930B2" w:rsidP="00E80C30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F61EC8">
                              <w:t>marcu</w:t>
                            </w:r>
                            <w:r w:rsidR="00515198">
                              <w:t xml:space="preserve"> 2018 </w:t>
                            </w:r>
                            <w:r>
                              <w:t xml:space="preserve">r. </w:t>
                            </w:r>
                            <w:r w:rsidR="00EB77B3">
                              <w:t xml:space="preserve">tempo </w:t>
                            </w:r>
                            <w:r w:rsidR="007C70C7">
                              <w:t xml:space="preserve">wzrostu </w:t>
                            </w:r>
                            <w:r w:rsidR="00431F5B" w:rsidRPr="00917AEC">
                              <w:t>sprzedaż</w:t>
                            </w:r>
                            <w:r w:rsidR="00EB77B3">
                              <w:t>y</w:t>
                            </w:r>
                            <w:r w:rsidR="00431F5B" w:rsidRPr="00917AEC">
                              <w:t xml:space="preserve"> detaliczn</w:t>
                            </w:r>
                            <w:r w:rsidR="00EB77B3">
                              <w:t>ej</w:t>
                            </w:r>
                            <w:r w:rsidR="00431F5B" w:rsidRPr="00917AEC">
                              <w:t xml:space="preserve"> w</w:t>
                            </w:r>
                            <w:r w:rsidR="00B6757A">
                              <w:t> </w:t>
                            </w:r>
                            <w:r w:rsidR="007C70C7">
                              <w:t>ce</w:t>
                            </w:r>
                            <w:r w:rsidR="00431F5B" w:rsidRPr="00917AEC">
                              <w:t xml:space="preserve">nach stałych </w:t>
                            </w:r>
                            <w:r w:rsidR="00EB77B3">
                              <w:t>r/r</w:t>
                            </w:r>
                            <w:r w:rsidR="00431F5B">
                              <w:t xml:space="preserve"> </w:t>
                            </w:r>
                            <w:r w:rsidR="00F61EC8">
                              <w:t>było</w:t>
                            </w:r>
                            <w:r w:rsidR="00670B69">
                              <w:t xml:space="preserve"> o</w:t>
                            </w:r>
                            <w:r w:rsidR="00CF5468">
                              <w:t> </w:t>
                            </w:r>
                            <w:r w:rsidR="00670B69">
                              <w:t xml:space="preserve">1,1 </w:t>
                            </w:r>
                            <w:r w:rsidR="007B1AA2">
                              <w:t>p. proc.</w:t>
                            </w:r>
                            <w:r w:rsidR="00F61EC8">
                              <w:t xml:space="preserve"> wyższe niż w</w:t>
                            </w:r>
                            <w:r w:rsidR="00EE2E6E">
                              <w:t> </w:t>
                            </w:r>
                            <w:r w:rsidR="00F61EC8">
                              <w:t>poprzednich miesiącach br.</w:t>
                            </w:r>
                          </w:p>
                          <w:p w:rsidR="00431F5B" w:rsidRPr="00074DD8" w:rsidRDefault="00431F5B" w:rsidP="00074DD8">
                            <w:pPr>
                              <w:pStyle w:val="tekstzboku"/>
                            </w:pPr>
                            <w:r w:rsidRPr="00074DD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45pt;margin-top:19.4pt;width:135.55pt;height:86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" filled="f" stroked="f">
                <v:textbox>
                  <w:txbxContent>
                    <w:p w:rsidR="00431F5B" w:rsidRPr="00917AEC" w:rsidRDefault="00A930B2" w:rsidP="00E80C30">
                      <w:pPr>
                        <w:pStyle w:val="tekstzboku"/>
                      </w:pPr>
                      <w:r>
                        <w:t xml:space="preserve">W </w:t>
                      </w:r>
                      <w:r w:rsidR="00F61EC8">
                        <w:t>marcu</w:t>
                      </w:r>
                      <w:r w:rsidR="00515198">
                        <w:t xml:space="preserve"> 2018 </w:t>
                      </w:r>
                      <w:r>
                        <w:t xml:space="preserve">r. </w:t>
                      </w:r>
                      <w:r w:rsidR="00EB77B3">
                        <w:t xml:space="preserve">tempo </w:t>
                      </w:r>
                      <w:r w:rsidR="007C70C7">
                        <w:t xml:space="preserve">wzrostu </w:t>
                      </w:r>
                      <w:r w:rsidR="00431F5B" w:rsidRPr="00917AEC">
                        <w:t>sprzedaż</w:t>
                      </w:r>
                      <w:r w:rsidR="00EB77B3">
                        <w:t>y</w:t>
                      </w:r>
                      <w:r w:rsidR="00431F5B" w:rsidRPr="00917AEC">
                        <w:t xml:space="preserve"> detaliczn</w:t>
                      </w:r>
                      <w:r w:rsidR="00EB77B3">
                        <w:t>ej</w:t>
                      </w:r>
                      <w:r w:rsidR="00431F5B" w:rsidRPr="00917AEC">
                        <w:t xml:space="preserve"> w</w:t>
                      </w:r>
                      <w:r w:rsidR="00B6757A">
                        <w:t> </w:t>
                      </w:r>
                      <w:r w:rsidR="007C70C7">
                        <w:t>ce</w:t>
                      </w:r>
                      <w:r w:rsidR="00431F5B" w:rsidRPr="00917AEC">
                        <w:t xml:space="preserve">nach stałych </w:t>
                      </w:r>
                      <w:r w:rsidR="00EB77B3">
                        <w:t>r/r</w:t>
                      </w:r>
                      <w:r w:rsidR="00431F5B">
                        <w:t xml:space="preserve"> </w:t>
                      </w:r>
                      <w:r w:rsidR="00F61EC8">
                        <w:t>było</w:t>
                      </w:r>
                      <w:r w:rsidR="00670B69">
                        <w:t xml:space="preserve"> o</w:t>
                      </w:r>
                      <w:r w:rsidR="00CF5468">
                        <w:t> </w:t>
                      </w:r>
                      <w:r w:rsidR="00670B69">
                        <w:t xml:space="preserve">1,1 </w:t>
                      </w:r>
                      <w:r w:rsidR="007B1AA2">
                        <w:t>p. proc.</w:t>
                      </w:r>
                      <w:r w:rsidR="00F61EC8">
                        <w:t xml:space="preserve"> wyższe niż w</w:t>
                      </w:r>
                      <w:r w:rsidR="00EE2E6E">
                        <w:t> </w:t>
                      </w:r>
                      <w:r w:rsidR="00F61EC8">
                        <w:t>poprzednich miesiącach br.</w:t>
                      </w:r>
                    </w:p>
                    <w:p w:rsidR="00431F5B" w:rsidRPr="00074DD8" w:rsidRDefault="00431F5B" w:rsidP="00074DD8">
                      <w:pPr>
                        <w:pStyle w:val="tekstzboku"/>
                      </w:pPr>
                      <w:r w:rsidRPr="00074DD8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E31581" w:rsidRDefault="00065EDC" w:rsidP="005B6AAA">
      <w:pPr>
        <w:pStyle w:val="LID"/>
      </w:pP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1828800" cy="11887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87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B66B19" w:rsidRDefault="00431F5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14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C015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C015E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</w:p>
                          <w:p w:rsidR="00431F5B" w:rsidRPr="007C61E6" w:rsidRDefault="00431F5B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C61E6">
                              <w:t xml:space="preserve">Dynamika sprzedaży </w:t>
                            </w:r>
                            <w:r w:rsidRPr="007C61E6">
                              <w:br/>
                              <w:t xml:space="preserve">detalicznej </w:t>
                            </w:r>
                            <w: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2pt;width:2in;height:93.6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" fillcolor="#001d77" stroked="f">
                <v:textbox>
                  <w:txbxContent>
                    <w:p w:rsidR="00431F5B" w:rsidRPr="00B66B19" w:rsidRDefault="00431F5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2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C015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C015E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</w:p>
                    <w:p w:rsidR="00431F5B" w:rsidRPr="007C61E6" w:rsidRDefault="00431F5B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7C61E6">
                        <w:t xml:space="preserve">Dynamika sprzedaży </w:t>
                      </w:r>
                      <w:r w:rsidRPr="007C61E6">
                        <w:br/>
                        <w:t xml:space="preserve">detalicznej </w:t>
                      </w:r>
                      <w: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4499">
        <w:t>Sprzedaż detaliczna</w:t>
      </w:r>
      <w:r w:rsidR="00E80C30" w:rsidRPr="00E31581">
        <w:rPr>
          <w:rStyle w:val="Odwoanieprzypisudolnego"/>
        </w:rPr>
        <w:footnoteReference w:id="1"/>
      </w:r>
      <w:r w:rsidR="003C2CAA" w:rsidRPr="00E31581">
        <w:t xml:space="preserve"> </w:t>
      </w:r>
      <w:r w:rsidR="003C2CAA" w:rsidRPr="00E31581">
        <w:rPr>
          <w:rFonts w:cs="Arial"/>
          <w:szCs w:val="24"/>
        </w:rPr>
        <w:t xml:space="preserve">w cenach stałych </w:t>
      </w:r>
      <w:r w:rsidR="0096306A" w:rsidRPr="00E31581">
        <w:t>w </w:t>
      </w:r>
      <w:r w:rsidR="00F309F4">
        <w:t xml:space="preserve">marcu </w:t>
      </w:r>
      <w:r w:rsidR="003C2CAA" w:rsidRPr="00E31581">
        <w:t xml:space="preserve">br. </w:t>
      </w:r>
      <w:r w:rsidR="00854499">
        <w:t xml:space="preserve">była wyższa niż przed rokiem o 8,8% </w:t>
      </w:r>
      <w:r w:rsidR="00BC6A47">
        <w:t>(wobec wzrostu o 7,9%</w:t>
      </w:r>
      <w:r w:rsidR="001D399D">
        <w:t xml:space="preserve"> w </w:t>
      </w:r>
      <w:r w:rsidR="00BC6A47">
        <w:t>marcu ub. roku)</w:t>
      </w:r>
      <w:r w:rsidR="003C2CAA" w:rsidRPr="00E31581">
        <w:t xml:space="preserve">. </w:t>
      </w:r>
      <w:r w:rsidR="00135671">
        <w:t>Tempo w</w:t>
      </w:r>
      <w:r w:rsidR="003C2CAA" w:rsidRPr="00E31581">
        <w:t>zrost</w:t>
      </w:r>
      <w:r w:rsidR="00135671">
        <w:t>u</w:t>
      </w:r>
      <w:r w:rsidR="003C2CAA" w:rsidRPr="00E31581">
        <w:t xml:space="preserve"> sprzedaży detalicznej </w:t>
      </w:r>
      <w:r w:rsidR="00513647">
        <w:rPr>
          <w:bCs/>
        </w:rPr>
        <w:t xml:space="preserve">było wyższe niż </w:t>
      </w:r>
      <w:r w:rsidR="00125CC4">
        <w:rPr>
          <w:bCs/>
        </w:rPr>
        <w:t>w styczniu i lutym br.</w:t>
      </w:r>
      <w:r w:rsidR="00513647">
        <w:rPr>
          <w:bCs/>
        </w:rPr>
        <w:t>,</w:t>
      </w:r>
      <w:r w:rsidR="00EE5667">
        <w:rPr>
          <w:bCs/>
        </w:rPr>
        <w:t xml:space="preserve"> </w:t>
      </w:r>
      <w:r w:rsidR="00513647">
        <w:rPr>
          <w:bCs/>
        </w:rPr>
        <w:t>kiedy odnotowano wzrost o 7,7%</w:t>
      </w:r>
      <w:r w:rsidR="00976445">
        <w:rPr>
          <w:bCs/>
        </w:rPr>
        <w:t>.</w:t>
      </w:r>
      <w:r w:rsidR="00125CC4">
        <w:rPr>
          <w:bCs/>
        </w:rPr>
        <w:t xml:space="preserve"> </w:t>
      </w:r>
      <w:r w:rsidR="00017FFE" w:rsidRPr="00E31581">
        <w:rPr>
          <w:rFonts w:cs="Arial"/>
          <w:szCs w:val="24"/>
        </w:rPr>
        <w:t>W porównaniu z</w:t>
      </w:r>
      <w:r w:rsidR="00157AF9">
        <w:rPr>
          <w:rFonts w:cs="Arial"/>
          <w:szCs w:val="24"/>
        </w:rPr>
        <w:t xml:space="preserve"> lutym</w:t>
      </w:r>
      <w:r w:rsidR="00017FFE" w:rsidRPr="00E31581">
        <w:rPr>
          <w:rFonts w:cs="Arial"/>
          <w:szCs w:val="24"/>
        </w:rPr>
        <w:t xml:space="preserve"> </w:t>
      </w:r>
      <w:r w:rsidR="00EE5667">
        <w:rPr>
          <w:rFonts w:cs="Arial"/>
          <w:szCs w:val="24"/>
        </w:rPr>
        <w:t>br</w:t>
      </w:r>
      <w:r w:rsidR="00976445">
        <w:rPr>
          <w:rFonts w:cs="Arial"/>
          <w:szCs w:val="24"/>
        </w:rPr>
        <w:t xml:space="preserve">. </w:t>
      </w:r>
      <w:r w:rsidR="00017FFE" w:rsidRPr="00E31581">
        <w:rPr>
          <w:rFonts w:cs="Arial"/>
          <w:szCs w:val="24"/>
        </w:rPr>
        <w:t xml:space="preserve">miał miejsce </w:t>
      </w:r>
      <w:r w:rsidR="00157AF9">
        <w:rPr>
          <w:rFonts w:cs="Arial"/>
          <w:szCs w:val="24"/>
        </w:rPr>
        <w:t>wzrost</w:t>
      </w:r>
      <w:r w:rsidR="00976445">
        <w:rPr>
          <w:rFonts w:cs="Arial"/>
          <w:szCs w:val="24"/>
        </w:rPr>
        <w:t xml:space="preserve"> sprzedaży detalicznej o </w:t>
      </w:r>
      <w:r w:rsidR="00157AF9">
        <w:rPr>
          <w:rFonts w:cs="Arial"/>
          <w:szCs w:val="24"/>
        </w:rPr>
        <w:t>17</w:t>
      </w:r>
      <w:r w:rsidR="00017FFE" w:rsidRPr="00E31581">
        <w:rPr>
          <w:rFonts w:cs="Arial"/>
          <w:szCs w:val="24"/>
        </w:rPr>
        <w:t>,</w:t>
      </w:r>
      <w:r w:rsidR="00157AF9">
        <w:rPr>
          <w:rFonts w:cs="Arial"/>
          <w:szCs w:val="24"/>
        </w:rPr>
        <w:t>9</w:t>
      </w:r>
      <w:r w:rsidR="00017FFE" w:rsidRPr="00E31581">
        <w:rPr>
          <w:rFonts w:cs="Arial"/>
          <w:szCs w:val="24"/>
        </w:rPr>
        <w:t>%</w:t>
      </w:r>
      <w:r w:rsidR="001F67FE">
        <w:rPr>
          <w:rFonts w:cs="Arial"/>
          <w:szCs w:val="24"/>
        </w:rPr>
        <w:t>.</w:t>
      </w:r>
    </w:p>
    <w:p w:rsidR="005737E1" w:rsidRPr="0095396F" w:rsidRDefault="005737E1" w:rsidP="00074DD8">
      <w:pPr>
        <w:pStyle w:val="Nagwek1"/>
        <w:rPr>
          <w:rFonts w:asciiTheme="majorHAnsi" w:hAnsiTheme="majorHAnsi"/>
        </w:rPr>
      </w:pPr>
    </w:p>
    <w:p w:rsidR="00C22105" w:rsidRPr="00E31581" w:rsidRDefault="00065EDC" w:rsidP="00074DD8">
      <w:pPr>
        <w:pStyle w:val="Nagwek1"/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5238115</wp:posOffset>
                </wp:positionH>
                <wp:positionV relativeFrom="paragraph">
                  <wp:posOffset>167005</wp:posOffset>
                </wp:positionV>
                <wp:extent cx="1604645" cy="1074420"/>
                <wp:effectExtent l="0" t="0" r="0" b="0"/>
                <wp:wrapTight wrapText="bothSides">
                  <wp:wrapPolygon edited="0">
                    <wp:start x="769" y="0"/>
                    <wp:lineTo x="769" y="21064"/>
                    <wp:lineTo x="20771" y="21064"/>
                    <wp:lineTo x="20771" y="0"/>
                    <wp:lineTo x="769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415861" w:rsidRDefault="00431F5B" w:rsidP="00074DD8">
                            <w:pPr>
                              <w:pStyle w:val="tekstzboku"/>
                            </w:pPr>
                            <w:r>
                              <w:rPr>
                                <w:rFonts w:cs="Arial"/>
                              </w:rPr>
                              <w:t xml:space="preserve">W </w:t>
                            </w:r>
                            <w:r w:rsidR="007149AA">
                              <w:rPr>
                                <w:rFonts w:cs="Arial"/>
                              </w:rPr>
                              <w:t xml:space="preserve">I kwartale </w:t>
                            </w:r>
                            <w:r>
                              <w:rPr>
                                <w:rFonts w:cs="Arial"/>
                              </w:rPr>
                              <w:t>2018 r. w</w:t>
                            </w:r>
                            <w:r w:rsidRPr="00E31581">
                              <w:rPr>
                                <w:rFonts w:cs="Arial"/>
                              </w:rPr>
                              <w:t xml:space="preserve">zrost sprzedaży detalicznej w cenach stałych w skali roku </w:t>
                            </w:r>
                            <w:r w:rsidR="007149AA">
                              <w:rPr>
                                <w:rFonts w:cs="Arial"/>
                              </w:rPr>
                              <w:t>wyniósł 8,1%</w:t>
                            </w:r>
                          </w:p>
                          <w:p w:rsidR="00431F5B" w:rsidRPr="00415861" w:rsidRDefault="00431F5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2.45pt;margin-top:13.15pt;width:126.35pt;height:84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" filled="f" stroked="f">
                <v:textbox>
                  <w:txbxContent>
                    <w:p w:rsidR="00431F5B" w:rsidRPr="00415861" w:rsidRDefault="00431F5B" w:rsidP="00074DD8">
                      <w:pPr>
                        <w:pStyle w:val="tekstzboku"/>
                      </w:pPr>
                      <w:r>
                        <w:rPr>
                          <w:rFonts w:cs="Arial"/>
                        </w:rPr>
                        <w:t xml:space="preserve">W </w:t>
                      </w:r>
                      <w:r w:rsidR="007149AA">
                        <w:rPr>
                          <w:rFonts w:cs="Arial"/>
                        </w:rPr>
                        <w:t xml:space="preserve">I kwartale </w:t>
                      </w:r>
                      <w:r>
                        <w:rPr>
                          <w:rFonts w:cs="Arial"/>
                        </w:rPr>
                        <w:t>2018 r. w</w:t>
                      </w:r>
                      <w:r w:rsidRPr="00E31581">
                        <w:rPr>
                          <w:rFonts w:cs="Arial"/>
                        </w:rPr>
                        <w:t xml:space="preserve">zrost sprzedaży detalicznej w cenach stałych w skali roku </w:t>
                      </w:r>
                      <w:r w:rsidR="007149AA">
                        <w:rPr>
                          <w:rFonts w:cs="Arial"/>
                        </w:rPr>
                        <w:t>wyniósł 8,1%</w:t>
                      </w:r>
                    </w:p>
                    <w:p w:rsidR="00431F5B" w:rsidRPr="00415861" w:rsidRDefault="00431F5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17FFE" w:rsidRPr="00E31581">
        <w:t xml:space="preserve">Sprzedaż detaliczna towarów według rodzajów działalności </w:t>
      </w:r>
      <w:r w:rsidR="00C20E37">
        <w:t>przedsiębiorstwa</w:t>
      </w:r>
    </w:p>
    <w:p w:rsidR="00E80C30" w:rsidRPr="00E31581" w:rsidRDefault="00E80C30" w:rsidP="008115B5">
      <w:pPr>
        <w:spacing w:before="0" w:after="0"/>
        <w:rPr>
          <w:rFonts w:cs="Arial"/>
        </w:rPr>
      </w:pPr>
      <w:r w:rsidRPr="00E31581">
        <w:rPr>
          <w:rFonts w:cs="Arial"/>
        </w:rPr>
        <w:t>Wśród grup o znaczącym udziale w sprzedaży detalicznej „ogółem</w:t>
      </w:r>
      <w:r w:rsidR="00E00E46">
        <w:rPr>
          <w:rFonts w:cs="Arial"/>
        </w:rPr>
        <w:t>”</w:t>
      </w:r>
      <w:r w:rsidR="00C20E37">
        <w:rPr>
          <w:rFonts w:cs="Arial"/>
        </w:rPr>
        <w:t xml:space="preserve"> </w:t>
      </w:r>
      <w:r w:rsidR="006C5460">
        <w:rPr>
          <w:rFonts w:cs="Arial"/>
        </w:rPr>
        <w:t>najwyższy</w:t>
      </w:r>
      <w:r w:rsidR="000144A9">
        <w:rPr>
          <w:rFonts w:cs="Arial"/>
        </w:rPr>
        <w:t xml:space="preserve"> </w:t>
      </w:r>
      <w:r w:rsidRPr="00E31581">
        <w:rPr>
          <w:rFonts w:cs="Arial"/>
        </w:rPr>
        <w:t xml:space="preserve">wzrost w </w:t>
      </w:r>
      <w:r w:rsidR="008115B5">
        <w:rPr>
          <w:rFonts w:cs="Arial"/>
        </w:rPr>
        <w:t>marcu</w:t>
      </w:r>
      <w:r w:rsidR="0099491E">
        <w:rPr>
          <w:rFonts w:cs="Arial"/>
        </w:rPr>
        <w:t xml:space="preserve"> </w:t>
      </w:r>
      <w:r w:rsidRPr="0099491E">
        <w:t>2018</w:t>
      </w:r>
      <w:r w:rsidR="0099491E">
        <w:t> </w:t>
      </w:r>
      <w:r w:rsidRPr="0099491E">
        <w:t>r</w:t>
      </w:r>
      <w:r w:rsidRPr="00E31581">
        <w:rPr>
          <w:rFonts w:cs="Arial"/>
        </w:rPr>
        <w:t>. w porównaniu z analogicznym okresem ub. roku</w:t>
      </w:r>
      <w:r w:rsidR="0008767F">
        <w:rPr>
          <w:rFonts w:cs="Arial"/>
        </w:rPr>
        <w:t xml:space="preserve"> (w cenach stałych)</w:t>
      </w:r>
      <w:r w:rsidRPr="00E31581">
        <w:rPr>
          <w:rFonts w:cs="Arial"/>
        </w:rPr>
        <w:t xml:space="preserve"> zaobserwowano w </w:t>
      </w:r>
      <w:r w:rsidR="00427910" w:rsidRPr="00E31581">
        <w:rPr>
          <w:rFonts w:cs="Arial"/>
        </w:rPr>
        <w:t>przedsiębior</w:t>
      </w:r>
      <w:r w:rsidR="00427910">
        <w:rPr>
          <w:rFonts w:cs="Arial"/>
        </w:rPr>
        <w:t xml:space="preserve">stwach z grupy </w:t>
      </w:r>
      <w:r w:rsidR="008115B5" w:rsidRPr="00E31581">
        <w:rPr>
          <w:rFonts w:cs="Arial"/>
        </w:rPr>
        <w:t xml:space="preserve">„pozostała sprzedaż detaliczna w niewyspecjalizowanych sklepach” </w:t>
      </w:r>
      <w:r w:rsidR="00427910">
        <w:rPr>
          <w:rFonts w:cs="Arial"/>
        </w:rPr>
        <w:t>(o 1</w:t>
      </w:r>
      <w:r w:rsidR="00DF0DED">
        <w:rPr>
          <w:rFonts w:cs="Arial"/>
        </w:rPr>
        <w:t>7</w:t>
      </w:r>
      <w:r w:rsidR="00427910">
        <w:rPr>
          <w:rFonts w:cs="Arial"/>
        </w:rPr>
        <w:t>,</w:t>
      </w:r>
      <w:r w:rsidR="00DF0DED">
        <w:rPr>
          <w:rFonts w:cs="Arial"/>
        </w:rPr>
        <w:t>4</w:t>
      </w:r>
      <w:r w:rsidR="00427910">
        <w:rPr>
          <w:rFonts w:cs="Arial"/>
        </w:rPr>
        <w:t xml:space="preserve">% wobec wzrostu o </w:t>
      </w:r>
      <w:r w:rsidR="00DF0DED">
        <w:rPr>
          <w:rFonts w:cs="Arial"/>
        </w:rPr>
        <w:t>3</w:t>
      </w:r>
      <w:r w:rsidR="00427910">
        <w:rPr>
          <w:rFonts w:cs="Arial"/>
        </w:rPr>
        <w:t>,</w:t>
      </w:r>
      <w:r w:rsidR="00DF0DED">
        <w:rPr>
          <w:rFonts w:cs="Arial"/>
        </w:rPr>
        <w:t>7</w:t>
      </w:r>
      <w:r w:rsidR="00427910">
        <w:rPr>
          <w:rFonts w:cs="Arial"/>
        </w:rPr>
        <w:t>% przed rokiem)</w:t>
      </w:r>
      <w:r w:rsidRPr="00E31581">
        <w:rPr>
          <w:rFonts w:cs="Arial"/>
        </w:rPr>
        <w:t xml:space="preserve">. Znaczny wzrost sprzedaży odnotowano </w:t>
      </w:r>
      <w:r w:rsidR="001C6802">
        <w:rPr>
          <w:rFonts w:cs="Arial"/>
        </w:rPr>
        <w:t>także</w:t>
      </w:r>
      <w:r w:rsidRPr="00E31581">
        <w:rPr>
          <w:rFonts w:cs="Arial"/>
        </w:rPr>
        <w:t xml:space="preserve"> w przedsiębiorst</w:t>
      </w:r>
      <w:r w:rsidR="00B33803">
        <w:rPr>
          <w:rFonts w:cs="Arial"/>
        </w:rPr>
        <w:t xml:space="preserve">wach </w:t>
      </w:r>
      <w:r w:rsidR="00427910">
        <w:rPr>
          <w:rFonts w:cs="Arial"/>
        </w:rPr>
        <w:t xml:space="preserve">handlujących </w:t>
      </w:r>
      <w:r w:rsidR="008115B5">
        <w:rPr>
          <w:rFonts w:cs="Arial"/>
        </w:rPr>
        <w:t xml:space="preserve">żywnością, napojami i wyrobami tytoniowymi (o 13,8%), co </w:t>
      </w:r>
      <w:r w:rsidR="00273B9E">
        <w:rPr>
          <w:rFonts w:cs="Arial"/>
        </w:rPr>
        <w:t xml:space="preserve">spowodowane </w:t>
      </w:r>
      <w:r w:rsidR="00A00473">
        <w:rPr>
          <w:rFonts w:cs="Arial"/>
        </w:rPr>
        <w:t>było m.in.</w:t>
      </w:r>
      <w:r w:rsidR="008115B5">
        <w:rPr>
          <w:rFonts w:cs="Arial"/>
        </w:rPr>
        <w:t xml:space="preserve"> </w:t>
      </w:r>
      <w:r w:rsidR="00273B9E">
        <w:rPr>
          <w:rFonts w:cs="Arial"/>
        </w:rPr>
        <w:t>przesunięciem zakupów świątecznych na marzec br. w</w:t>
      </w:r>
      <w:r w:rsidR="002208FB">
        <w:rPr>
          <w:rFonts w:cs="Arial"/>
        </w:rPr>
        <w:t> </w:t>
      </w:r>
      <w:r w:rsidR="00273B9E">
        <w:rPr>
          <w:rFonts w:cs="Arial"/>
        </w:rPr>
        <w:t xml:space="preserve">związku z </w:t>
      </w:r>
      <w:r w:rsidR="008115B5">
        <w:rPr>
          <w:rFonts w:cs="Arial"/>
        </w:rPr>
        <w:t xml:space="preserve">wcześniejszą datą Świąt Wielkanocnych </w:t>
      </w:r>
      <w:r w:rsidR="00504D32">
        <w:rPr>
          <w:rFonts w:cs="Arial"/>
        </w:rPr>
        <w:t xml:space="preserve">w </w:t>
      </w:r>
      <w:r w:rsidR="00273B9E">
        <w:rPr>
          <w:rFonts w:cs="Arial"/>
        </w:rPr>
        <w:t>2018 r.</w:t>
      </w:r>
      <w:r w:rsidR="00504D32">
        <w:rPr>
          <w:rFonts w:cs="Arial"/>
        </w:rPr>
        <w:t xml:space="preserve"> </w:t>
      </w:r>
      <w:r w:rsidR="005819EE">
        <w:rPr>
          <w:rFonts w:cs="Arial"/>
        </w:rPr>
        <w:t>(tzw. efekt kalendarza</w:t>
      </w:r>
      <w:r w:rsidR="001C6802">
        <w:rPr>
          <w:rFonts w:cs="Arial"/>
        </w:rPr>
        <w:t>)</w:t>
      </w:r>
      <w:r w:rsidR="00273B9E">
        <w:rPr>
          <w:rFonts w:cs="Arial"/>
        </w:rPr>
        <w:t>.</w:t>
      </w:r>
    </w:p>
    <w:p w:rsidR="00B97152" w:rsidRDefault="00E80C30" w:rsidP="00634344">
      <w:pPr>
        <w:spacing w:before="0" w:after="0"/>
        <w:rPr>
          <w:rFonts w:cs="Arial"/>
        </w:rPr>
      </w:pPr>
      <w:r w:rsidRPr="00E31581">
        <w:rPr>
          <w:rFonts w:cs="Arial"/>
        </w:rPr>
        <w:t xml:space="preserve">Spośród grup o niższym udziale w sprzedaży detalicznej „ogółem” </w:t>
      </w:r>
      <w:r w:rsidR="005819EE">
        <w:rPr>
          <w:rFonts w:cs="Arial"/>
        </w:rPr>
        <w:t>wysoki</w:t>
      </w:r>
      <w:r w:rsidRPr="00E31581">
        <w:rPr>
          <w:rFonts w:cs="Arial"/>
        </w:rPr>
        <w:t xml:space="preserve"> wzrost wykazały podmioty </w:t>
      </w:r>
      <w:r w:rsidR="00B00A8B">
        <w:rPr>
          <w:rFonts w:cs="Arial"/>
        </w:rPr>
        <w:t xml:space="preserve">wchodzące w skład grupowań </w:t>
      </w:r>
      <w:r w:rsidR="005819EE">
        <w:rPr>
          <w:rFonts w:cs="Arial"/>
        </w:rPr>
        <w:t>„farmaceutyki, kosmetyki, sprzęt ortopedyczny” (o</w:t>
      </w:r>
      <w:r w:rsidR="00B00A8B">
        <w:rPr>
          <w:rFonts w:cs="Arial"/>
        </w:rPr>
        <w:t> </w:t>
      </w:r>
      <w:r w:rsidR="005819EE">
        <w:rPr>
          <w:rFonts w:cs="Arial"/>
        </w:rPr>
        <w:t>14,1%)</w:t>
      </w:r>
      <w:r w:rsidR="00B00A8B">
        <w:rPr>
          <w:rFonts w:cs="Arial"/>
        </w:rPr>
        <w:t xml:space="preserve"> oraz</w:t>
      </w:r>
      <w:r w:rsidR="00107DC3">
        <w:rPr>
          <w:rFonts w:cs="Arial"/>
        </w:rPr>
        <w:t xml:space="preserve"> „</w:t>
      </w:r>
      <w:r w:rsidR="0063751F">
        <w:rPr>
          <w:rFonts w:cs="Arial"/>
        </w:rPr>
        <w:t>tekstylia, odzież, obuwie</w:t>
      </w:r>
      <w:r w:rsidR="00107DC3">
        <w:rPr>
          <w:rFonts w:cs="Arial"/>
        </w:rPr>
        <w:t>”</w:t>
      </w:r>
      <w:r w:rsidRPr="00E31581">
        <w:rPr>
          <w:rFonts w:cs="Arial"/>
        </w:rPr>
        <w:t xml:space="preserve"> (o </w:t>
      </w:r>
      <w:r w:rsidR="00107DC3">
        <w:rPr>
          <w:rFonts w:cs="Arial"/>
        </w:rPr>
        <w:t>13</w:t>
      </w:r>
      <w:r w:rsidRPr="00E31581">
        <w:rPr>
          <w:rFonts w:cs="Arial"/>
        </w:rPr>
        <w:t>,</w:t>
      </w:r>
      <w:r w:rsidR="00107DC3">
        <w:rPr>
          <w:rFonts w:cs="Arial"/>
        </w:rPr>
        <w:t>0</w:t>
      </w:r>
      <w:r w:rsidRPr="00E31581">
        <w:rPr>
          <w:rFonts w:cs="Arial"/>
        </w:rPr>
        <w:t xml:space="preserve">%). </w:t>
      </w:r>
      <w:r w:rsidR="00B00A8B">
        <w:rPr>
          <w:rFonts w:cs="Arial"/>
        </w:rPr>
        <w:t>Spad</w:t>
      </w:r>
      <w:r w:rsidR="00C66F06">
        <w:rPr>
          <w:rFonts w:cs="Arial"/>
        </w:rPr>
        <w:t>e</w:t>
      </w:r>
      <w:r w:rsidR="00B00A8B">
        <w:rPr>
          <w:rFonts w:cs="Arial"/>
        </w:rPr>
        <w:t xml:space="preserve">k sprzedaży zanotowały natomiast </w:t>
      </w:r>
      <w:r w:rsidR="00682532">
        <w:rPr>
          <w:rFonts w:cs="Arial"/>
        </w:rPr>
        <w:t>jednostki</w:t>
      </w:r>
      <w:r w:rsidR="00B00A8B">
        <w:rPr>
          <w:rFonts w:cs="Arial"/>
        </w:rPr>
        <w:t xml:space="preserve"> z grup: „prasa, książki, pozostała sprzedaż w wyspecjalizowanych sklepach (o 2,5%);</w:t>
      </w:r>
    </w:p>
    <w:p w:rsidR="00B00A8B" w:rsidRDefault="003208BA" w:rsidP="00634344">
      <w:pPr>
        <w:spacing w:before="0" w:after="0"/>
        <w:rPr>
          <w:rFonts w:cs="Arial"/>
        </w:rPr>
      </w:pPr>
      <w:r w:rsidRPr="00D17EB2">
        <w:rPr>
          <w:rFonts w:cs="Arial"/>
        </w:rPr>
        <w:t>„</w:t>
      </w:r>
      <w:r w:rsidR="00C66F06" w:rsidRPr="00D17EB2">
        <w:rPr>
          <w:rFonts w:cs="Arial"/>
        </w:rPr>
        <w:t>pojazdy samochodowe, motocykle, części</w:t>
      </w:r>
      <w:r w:rsidRPr="00D17EB2">
        <w:rPr>
          <w:rFonts w:cs="Arial"/>
        </w:rPr>
        <w:t>”</w:t>
      </w:r>
      <w:r w:rsidR="004B2AFF" w:rsidRPr="00D17EB2">
        <w:rPr>
          <w:rFonts w:cs="Arial"/>
        </w:rPr>
        <w:t xml:space="preserve"> </w:t>
      </w:r>
      <w:r w:rsidR="004B2AFF">
        <w:rPr>
          <w:rFonts w:cs="Arial"/>
        </w:rPr>
        <w:t>(o 0,6%).</w:t>
      </w:r>
    </w:p>
    <w:p w:rsidR="00CF3814" w:rsidRDefault="00CF3814" w:rsidP="00634344">
      <w:pPr>
        <w:spacing w:before="0" w:after="0"/>
        <w:rPr>
          <w:rFonts w:cs="Arial"/>
        </w:rPr>
      </w:pPr>
      <w:r>
        <w:rPr>
          <w:rFonts w:cs="Arial"/>
        </w:rPr>
        <w:t>W okresie styczeń-</w:t>
      </w:r>
      <w:r w:rsidR="00B211A6">
        <w:rPr>
          <w:rFonts w:cs="Arial"/>
        </w:rPr>
        <w:t>marzec</w:t>
      </w:r>
      <w:r w:rsidR="00C90628">
        <w:rPr>
          <w:rStyle w:val="Odwoanieprzypisudolnego"/>
          <w:rFonts w:cs="Arial"/>
        </w:rPr>
        <w:footnoteReference w:id="2"/>
      </w:r>
      <w:r>
        <w:rPr>
          <w:rFonts w:cs="Arial"/>
        </w:rPr>
        <w:t xml:space="preserve"> br. sprzedaż detaliczna zwiększyła się w porównaniu z analogicznym okresem ub. roku </w:t>
      </w:r>
      <w:r w:rsidR="00F77676">
        <w:rPr>
          <w:rFonts w:cs="Arial"/>
        </w:rPr>
        <w:t xml:space="preserve">o 8,1% </w:t>
      </w:r>
      <w:r w:rsidR="00841284">
        <w:rPr>
          <w:rFonts w:cs="Arial"/>
        </w:rPr>
        <w:t xml:space="preserve">(wobec wzrostu o </w:t>
      </w:r>
      <w:r w:rsidR="001B4A82">
        <w:rPr>
          <w:rFonts w:cs="Arial"/>
        </w:rPr>
        <w:t>7</w:t>
      </w:r>
      <w:r w:rsidR="00841284">
        <w:rPr>
          <w:rFonts w:cs="Arial"/>
        </w:rPr>
        <w:t>,</w:t>
      </w:r>
      <w:r w:rsidR="00B211A6">
        <w:rPr>
          <w:rFonts w:cs="Arial"/>
        </w:rPr>
        <w:t>1</w:t>
      </w:r>
      <w:r w:rsidR="00841284">
        <w:rPr>
          <w:rFonts w:cs="Arial"/>
        </w:rPr>
        <w:t>% w 2017 r.).</w:t>
      </w:r>
    </w:p>
    <w:p w:rsidR="00FD1B74" w:rsidRPr="00FD1B74" w:rsidRDefault="00FD1B74" w:rsidP="00FD1B74">
      <w:pPr>
        <w:pStyle w:val="tytuwykresu"/>
        <w:rPr>
          <w:shd w:val="clear" w:color="auto" w:fill="FFFFFF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00322B8" wp14:editId="5357C5EF">
            <wp:simplePos x="0" y="0"/>
            <wp:positionH relativeFrom="margin">
              <wp:posOffset>0</wp:posOffset>
            </wp:positionH>
            <wp:positionV relativeFrom="margin">
              <wp:posOffset>4808469</wp:posOffset>
            </wp:positionV>
            <wp:extent cx="5048250" cy="2720975"/>
            <wp:effectExtent l="0" t="0" r="0" b="317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B25EE8" w:rsidRPr="00B5309C">
        <w:t>Wykres 1</w:t>
      </w:r>
      <w:r w:rsidR="00976445">
        <w:t>.</w:t>
      </w:r>
      <w:r w:rsidR="00B25EE8" w:rsidRPr="00B5309C">
        <w:rPr>
          <w:shd w:val="clear" w:color="auto" w:fill="FFFFFF"/>
        </w:rPr>
        <w:t xml:space="preserve"> Sprzedaż detaliczna towarów (ceny stałe) – analogiczny okres roku poprzedniego</w:t>
      </w:r>
      <w:r w:rsidR="00B25EE8">
        <w:rPr>
          <w:shd w:val="clear" w:color="auto" w:fill="FFFFFF"/>
        </w:rPr>
        <w:t>=100</w:t>
      </w:r>
    </w:p>
    <w:p w:rsidR="003F3D37" w:rsidRPr="001C3D59" w:rsidRDefault="003F3D37" w:rsidP="003F3D37">
      <w:pPr>
        <w:pStyle w:val="Nagwek1"/>
        <w:rPr>
          <w:rFonts w:cs="Arial"/>
          <w:b/>
        </w:rPr>
      </w:pPr>
      <w:r w:rsidRPr="001C3D59">
        <w:rPr>
          <w:b/>
        </w:rPr>
        <w:lastRenderedPageBreak/>
        <w:t>Tabela 1. Dynamika</w:t>
      </w:r>
      <w:r w:rsidRPr="001C3D59">
        <w:rPr>
          <w:rFonts w:cs="Arial"/>
          <w:b/>
        </w:rPr>
        <w:t xml:space="preserve"> sprzedaży detalicznej </w:t>
      </w:r>
      <w:r>
        <w:rPr>
          <w:rFonts w:cs="Arial"/>
          <w:b/>
        </w:rPr>
        <w:t>(</w:t>
      </w:r>
      <w:r w:rsidRPr="001C3D59">
        <w:rPr>
          <w:rFonts w:cs="Arial"/>
          <w:b/>
        </w:rPr>
        <w:t xml:space="preserve">ceny </w:t>
      </w:r>
      <w:r w:rsidR="00954E87">
        <w:rPr>
          <w:rFonts w:cs="Arial"/>
          <w:b/>
        </w:rPr>
        <w:t>stałe</w:t>
      </w:r>
      <w:r>
        <w:rPr>
          <w:rFonts w:cs="Arial"/>
          <w:b/>
        </w:rPr>
        <w:t>)</w:t>
      </w:r>
      <w:r w:rsidRPr="001C3D59">
        <w:rPr>
          <w:rFonts w:cs="Arial"/>
          <w:b/>
        </w:rPr>
        <w:t>.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134"/>
        <w:gridCol w:w="1134"/>
        <w:gridCol w:w="1134"/>
      </w:tblGrid>
      <w:tr w:rsidR="003F3D37" w:rsidRPr="00F156AE" w:rsidTr="000714C9">
        <w:trPr>
          <w:gridAfter w:val="3"/>
          <w:wAfter w:w="3402" w:type="dxa"/>
          <w:cantSplit/>
          <w:trHeight w:val="36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3F3D37" w:rsidRPr="0095396F" w:rsidTr="000714C9">
        <w:trPr>
          <w:cantSplit/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3F3D37" w:rsidP="00E0736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II</w:t>
            </w:r>
            <w:r w:rsidR="00D43A09">
              <w:rPr>
                <w:rFonts w:cs="Arial"/>
                <w:color w:val="000000"/>
                <w:sz w:val="16"/>
                <w:szCs w:val="16"/>
              </w:rPr>
              <w:t>I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3F3D37" w:rsidRPr="00F156AE" w:rsidRDefault="003F3D37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I-II</w:t>
            </w:r>
            <w:r w:rsidR="00D43A09">
              <w:rPr>
                <w:rFonts w:cs="Arial"/>
                <w:color w:val="000000"/>
                <w:sz w:val="16"/>
                <w:szCs w:val="16"/>
              </w:rPr>
              <w:t>I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</w:tr>
      <w:tr w:rsidR="003F3D37" w:rsidRPr="0095396F" w:rsidTr="000714C9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3F3D37" w:rsidRPr="00F156AE" w:rsidRDefault="003F3D37" w:rsidP="000714C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3F3D37" w:rsidRPr="00F156AE" w:rsidRDefault="003F3D37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</w:t>
            </w:r>
            <w:r w:rsidR="00D43A09">
              <w:rPr>
                <w:rFonts w:cs="Arial"/>
                <w:color w:val="000000"/>
                <w:sz w:val="16"/>
                <w:szCs w:val="16"/>
              </w:rPr>
              <w:t>I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D43A09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F3D37" w:rsidRPr="00F156AE">
              <w:rPr>
                <w:rFonts w:cs="Arial"/>
                <w:color w:val="000000"/>
                <w:sz w:val="16"/>
                <w:szCs w:val="16"/>
              </w:rPr>
              <w:t>II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3F3D37" w:rsidP="002308E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I-II</w:t>
            </w:r>
            <w:r w:rsidR="00D43A09">
              <w:rPr>
                <w:rFonts w:cs="Arial"/>
                <w:color w:val="000000"/>
                <w:sz w:val="16"/>
                <w:szCs w:val="16"/>
              </w:rPr>
              <w:t>I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2017=100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A46C43" w:rsidP="00A016A3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844F4E" w:rsidP="00D77D4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3F3D37" w:rsidRPr="00F156AE" w:rsidRDefault="00C106B3" w:rsidP="00EC0E1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108,1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46C43" w:rsidP="00A016A3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44F4E" w:rsidP="00CA091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106B3" w:rsidP="007008C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46C43" w:rsidP="004358A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44F4E" w:rsidP="006E760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106B3" w:rsidP="007008C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</w:tr>
      <w:tr w:rsidR="003F3D37" w:rsidRPr="0095396F" w:rsidTr="000714C9">
        <w:trPr>
          <w:trHeight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46C43" w:rsidP="000714C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44F4E" w:rsidP="001B727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106B3" w:rsidP="0021479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</w:tr>
      <w:tr w:rsidR="003F3D37" w:rsidRPr="0095396F" w:rsidTr="000714C9">
        <w:trPr>
          <w:trHeight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46C43" w:rsidP="004358A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44F4E" w:rsidP="000714C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106B3" w:rsidP="00CE04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</w:tr>
      <w:tr w:rsidR="003F3D37" w:rsidRPr="0095396F" w:rsidTr="000714C9">
        <w:trPr>
          <w:cantSplit/>
          <w:trHeight w:val="425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46C43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44F4E" w:rsidP="00304F73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106B3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</w:tr>
      <w:tr w:rsidR="003F3D37" w:rsidRPr="0095396F" w:rsidTr="000714C9">
        <w:trPr>
          <w:cantSplit/>
          <w:trHeight w:val="424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46C43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44F4E" w:rsidP="0049024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106B3" w:rsidP="000714C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116,7</w:t>
            </w:r>
          </w:p>
        </w:tc>
      </w:tr>
      <w:tr w:rsidR="003F3D37" w:rsidRPr="0095396F" w:rsidTr="000714C9">
        <w:trPr>
          <w:cantSplit/>
          <w:trHeight w:val="370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46C43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44F4E" w:rsidP="00FB7B2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106B3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</w:tr>
      <w:tr w:rsidR="003F3D37" w:rsidRPr="0095396F" w:rsidTr="000714C9">
        <w:trPr>
          <w:cantSplit/>
          <w:trHeight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A46C43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844F4E" w:rsidP="00FB7B2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3D37" w:rsidRPr="00F156AE" w:rsidRDefault="00C106B3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</w:tr>
      <w:tr w:rsidR="003F3D37" w:rsidRPr="0095396F" w:rsidTr="000714C9">
        <w:trPr>
          <w:cantSplit/>
          <w:trHeight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3F3D37" w:rsidRPr="00F156AE" w:rsidRDefault="003F3D37" w:rsidP="000714C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A46C43" w:rsidP="002D0E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844F4E" w:rsidP="00FB7B2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3F3D37" w:rsidRPr="00F156AE" w:rsidRDefault="00C106B3" w:rsidP="005A04D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</w:tr>
    </w:tbl>
    <w:p w:rsidR="00AD0456" w:rsidRDefault="00AD0456" w:rsidP="0017137C">
      <w:pPr>
        <w:pStyle w:val="tytuwykresu"/>
        <w:rPr>
          <w:rFonts w:ascii="Fira Sans SemiBold" w:hAnsi="Fira Sans SemiBold"/>
          <w:color w:val="001D77"/>
          <w:sz w:val="19"/>
          <w:szCs w:val="19"/>
        </w:rPr>
      </w:pPr>
    </w:p>
    <w:p w:rsidR="003F3D37" w:rsidRDefault="00065EDC" w:rsidP="00AD0456">
      <w:pPr>
        <w:pStyle w:val="tytuwykresu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page">
                  <wp:posOffset>5695315</wp:posOffset>
                </wp:positionH>
                <wp:positionV relativeFrom="paragraph">
                  <wp:posOffset>381000</wp:posOffset>
                </wp:positionV>
                <wp:extent cx="1741170" cy="1235075"/>
                <wp:effectExtent l="0" t="0" r="0" b="3175"/>
                <wp:wrapTight wrapText="bothSides">
                  <wp:wrapPolygon edited="0">
                    <wp:start x="709" y="0"/>
                    <wp:lineTo x="709" y="21322"/>
                    <wp:lineTo x="20796" y="21322"/>
                    <wp:lineTo x="20796" y="0"/>
                    <wp:lineTo x="709" y="0"/>
                  </wp:wrapPolygon>
                </wp:wrapTight>
                <wp:docPr id="7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D37" w:rsidRPr="00074DD8" w:rsidRDefault="003F3D37" w:rsidP="003F3D37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EE7C15">
                              <w:t>I kwartale 2018 r.</w:t>
                            </w:r>
                            <w:r>
                              <w:t xml:space="preserve"> udział</w:t>
                            </w:r>
                            <w:r w:rsidR="00EE7C15">
                              <w:t xml:space="preserve"> grupowania</w:t>
                            </w:r>
                            <w:r>
                              <w:t xml:space="preserve"> „żywność, napoje i</w:t>
                            </w:r>
                            <w:r w:rsidR="00EA7DFB">
                              <w:t> w</w:t>
                            </w:r>
                            <w:r>
                              <w:t>yroby tytoniowe</w:t>
                            </w:r>
                            <w:r w:rsidR="00C81FC1">
                              <w:t>”</w:t>
                            </w:r>
                            <w:r w:rsidR="00EE7C15">
                              <w:t xml:space="preserve"> w strukturze sprzedaży detal</w:t>
                            </w:r>
                            <w:r w:rsidR="00397A0C">
                              <w:t>icznej „ogółem” stanowił 26,9%</w:t>
                            </w:r>
                          </w:p>
                          <w:p w:rsidR="003F3D37" w:rsidRPr="00D616D2" w:rsidRDefault="003F3D37" w:rsidP="003F3D3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9" type="#_x0000_t202" style="position:absolute;margin-left:448.45pt;margin-top:30pt;width:137.1pt;height:97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" filled="f" stroked="f">
                <v:textbox>
                  <w:txbxContent>
                    <w:p w:rsidR="003F3D37" w:rsidRPr="00074DD8" w:rsidRDefault="003F3D37" w:rsidP="003F3D37">
                      <w:pPr>
                        <w:pStyle w:val="tekstzboku"/>
                      </w:pPr>
                      <w:r>
                        <w:t xml:space="preserve">W </w:t>
                      </w:r>
                      <w:r w:rsidR="00EE7C15">
                        <w:t>I kwartale 2018 r.</w:t>
                      </w:r>
                      <w:r>
                        <w:t xml:space="preserve"> udział</w:t>
                      </w:r>
                      <w:r w:rsidR="00EE7C15">
                        <w:t xml:space="preserve"> grupowania</w:t>
                      </w:r>
                      <w:r>
                        <w:t xml:space="preserve"> „żywność, napoje i</w:t>
                      </w:r>
                      <w:r w:rsidR="00EA7DFB">
                        <w:t> w</w:t>
                      </w:r>
                      <w:r>
                        <w:t>yroby tytoniowe</w:t>
                      </w:r>
                      <w:r w:rsidR="00C81FC1">
                        <w:t>”</w:t>
                      </w:r>
                      <w:r w:rsidR="00EE7C15">
                        <w:t xml:space="preserve"> w strukturze sprzedaży detal</w:t>
                      </w:r>
                      <w:r w:rsidR="00397A0C">
                        <w:t xml:space="preserve">icznej „ogółem” stanowił </w:t>
                      </w:r>
                      <w:r w:rsidR="00397A0C">
                        <w:t>26,9%</w:t>
                      </w:r>
                      <w:bookmarkStart w:id="1" w:name="_GoBack"/>
                      <w:bookmarkEnd w:id="1"/>
                    </w:p>
                    <w:p w:rsidR="003F3D37" w:rsidRPr="00D616D2" w:rsidRDefault="003F3D37" w:rsidP="003F3D3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7137C" w:rsidRPr="001C3D59">
        <w:rPr>
          <w:rFonts w:ascii="Fira Sans SemiBold" w:hAnsi="Fira Sans SemiBold"/>
          <w:color w:val="001D77"/>
          <w:sz w:val="19"/>
          <w:szCs w:val="19"/>
        </w:rPr>
        <w:t>Tabela 2. Dynamika</w:t>
      </w:r>
      <w:r w:rsidR="0017137C" w:rsidRPr="001C3D59">
        <w:rPr>
          <w:rFonts w:ascii="Fira Sans SemiBold" w:hAnsi="Fira Sans SemiBold" w:cs="Arial"/>
          <w:color w:val="001D77"/>
          <w:sz w:val="19"/>
          <w:szCs w:val="19"/>
        </w:rPr>
        <w:t xml:space="preserve"> sprzedaży detalicznej </w:t>
      </w:r>
      <w:r w:rsidR="0017137C">
        <w:rPr>
          <w:rFonts w:ascii="Fira Sans SemiBold" w:hAnsi="Fira Sans SemiBold" w:cs="Arial"/>
          <w:color w:val="001D77"/>
          <w:sz w:val="19"/>
          <w:szCs w:val="19"/>
        </w:rPr>
        <w:t>(</w:t>
      </w:r>
      <w:r w:rsidR="0017137C" w:rsidRPr="001C3D59">
        <w:rPr>
          <w:rFonts w:ascii="Fira Sans SemiBold" w:hAnsi="Fira Sans SemiBold" w:cs="Arial"/>
          <w:color w:val="001D77"/>
          <w:sz w:val="19"/>
          <w:szCs w:val="19"/>
        </w:rPr>
        <w:t xml:space="preserve">ceny </w:t>
      </w:r>
      <w:r w:rsidR="0017137C">
        <w:rPr>
          <w:rFonts w:ascii="Fira Sans SemiBold" w:hAnsi="Fira Sans SemiBold" w:cs="Arial"/>
          <w:color w:val="001D77"/>
          <w:sz w:val="19"/>
          <w:szCs w:val="19"/>
        </w:rPr>
        <w:t>bieżące)</w:t>
      </w:r>
      <w:r w:rsidR="0017137C" w:rsidRPr="001C3D59">
        <w:rPr>
          <w:rFonts w:ascii="Fira Sans SemiBold" w:hAnsi="Fira Sans SemiBold" w:cs="Arial"/>
          <w:color w:val="001D77"/>
          <w:sz w:val="19"/>
          <w:szCs w:val="19"/>
        </w:rPr>
        <w:t>.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</w:tblGrid>
      <w:tr w:rsidR="0017137C" w:rsidRPr="001F551D" w:rsidTr="00B03E3E">
        <w:trPr>
          <w:gridAfter w:val="4"/>
          <w:wAfter w:w="4536" w:type="dxa"/>
          <w:cantSplit/>
          <w:trHeight w:val="360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17137C" w:rsidRPr="001F551D" w:rsidTr="00B03E3E">
        <w:trPr>
          <w:cantSplit/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:rsidR="0017137C" w:rsidRPr="001F551D" w:rsidRDefault="0017137C" w:rsidP="00B03E3E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17137C" w:rsidRPr="001F551D" w:rsidRDefault="0017137C" w:rsidP="00B03E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III 2018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17137C" w:rsidRPr="001F551D" w:rsidRDefault="0017137C" w:rsidP="00B03E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 –III 2018</w:t>
            </w:r>
          </w:p>
        </w:tc>
      </w:tr>
      <w:tr w:rsidR="0017137C" w:rsidRPr="001F551D" w:rsidTr="00B03E3E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17137C" w:rsidRPr="001F551D" w:rsidRDefault="0017137C" w:rsidP="00B03E3E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II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17137C" w:rsidRPr="001F551D" w:rsidRDefault="0017137C" w:rsidP="00B03E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III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17137C" w:rsidRPr="001F551D" w:rsidRDefault="0017137C" w:rsidP="00B03E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I–III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17137C" w:rsidRPr="001F551D" w:rsidRDefault="0017137C" w:rsidP="00B03E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17137C" w:rsidRPr="001F551D" w:rsidTr="00B03E3E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17137C" w:rsidRPr="001F551D" w:rsidRDefault="0017137C" w:rsidP="00DB618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109,</w:t>
            </w:r>
            <w:r w:rsidR="00DB6184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17137C" w:rsidRPr="001F551D" w:rsidRDefault="0017137C" w:rsidP="00B03E3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17137C" w:rsidRPr="001F551D" w:rsidTr="00B03E3E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137C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137C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137C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137C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7137C" w:rsidRPr="001F551D" w:rsidTr="00B03E3E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B6184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CF56FC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</w:tr>
      <w:tr w:rsidR="0017137C" w:rsidRPr="001F551D" w:rsidTr="00B03E3E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B6184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CF56FC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15,0</w:t>
            </w:r>
          </w:p>
        </w:tc>
      </w:tr>
      <w:tr w:rsidR="0017137C" w:rsidRPr="001F551D" w:rsidTr="00B03E3E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B6184" w:rsidP="00B03E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FC75D8" w:rsidP="00B03E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</w:tr>
      <w:tr w:rsidR="0017137C" w:rsidRPr="001F551D" w:rsidTr="00B03E3E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B6184" w:rsidP="00B03E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FC75D8" w:rsidP="00B03E3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</w:tr>
      <w:tr w:rsidR="0017137C" w:rsidRPr="001F551D" w:rsidTr="00B03E3E">
        <w:trPr>
          <w:cantSplit/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B6184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FC75D8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</w:tr>
      <w:tr w:rsidR="0017137C" w:rsidRPr="001F551D" w:rsidTr="00B03E3E">
        <w:trPr>
          <w:cantSplit/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B6184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FC75D8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</w:tr>
      <w:tr w:rsidR="0017137C" w:rsidRPr="001F551D" w:rsidTr="00B03E3E">
        <w:trPr>
          <w:cantSplit/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B6184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FC75D8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17137C" w:rsidRPr="001F551D" w:rsidTr="00B03E3E">
        <w:trPr>
          <w:cantSplit/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B6184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7137C" w:rsidRPr="001F551D" w:rsidRDefault="00FC75D8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</w:tr>
      <w:tr w:rsidR="0017137C" w:rsidRPr="001F551D" w:rsidTr="00B03E3E">
        <w:trPr>
          <w:cantSplit/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17137C" w:rsidRPr="001F551D" w:rsidRDefault="0017137C" w:rsidP="00B03E3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17137C" w:rsidRPr="001F551D" w:rsidRDefault="001738D1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17137C" w:rsidRPr="001F551D" w:rsidRDefault="00DB6184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17137C" w:rsidRPr="001F551D" w:rsidRDefault="00D67670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17137C" w:rsidRPr="001F551D" w:rsidRDefault="00FC75D8" w:rsidP="00B03E3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</w:tr>
    </w:tbl>
    <w:p w:rsidR="003F3D37" w:rsidRPr="001F551D" w:rsidRDefault="003F3D37" w:rsidP="003F3D37">
      <w:pPr>
        <w:pStyle w:val="tytuwykresu"/>
        <w:rPr>
          <w:sz w:val="16"/>
          <w:szCs w:val="16"/>
        </w:rPr>
      </w:pPr>
    </w:p>
    <w:p w:rsidR="0017137C" w:rsidRDefault="0017137C" w:rsidP="0017137C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633730</wp:posOffset>
            </wp:positionV>
            <wp:extent cx="5127625" cy="3269615"/>
            <wp:effectExtent l="0" t="0" r="0" b="6985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Pr="00B5309C">
        <w:t xml:space="preserve">Wykres </w:t>
      </w:r>
      <w:r>
        <w:t>2.</w:t>
      </w:r>
      <w:r w:rsidRPr="00B5309C">
        <w:rPr>
          <w:shd w:val="clear" w:color="auto" w:fill="FFFFFF"/>
        </w:rPr>
        <w:t xml:space="preserve"> Sprzedaż detaliczna towarów </w:t>
      </w:r>
      <w:r>
        <w:rPr>
          <w:shd w:val="clear" w:color="auto" w:fill="FFFFFF"/>
        </w:rPr>
        <w:t xml:space="preserve">w </w:t>
      </w:r>
      <w:r w:rsidR="008B23D3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2018 r. według rodzajów działalności przedsiębiorstwa (</w:t>
      </w:r>
      <w:r w:rsidRPr="00B5309C">
        <w:rPr>
          <w:shd w:val="clear" w:color="auto" w:fill="FFFFFF"/>
        </w:rPr>
        <w:t>ceny stałe) – analogiczny okres roku poprzedniego</w:t>
      </w:r>
      <w:r>
        <w:rPr>
          <w:shd w:val="clear" w:color="auto" w:fill="FFFFFF"/>
        </w:rPr>
        <w:t>=100</w:t>
      </w:r>
    </w:p>
    <w:p w:rsidR="003F3D37" w:rsidRDefault="003F3D37" w:rsidP="003F3D37">
      <w:pPr>
        <w:pStyle w:val="tytuwykresu"/>
      </w:pPr>
    </w:p>
    <w:p w:rsidR="00C20E37" w:rsidRPr="00964F10" w:rsidRDefault="00065EDC" w:rsidP="00C20E37">
      <w:pPr>
        <w:spacing w:before="240" w:line="259" w:lineRule="auto"/>
        <w:rPr>
          <w:rFonts w:cs="Arial"/>
          <w:b/>
          <w:color w:val="002060"/>
          <w:szCs w:val="19"/>
        </w:rPr>
      </w:pPr>
      <w:r>
        <w:rPr>
          <w:rFonts w:asciiTheme="majorHAnsi" w:hAnsiTheme="majorHAnsi"/>
          <w:b/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5238345</wp:posOffset>
                </wp:positionH>
                <wp:positionV relativeFrom="paragraph">
                  <wp:posOffset>3481151</wp:posOffset>
                </wp:positionV>
                <wp:extent cx="1771177" cy="946150"/>
                <wp:effectExtent l="0" t="0" r="0" b="635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177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5B" w:rsidRDefault="00431F5B" w:rsidP="00C20E37">
                            <w:pPr>
                              <w:pStyle w:val="tytuwykresu"/>
                              <w:rPr>
                                <w:b w:val="0"/>
                                <w:color w:val="001D77"/>
                              </w:rPr>
                            </w:pP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W </w:t>
                            </w:r>
                            <w:r w:rsidR="002F7C59">
                              <w:rPr>
                                <w:b w:val="0"/>
                                <w:color w:val="001D77"/>
                              </w:rPr>
                              <w:t>marcu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2018 r. odnotowano wzrost 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>sprzedaż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y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detaliczn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wyrównan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 xml:space="preserve"> sezonowo 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o </w:t>
                            </w:r>
                            <w:r w:rsidR="00652748">
                              <w:rPr>
                                <w:b w:val="0"/>
                                <w:color w:val="001D77"/>
                              </w:rPr>
                              <w:t>0</w:t>
                            </w:r>
                            <w:r w:rsidR="004D558A">
                              <w:rPr>
                                <w:b w:val="0"/>
                                <w:color w:val="001D77"/>
                              </w:rPr>
                              <w:t>,5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% </w:t>
                            </w:r>
                            <w:r w:rsidRPr="00E31581">
                              <w:rPr>
                                <w:b w:val="0"/>
                                <w:color w:val="001D77"/>
                              </w:rPr>
                              <w:t>w po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 xml:space="preserve">równaniu </w:t>
                            </w:r>
                            <w:r w:rsidR="0061245F">
                              <w:rPr>
                                <w:b w:val="0"/>
                                <w:color w:val="001D77"/>
                              </w:rPr>
                              <w:t>z lutym br.</w:t>
                            </w:r>
                          </w:p>
                          <w:p w:rsidR="004D558A" w:rsidRDefault="004D558A" w:rsidP="00C20E37">
                            <w:pPr>
                              <w:pStyle w:val="tytuwykresu"/>
                              <w:rPr>
                                <w:b w:val="0"/>
                                <w:color w:val="001D77"/>
                              </w:rPr>
                            </w:pPr>
                          </w:p>
                          <w:p w:rsidR="004D558A" w:rsidRDefault="004D558A" w:rsidP="00C20E37">
                            <w:pPr>
                              <w:pStyle w:val="tytuwykres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412.45pt;margin-top:274.1pt;width:139.45pt;height:7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" filled="f" stroked="f">
                <v:textbox>
                  <w:txbxContent>
                    <w:p w:rsidR="00431F5B" w:rsidRDefault="00431F5B" w:rsidP="00C20E37">
                      <w:pPr>
                        <w:pStyle w:val="tytuwykresu"/>
                        <w:rPr>
                          <w:b w:val="0"/>
                          <w:color w:val="001D77"/>
                        </w:rPr>
                      </w:pPr>
                      <w:r w:rsidRPr="00E31581">
                        <w:rPr>
                          <w:b w:val="0"/>
                          <w:color w:val="001D77"/>
                        </w:rPr>
                        <w:t xml:space="preserve">W </w:t>
                      </w:r>
                      <w:r w:rsidR="002F7C59">
                        <w:rPr>
                          <w:b w:val="0"/>
                          <w:color w:val="001D77"/>
                        </w:rPr>
                        <w:t>marcu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</w:rPr>
                        <w:t xml:space="preserve">2018 r. odnotowano wzrost </w:t>
                      </w:r>
                      <w:r w:rsidRPr="00E31581">
                        <w:rPr>
                          <w:b w:val="0"/>
                          <w:color w:val="001D77"/>
                        </w:rPr>
                        <w:t>sprzedaż</w:t>
                      </w:r>
                      <w:r>
                        <w:rPr>
                          <w:b w:val="0"/>
                          <w:color w:val="001D77"/>
                        </w:rPr>
                        <w:t>y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detaliczn</w:t>
                      </w:r>
                      <w:r>
                        <w:rPr>
                          <w:b w:val="0"/>
                          <w:color w:val="001D77"/>
                        </w:rPr>
                        <w:t>ej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wyrównan</w:t>
                      </w:r>
                      <w:r>
                        <w:rPr>
                          <w:b w:val="0"/>
                          <w:color w:val="001D77"/>
                        </w:rPr>
                        <w:t>ej</w:t>
                      </w:r>
                      <w:r w:rsidRPr="00E31581">
                        <w:rPr>
                          <w:b w:val="0"/>
                          <w:color w:val="001D77"/>
                        </w:rPr>
                        <w:t xml:space="preserve"> sezonowo </w:t>
                      </w:r>
                      <w:r>
                        <w:rPr>
                          <w:b w:val="0"/>
                          <w:color w:val="001D77"/>
                        </w:rPr>
                        <w:t xml:space="preserve">o </w:t>
                      </w:r>
                      <w:r w:rsidR="00652748">
                        <w:rPr>
                          <w:b w:val="0"/>
                          <w:color w:val="001D77"/>
                        </w:rPr>
                        <w:t>0</w:t>
                      </w:r>
                      <w:r w:rsidR="004D558A">
                        <w:rPr>
                          <w:b w:val="0"/>
                          <w:color w:val="001D77"/>
                        </w:rPr>
                        <w:t>,5</w:t>
                      </w:r>
                      <w:r>
                        <w:rPr>
                          <w:b w:val="0"/>
                          <w:color w:val="001D77"/>
                        </w:rPr>
                        <w:t xml:space="preserve">% </w:t>
                      </w:r>
                      <w:r w:rsidRPr="00E31581">
                        <w:rPr>
                          <w:b w:val="0"/>
                          <w:color w:val="001D77"/>
                        </w:rPr>
                        <w:t>w po</w:t>
                      </w:r>
                      <w:r>
                        <w:rPr>
                          <w:b w:val="0"/>
                          <w:color w:val="001D77"/>
                        </w:rPr>
                        <w:t xml:space="preserve">równaniu </w:t>
                      </w:r>
                      <w:r w:rsidR="0061245F">
                        <w:rPr>
                          <w:b w:val="0"/>
                          <w:color w:val="001D77"/>
                        </w:rPr>
                        <w:t xml:space="preserve">z </w:t>
                      </w:r>
                      <w:bookmarkStart w:id="1" w:name="_GoBack"/>
                      <w:bookmarkEnd w:id="1"/>
                      <w:r w:rsidR="0061245F">
                        <w:rPr>
                          <w:b w:val="0"/>
                          <w:color w:val="001D77"/>
                        </w:rPr>
                        <w:t>lutym br.</w:t>
                      </w:r>
                    </w:p>
                    <w:p w:rsidR="004D558A" w:rsidRDefault="004D558A" w:rsidP="00C20E37">
                      <w:pPr>
                        <w:pStyle w:val="tytuwykresu"/>
                        <w:rPr>
                          <w:b w:val="0"/>
                          <w:color w:val="001D77"/>
                        </w:rPr>
                      </w:pPr>
                    </w:p>
                    <w:p w:rsidR="004D558A" w:rsidRDefault="004D558A" w:rsidP="00C20E37">
                      <w:pPr>
                        <w:pStyle w:val="tytuwykresu"/>
                      </w:pPr>
                    </w:p>
                  </w:txbxContent>
                </v:textbox>
              </v:shape>
            </w:pict>
          </mc:Fallback>
        </mc:AlternateContent>
      </w:r>
      <w:r w:rsidR="00C20E37" w:rsidRPr="00964F10">
        <w:rPr>
          <w:rFonts w:cs="Arial"/>
          <w:b/>
          <w:color w:val="002060"/>
          <w:szCs w:val="19"/>
        </w:rPr>
        <w:t>Sprzedaż detaliczna wyrównana sezonowo</w:t>
      </w:r>
    </w:p>
    <w:p w:rsidR="000144A9" w:rsidRPr="003D7F37" w:rsidRDefault="000144A9" w:rsidP="000144A9">
      <w:pPr>
        <w:pStyle w:val="tytuwykresu"/>
        <w:spacing w:before="0" w:after="0"/>
        <w:rPr>
          <w:b w:val="0"/>
          <w:sz w:val="19"/>
          <w:szCs w:val="19"/>
          <w:shd w:val="clear" w:color="auto" w:fill="FFFFFF"/>
        </w:rPr>
      </w:pPr>
      <w:r w:rsidRPr="003D7F37">
        <w:rPr>
          <w:rFonts w:cs="Arial"/>
          <w:b w:val="0"/>
          <w:sz w:val="19"/>
          <w:szCs w:val="19"/>
        </w:rPr>
        <w:t xml:space="preserve">Po wyeliminowaniu wpływu czynników o charakterze sezonowym sprzedaż detaliczna w cenach stałych w </w:t>
      </w:r>
      <w:r w:rsidR="006C346D">
        <w:rPr>
          <w:rFonts w:cs="Arial"/>
          <w:b w:val="0"/>
          <w:sz w:val="19"/>
          <w:szCs w:val="19"/>
        </w:rPr>
        <w:t>marcu</w:t>
      </w:r>
      <w:r w:rsidR="00EC3EA3">
        <w:rPr>
          <w:rFonts w:cs="Arial"/>
          <w:b w:val="0"/>
          <w:sz w:val="19"/>
          <w:szCs w:val="19"/>
        </w:rPr>
        <w:t xml:space="preserve"> b</w:t>
      </w:r>
      <w:r>
        <w:rPr>
          <w:rFonts w:cs="Arial"/>
          <w:b w:val="0"/>
          <w:sz w:val="19"/>
          <w:szCs w:val="19"/>
        </w:rPr>
        <w:t xml:space="preserve">r. </w:t>
      </w:r>
      <w:r w:rsidR="00A1582C">
        <w:rPr>
          <w:rFonts w:cs="Arial"/>
          <w:b w:val="0"/>
          <w:sz w:val="19"/>
          <w:szCs w:val="19"/>
        </w:rPr>
        <w:t xml:space="preserve">była </w:t>
      </w:r>
      <w:r w:rsidRPr="003D7F37">
        <w:rPr>
          <w:rFonts w:cs="Arial"/>
          <w:b w:val="0"/>
          <w:sz w:val="19"/>
          <w:szCs w:val="19"/>
        </w:rPr>
        <w:t xml:space="preserve">o </w:t>
      </w:r>
      <w:r w:rsidR="00652748">
        <w:rPr>
          <w:rFonts w:cs="Arial"/>
          <w:b w:val="0"/>
          <w:sz w:val="19"/>
          <w:szCs w:val="19"/>
        </w:rPr>
        <w:t>0,</w:t>
      </w:r>
      <w:r w:rsidR="004D558A">
        <w:rPr>
          <w:rFonts w:cs="Arial"/>
          <w:b w:val="0"/>
          <w:sz w:val="19"/>
          <w:szCs w:val="19"/>
        </w:rPr>
        <w:t>5</w:t>
      </w:r>
      <w:r w:rsidRPr="003D7F37">
        <w:rPr>
          <w:rFonts w:cs="Arial"/>
          <w:b w:val="0"/>
          <w:sz w:val="19"/>
          <w:szCs w:val="19"/>
        </w:rPr>
        <w:t xml:space="preserve">% </w:t>
      </w:r>
      <w:r w:rsidR="00A1582C">
        <w:rPr>
          <w:rFonts w:cs="Arial"/>
          <w:b w:val="0"/>
          <w:sz w:val="19"/>
          <w:szCs w:val="19"/>
        </w:rPr>
        <w:t xml:space="preserve">wyższa </w:t>
      </w:r>
      <w:r w:rsidRPr="003D7F37">
        <w:rPr>
          <w:rFonts w:cs="Arial"/>
          <w:b w:val="0"/>
          <w:sz w:val="19"/>
          <w:szCs w:val="19"/>
        </w:rPr>
        <w:t>w porównaniu z poprzednim miesiącem</w:t>
      </w:r>
      <w:r>
        <w:rPr>
          <w:rFonts w:cs="Arial"/>
          <w:b w:val="0"/>
          <w:sz w:val="19"/>
          <w:szCs w:val="19"/>
        </w:rPr>
        <w:t>.</w:t>
      </w:r>
    </w:p>
    <w:p w:rsidR="000144A9" w:rsidRDefault="000144A9" w:rsidP="00B25EE8">
      <w:pPr>
        <w:pStyle w:val="tytuwykresu"/>
        <w:rPr>
          <w:shd w:val="clear" w:color="auto" w:fill="FFFFFF"/>
        </w:rPr>
      </w:pPr>
    </w:p>
    <w:p w:rsidR="00E80C30" w:rsidRPr="003D7F37" w:rsidRDefault="00E80C30" w:rsidP="00B25EE8">
      <w:pPr>
        <w:pStyle w:val="tytuwykresu"/>
        <w:rPr>
          <w:shd w:val="clear" w:color="auto" w:fill="FFFFFF"/>
        </w:rPr>
      </w:pPr>
      <w:r w:rsidRPr="003D7F37">
        <w:rPr>
          <w:shd w:val="clear" w:color="auto" w:fill="FFFFFF"/>
        </w:rPr>
        <w:t>Wykres 3</w:t>
      </w:r>
      <w:r w:rsidR="00976445">
        <w:rPr>
          <w:shd w:val="clear" w:color="auto" w:fill="FFFFFF"/>
        </w:rPr>
        <w:t>.</w:t>
      </w:r>
      <w:r w:rsidRPr="003D7F37">
        <w:rPr>
          <w:shd w:val="clear" w:color="auto" w:fill="FFFFFF"/>
        </w:rPr>
        <w:t xml:space="preserve"> Sprzedaż detaliczna</w:t>
      </w:r>
      <w:r w:rsidR="00375B9E">
        <w:rPr>
          <w:shd w:val="clear" w:color="auto" w:fill="FFFFFF"/>
        </w:rPr>
        <w:t xml:space="preserve"> – dane wyrównane sezonowo i niewyrównane (</w:t>
      </w:r>
      <w:r w:rsidRPr="003D7F37">
        <w:rPr>
          <w:shd w:val="clear" w:color="auto" w:fill="FFFFFF"/>
        </w:rPr>
        <w:t>cen</w:t>
      </w:r>
      <w:r w:rsidR="00375B9E">
        <w:rPr>
          <w:shd w:val="clear" w:color="auto" w:fill="FFFFFF"/>
        </w:rPr>
        <w:t>y</w:t>
      </w:r>
      <w:r w:rsidRPr="003D7F37">
        <w:rPr>
          <w:shd w:val="clear" w:color="auto" w:fill="FFFFFF"/>
        </w:rPr>
        <w:t xml:space="preserve"> stał</w:t>
      </w:r>
      <w:r w:rsidR="00375B9E">
        <w:rPr>
          <w:shd w:val="clear" w:color="auto" w:fill="FFFFFF"/>
        </w:rPr>
        <w:t>e)</w:t>
      </w:r>
      <w:r w:rsidR="00081C7F">
        <w:rPr>
          <w:shd w:val="clear" w:color="auto" w:fill="FFFFFF"/>
        </w:rPr>
        <w:t xml:space="preserve"> – </w:t>
      </w:r>
      <w:r w:rsidRPr="003D7F37">
        <w:rPr>
          <w:shd w:val="clear" w:color="auto" w:fill="FFFFFF"/>
        </w:rPr>
        <w:t>przeciętna miesięczna 2015=100</w:t>
      </w:r>
    </w:p>
    <w:p w:rsidR="00E80C30" w:rsidRDefault="003F3D37" w:rsidP="00B25EE8">
      <w:pPr>
        <w:pStyle w:val="tytuwykresu"/>
        <w:rPr>
          <w:rFonts w:asciiTheme="majorHAnsi" w:hAnsiTheme="majorHAnsi"/>
          <w:noProof/>
          <w:lang w:eastAsia="pl-PL"/>
        </w:rPr>
      </w:pPr>
      <w:bookmarkStart w:id="0" w:name="_GoBack"/>
      <w:r w:rsidRPr="00110537">
        <w:rPr>
          <w:noProof/>
          <w:color w:val="001D77"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5507990</wp:posOffset>
            </wp:positionV>
            <wp:extent cx="5118735" cy="2464435"/>
            <wp:effectExtent l="0" t="0" r="5715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bookmarkEnd w:id="0"/>
      <w:r w:rsidR="006A5E06">
        <w:rPr>
          <w:rFonts w:asciiTheme="majorHAnsi" w:hAnsiTheme="majorHAnsi"/>
          <w:noProof/>
          <w:lang w:eastAsia="pl-PL"/>
        </w:rPr>
        <w:t xml:space="preserve"> </w:t>
      </w:r>
    </w:p>
    <w:p w:rsidR="001267F4" w:rsidRDefault="001267F4" w:rsidP="00B25EE8">
      <w:pPr>
        <w:pStyle w:val="tytuwykresu"/>
        <w:rPr>
          <w:rFonts w:asciiTheme="majorHAnsi" w:hAnsiTheme="majorHAnsi"/>
          <w:noProof/>
          <w:lang w:eastAsia="pl-PL"/>
        </w:rPr>
      </w:pPr>
    </w:p>
    <w:p w:rsidR="005B23AA" w:rsidRDefault="005B23AA" w:rsidP="00B25EE8">
      <w:pPr>
        <w:pStyle w:val="tytuwykresu"/>
        <w:rPr>
          <w:rFonts w:asciiTheme="majorHAnsi" w:hAnsiTheme="majorHAnsi"/>
          <w:noProof/>
          <w:lang w:eastAsia="pl-PL"/>
        </w:rPr>
      </w:pPr>
    </w:p>
    <w:p w:rsidR="00B25EE8" w:rsidRPr="00EA46AB" w:rsidRDefault="00B25EE8" w:rsidP="00B25EE8">
      <w:pPr>
        <w:jc w:val="both"/>
        <w:rPr>
          <w:sz w:val="16"/>
          <w:szCs w:val="16"/>
        </w:rPr>
        <w:sectPr w:rsidR="00B25EE8" w:rsidRPr="00EA46AB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95396F" w:rsidRDefault="00B25EE8" w:rsidP="00C742AC">
      <w:pPr>
        <w:pStyle w:val="tytuwykresu"/>
        <w:rPr>
          <w:rFonts w:asciiTheme="majorHAnsi" w:hAnsiTheme="majorHAnsi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0470AA" w:rsidRPr="00397A0C" w:rsidTr="00E23337">
        <w:trPr>
          <w:trHeight w:val="1912"/>
        </w:trPr>
        <w:tc>
          <w:tcPr>
            <w:tcW w:w="4379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Opracowanie merytoryczne:</w:t>
            </w:r>
          </w:p>
          <w:p w:rsidR="000470AA" w:rsidRPr="0095396F" w:rsidRDefault="000470AA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 xml:space="preserve">Departament </w:t>
            </w:r>
            <w:r w:rsidR="00017FFE"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Handlu i Usług</w:t>
            </w:r>
          </w:p>
          <w:p w:rsidR="000470AA" w:rsidRPr="00901D58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901D58">
                <w:rPr>
                  <w:rStyle w:val="Hipercze"/>
                  <w:rFonts w:cstheme="majorBidi"/>
                  <w:lang w:val="de-AT"/>
                </w:rPr>
                <w:t>j</w:t>
              </w:r>
              <w:r w:rsidR="00017FFE" w:rsidRPr="00901D58">
                <w:rPr>
                  <w:rStyle w:val="Hipercze"/>
                  <w:rFonts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Rozpowszechnianie:</w:t>
            </w: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br/>
            </w: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95396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901D58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  <w:lang w:val="de-AT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1" w:history="1">
              <w:r w:rsidRPr="00901D58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de-AT"/>
                </w:rPr>
                <w:t>rzecznik@stat.gov.pl</w:t>
              </w:r>
            </w:hyperlink>
          </w:p>
        </w:tc>
      </w:tr>
    </w:tbl>
    <w:p w:rsidR="000470AA" w:rsidRPr="00901D58" w:rsidRDefault="000470AA" w:rsidP="000470AA">
      <w:pPr>
        <w:rPr>
          <w:rFonts w:asciiTheme="majorHAnsi" w:hAnsiTheme="majorHAnsi"/>
          <w:sz w:val="20"/>
          <w:lang w:val="de-AT"/>
        </w:rPr>
      </w:pPr>
    </w:p>
    <w:p w:rsidR="000470AA" w:rsidRPr="00901D58" w:rsidRDefault="000470AA" w:rsidP="000470AA">
      <w:pPr>
        <w:rPr>
          <w:rFonts w:asciiTheme="majorHAnsi" w:hAnsiTheme="majorHAnsi"/>
          <w:sz w:val="18"/>
          <w:lang w:val="de-AT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b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Wydział Współpracy z Mediami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tel.: </w:t>
            </w:r>
            <w:r w:rsidRPr="0095396F">
              <w:rPr>
                <w:rFonts w:asciiTheme="majorHAnsi" w:hAnsiTheme="majorHAnsi"/>
                <w:sz w:val="20"/>
              </w:rPr>
              <w:t xml:space="preserve">(+48 22) 608 34 91, (+48 22) 608 38 04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20"/>
                <w:lang w:val="de-AT"/>
              </w:rPr>
            </w:pPr>
            <w:proofErr w:type="spellStart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faks</w:t>
            </w:r>
            <w:proofErr w:type="spellEnd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:</w:t>
            </w:r>
            <w:r w:rsidRPr="00901D58">
              <w:rPr>
                <w:rFonts w:asciiTheme="majorHAnsi" w:hAnsiTheme="majorHAnsi"/>
                <w:sz w:val="20"/>
                <w:lang w:val="de-AT"/>
              </w:rPr>
              <w:t xml:space="preserve"> (+48 22) 608 38 86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proofErr w:type="spellStart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e-mail</w:t>
            </w:r>
            <w:proofErr w:type="spellEnd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:</w:t>
            </w:r>
            <w:r w:rsidRPr="00901D58">
              <w:rPr>
                <w:rFonts w:asciiTheme="majorHAnsi" w:hAnsiTheme="majorHAnsi"/>
                <w:sz w:val="20"/>
                <w:lang w:val="de-AT"/>
              </w:rPr>
              <w:t xml:space="preserve"> </w:t>
            </w:r>
            <w:hyperlink r:id="rId22" w:history="1">
              <w:r w:rsidRPr="00901D58">
                <w:rPr>
                  <w:rStyle w:val="Hipercze"/>
                  <w:rFonts w:asciiTheme="majorHAnsi" w:hAnsiTheme="majorHAnsi" w:cstheme="minorBidi"/>
                  <w:sz w:val="20"/>
                  <w:lang w:val="de-AT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065EDC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Default="00431F5B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</w:rPr>
                            </w:pPr>
                            <w:r w:rsidRPr="00D641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31F5B" w:rsidRPr="001267F4" w:rsidRDefault="003705F0" w:rsidP="00AB6D25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fldChar w:fldCharType="begin"/>
                            </w:r>
                            <w:r w:rsidR="00431F5B">
                              <w:instrText xml:space="preserve"> HYPERLINK "http://stat.gov.pl/obszary-tematyczne/ceny-handel/handel/rynek-wewnetrzny-w-2016-r-,7,22.html" </w:instrText>
                            </w:r>
                            <w: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</w:rPr>
                              <w:t>Rynek wewnętrzny w 2016 r.</w:t>
                            </w:r>
                          </w:p>
                          <w:p w:rsidR="00431F5B" w:rsidRPr="000B6DA7" w:rsidRDefault="003705F0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641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31F5B" w:rsidRPr="001267F4" w:rsidRDefault="003705F0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431F5B">
                              <w:rPr>
                                <w:szCs w:val="24"/>
                              </w:rPr>
                              <w:instrText xml:space="preserve"> HYPERLINK "http://swaid.stat.gov.pl/SitePagesDBW/HandelUslugi.aspx" 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Dziedzinowa Baza Wiedzy-Handel I Usługi</w:t>
                            </w:r>
                          </w:p>
                          <w:p w:rsidR="00431F5B" w:rsidRPr="000B6DA7" w:rsidRDefault="003705F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  <w:p w:rsidR="00431F5B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31F5B" w:rsidRPr="001267F4" w:rsidRDefault="003705F0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431F5B">
                              <w:rPr>
                                <w:szCs w:val="24"/>
                              </w:rPr>
                              <w:instrText xml:space="preserve"> HYPERLINK "http://stat.gov.pl/metainformacje/slownik-pojec/pojecia-stosowane-w-statystyce-publicznej/473,pojecie.html" 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431F5B" w:rsidRPr="001267F4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Sprzedaż detaliczna towarów</w:t>
                            </w:r>
                          </w:p>
                          <w:p w:rsidR="00431F5B" w:rsidRPr="003D7F37" w:rsidRDefault="003705F0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5pt;margin-top:33.5pt;width:516.5pt;height:34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" fillcolor="#f2f2f2 [3052]" strokecolor="white [3212]">
                <v:textbox>
                  <w:txbxContent>
                    <w:p w:rsidR="00431F5B" w:rsidRDefault="00431F5B" w:rsidP="00AB6D25">
                      <w:pPr>
                        <w:rPr>
                          <w:b/>
                        </w:rPr>
                      </w:pPr>
                    </w:p>
                    <w:p w:rsidR="00431F5B" w:rsidRPr="00D641C9" w:rsidRDefault="00431F5B" w:rsidP="00AB6D25">
                      <w:pPr>
                        <w:rPr>
                          <w:b/>
                        </w:rPr>
                      </w:pPr>
                      <w:r w:rsidRPr="00D641C9">
                        <w:rPr>
                          <w:b/>
                        </w:rPr>
                        <w:t>Powiązane opracowania</w:t>
                      </w:r>
                    </w:p>
                    <w:p w:rsidR="00431F5B" w:rsidRPr="001267F4" w:rsidRDefault="003705F0" w:rsidP="00AB6D25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fldChar w:fldCharType="begin"/>
                      </w:r>
                      <w:r w:rsidR="00431F5B">
                        <w:instrText xml:space="preserve"> HYPERLINK "http://stat.gov.pl/obszary-tematyczne/ceny-handel/handel/rynek-wewnetrzny-w-2016-r-,7,22.html" </w:instrText>
                      </w:r>
                      <w: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</w:rPr>
                        <w:t>Rynek wewnętrzny w 2016 r.</w:t>
                      </w:r>
                    </w:p>
                    <w:p w:rsidR="00431F5B" w:rsidRPr="000B6DA7" w:rsidRDefault="003705F0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r>
                        <w:fldChar w:fldCharType="end"/>
                      </w:r>
                    </w:p>
                    <w:p w:rsidR="00431F5B" w:rsidRPr="00D641C9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641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31F5B" w:rsidRPr="001267F4" w:rsidRDefault="003705F0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431F5B">
                        <w:rPr>
                          <w:szCs w:val="24"/>
                        </w:rPr>
                        <w:instrText xml:space="preserve"> HYPERLINK "http://swaid.stat.gov.pl/SitePagesDBW/HandelUslugi.aspx" 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  <w:szCs w:val="24"/>
                        </w:rPr>
                        <w:t>Dziedzinowa Baza Wiedzy-Handel I Usługi</w:t>
                      </w:r>
                    </w:p>
                    <w:p w:rsidR="00431F5B" w:rsidRPr="000B6DA7" w:rsidRDefault="003705F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  <w:p w:rsidR="00431F5B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31F5B" w:rsidRPr="001267F4" w:rsidRDefault="003705F0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431F5B">
                        <w:rPr>
                          <w:szCs w:val="24"/>
                        </w:rPr>
                        <w:instrText xml:space="preserve"> HYPERLINK "http://stat.gov.pl/metainformacje/slownik-pojec/pojecia-stosowane-w-statystyce-publicznej/473,pojecie.html" 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431F5B" w:rsidRPr="001267F4">
                        <w:rPr>
                          <w:rStyle w:val="Hipercze"/>
                          <w:rFonts w:cstheme="minorBidi"/>
                          <w:szCs w:val="24"/>
                        </w:rPr>
                        <w:t>Sprzedaż detaliczna towarów</w:t>
                      </w:r>
                    </w:p>
                    <w:p w:rsidR="00431F5B" w:rsidRPr="003D7F37" w:rsidRDefault="003705F0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377" w:rsidRDefault="001A6377" w:rsidP="000662E2">
      <w:pPr>
        <w:spacing w:after="0" w:line="240" w:lineRule="auto"/>
      </w:pPr>
      <w:r>
        <w:separator/>
      </w:r>
    </w:p>
  </w:endnote>
  <w:endnote w:type="continuationSeparator" w:id="0">
    <w:p w:rsidR="001A6377" w:rsidRDefault="001A637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6CD34A8-DF8A-4969-8CAB-A2DFFFFB5C4B}"/>
    <w:embedBold r:id="rId2" w:fontKey="{A80CB855-33B4-41BF-9965-4CF532B2AA5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DA92CC8-AE89-4C97-8D3F-68866F986063}"/>
    <w:embedBold r:id="rId4" w:fontKey="{0C5CADC9-A632-438F-88D8-BD636D413B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F4E4098-A891-4C0E-91A2-125CFC774355}"/>
    <w:embedBold r:id="rId6" w:fontKey="{0693890E-8B19-4FFD-B861-762E6044E0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8EAC3C1-C9F8-40C2-8DEF-7520427CC874}"/>
    <w:embedBold r:id="rId8" w:fontKey="{3A12A3A5-6C9A-4332-B479-FDA87982EA20}"/>
    <w:embedItalic r:id="rId9" w:fontKey="{AFB7D1FF-D40A-423B-A6E2-3641637762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E7B78A4-537C-4043-8144-051941668C4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1F59448-E3B1-4FE5-8080-18D909E8EF6C}"/>
    <w:embedBold r:id="rId12" w:fontKey="{104C0C92-8375-4828-AA8E-872BB480439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431F5B" w:rsidRDefault="003705F0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58024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431F5B" w:rsidRDefault="003705F0" w:rsidP="002A6115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58024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377" w:rsidRDefault="001A6377" w:rsidP="000662E2">
      <w:pPr>
        <w:spacing w:after="0" w:line="240" w:lineRule="auto"/>
      </w:pPr>
      <w:r>
        <w:separator/>
      </w:r>
    </w:p>
  </w:footnote>
  <w:footnote w:type="continuationSeparator" w:id="0">
    <w:p w:rsidR="001A6377" w:rsidRDefault="001A6377" w:rsidP="000662E2">
      <w:pPr>
        <w:spacing w:after="0" w:line="240" w:lineRule="auto"/>
      </w:pPr>
      <w:r>
        <w:continuationSeparator/>
      </w:r>
    </w:p>
  </w:footnote>
  <w:footnote w:id="1">
    <w:p w:rsidR="00431F5B" w:rsidRDefault="00431F5B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46AB">
        <w:rPr>
          <w:sz w:val="16"/>
          <w:szCs w:val="16"/>
        </w:rPr>
        <w:t>Dane dotyczą przedsiębiorstw handlowych i niehandlowych o liczbie pracujących powyżej 9 osób. Grupowania przedsiębiorstw dokonano na podstawie Polskiej Klasyfikacji Działalności 2007 (PKD 2007), zaliczając przedsiębiorstwo do określonej kategorii według przeważającego rodzaju działalności, zgodnie z aktualnym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omawianym okresie stanem organizacyjnym. Odnotowane zmiany (wzrost/spadek) wolumenu sprzedaży detalicznej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poszczególnych grupach rodzajów działalności przedsiębiorstw mogą zatem również wynikać ze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zmiany przeważającego rodzaju działalności przedsiębiorstwa oraz zmian organizacyjnych (np. połączenia przedsiębiorstw). Nie ma to wpływu na dynamikę sprzedaży detalicznej ogółem.</w:t>
      </w:r>
    </w:p>
  </w:footnote>
  <w:footnote w:id="2">
    <w:p w:rsidR="00C90628" w:rsidRDefault="00C90628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90628">
        <w:rPr>
          <w:sz w:val="16"/>
          <w:szCs w:val="16"/>
        </w:rPr>
        <w:t>W danych narastających uwzględniono korekty dokonane przez jednostki sprawozdawcze</w:t>
      </w:r>
      <w:r w:rsidR="00E343DD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065ED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90A249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431F5B" w:rsidRDefault="00431F5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065ED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31F5B" w:rsidRPr="003C6C8D" w:rsidRDefault="00431F5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31F5B" w:rsidRPr="003C6C8D" w:rsidRDefault="00431F5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3A1AF9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431F5B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1F5B" w:rsidRDefault="00065ED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1F5B" w:rsidRPr="00C97596" w:rsidRDefault="00431F5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C70B7E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C70B7E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31F5B" w:rsidRPr="00C97596" w:rsidRDefault="00431F5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C70B7E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C70B7E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431F5B">
    <w:pPr>
      <w:pStyle w:val="Nagwek"/>
    </w:pPr>
  </w:p>
  <w:p w:rsidR="00431F5B" w:rsidRDefault="00431F5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pt;height:125.1pt;visibility:visible;mso-wrap-style:square" o:bullet="t">
        <v:imagedata r:id="rId1" o:title=""/>
      </v:shape>
    </w:pict>
  </w:numPicBullet>
  <w:numPicBullet w:numPicBulletId="1">
    <w:pict>
      <v:shape id="_x0000_i1029" type="#_x0000_t75" style="width:123.7pt;height:125.1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4A9"/>
    <w:rsid w:val="00014BC5"/>
    <w:rsid w:val="000152F5"/>
    <w:rsid w:val="00017FFE"/>
    <w:rsid w:val="00023A16"/>
    <w:rsid w:val="00027951"/>
    <w:rsid w:val="00036905"/>
    <w:rsid w:val="000419AC"/>
    <w:rsid w:val="0004582E"/>
    <w:rsid w:val="00046397"/>
    <w:rsid w:val="000470AA"/>
    <w:rsid w:val="00055400"/>
    <w:rsid w:val="00057CA1"/>
    <w:rsid w:val="00065EDC"/>
    <w:rsid w:val="000662E2"/>
    <w:rsid w:val="00066883"/>
    <w:rsid w:val="00067B66"/>
    <w:rsid w:val="00074DD8"/>
    <w:rsid w:val="00080236"/>
    <w:rsid w:val="000806F7"/>
    <w:rsid w:val="00081C7F"/>
    <w:rsid w:val="0008767F"/>
    <w:rsid w:val="000B0442"/>
    <w:rsid w:val="000B0727"/>
    <w:rsid w:val="000B62AD"/>
    <w:rsid w:val="000B6DA7"/>
    <w:rsid w:val="000C135D"/>
    <w:rsid w:val="000C4971"/>
    <w:rsid w:val="000C62BC"/>
    <w:rsid w:val="000C6CA1"/>
    <w:rsid w:val="000D1D43"/>
    <w:rsid w:val="000D225C"/>
    <w:rsid w:val="000D2A5C"/>
    <w:rsid w:val="000E0918"/>
    <w:rsid w:val="000F6856"/>
    <w:rsid w:val="001011C3"/>
    <w:rsid w:val="00104902"/>
    <w:rsid w:val="00107DC3"/>
    <w:rsid w:val="00110537"/>
    <w:rsid w:val="00110D87"/>
    <w:rsid w:val="001119E5"/>
    <w:rsid w:val="00114DB9"/>
    <w:rsid w:val="00116087"/>
    <w:rsid w:val="00125CC4"/>
    <w:rsid w:val="001267F4"/>
    <w:rsid w:val="00130296"/>
    <w:rsid w:val="00135671"/>
    <w:rsid w:val="0013673D"/>
    <w:rsid w:val="001405BA"/>
    <w:rsid w:val="001423B6"/>
    <w:rsid w:val="001448A7"/>
    <w:rsid w:val="00146621"/>
    <w:rsid w:val="00152273"/>
    <w:rsid w:val="00157AF9"/>
    <w:rsid w:val="00162325"/>
    <w:rsid w:val="001628ED"/>
    <w:rsid w:val="00162EE7"/>
    <w:rsid w:val="00170EBA"/>
    <w:rsid w:val="0017137C"/>
    <w:rsid w:val="001738D1"/>
    <w:rsid w:val="001815B0"/>
    <w:rsid w:val="00191512"/>
    <w:rsid w:val="00191E3E"/>
    <w:rsid w:val="001951DA"/>
    <w:rsid w:val="001A480D"/>
    <w:rsid w:val="001A4D4B"/>
    <w:rsid w:val="001A6377"/>
    <w:rsid w:val="001A7C31"/>
    <w:rsid w:val="001B4A82"/>
    <w:rsid w:val="001B4D4D"/>
    <w:rsid w:val="001B727B"/>
    <w:rsid w:val="001C3269"/>
    <w:rsid w:val="001C40BE"/>
    <w:rsid w:val="001C5DE2"/>
    <w:rsid w:val="001C6802"/>
    <w:rsid w:val="001C6976"/>
    <w:rsid w:val="001D1DB4"/>
    <w:rsid w:val="001D399D"/>
    <w:rsid w:val="001D76C2"/>
    <w:rsid w:val="001D7E97"/>
    <w:rsid w:val="001E059C"/>
    <w:rsid w:val="001E6704"/>
    <w:rsid w:val="001F29DE"/>
    <w:rsid w:val="001F43F9"/>
    <w:rsid w:val="001F551D"/>
    <w:rsid w:val="001F67FE"/>
    <w:rsid w:val="00205C7E"/>
    <w:rsid w:val="00214797"/>
    <w:rsid w:val="002208FB"/>
    <w:rsid w:val="0022580C"/>
    <w:rsid w:val="00227E6F"/>
    <w:rsid w:val="002308E2"/>
    <w:rsid w:val="00247E0C"/>
    <w:rsid w:val="0025043C"/>
    <w:rsid w:val="00251AE8"/>
    <w:rsid w:val="0025463B"/>
    <w:rsid w:val="002574F9"/>
    <w:rsid w:val="00261B5D"/>
    <w:rsid w:val="00263223"/>
    <w:rsid w:val="00273B9E"/>
    <w:rsid w:val="0027555D"/>
    <w:rsid w:val="00276811"/>
    <w:rsid w:val="00282699"/>
    <w:rsid w:val="00287CE2"/>
    <w:rsid w:val="002926DF"/>
    <w:rsid w:val="00296697"/>
    <w:rsid w:val="002A6115"/>
    <w:rsid w:val="002B0472"/>
    <w:rsid w:val="002B2088"/>
    <w:rsid w:val="002B6B12"/>
    <w:rsid w:val="002C0E78"/>
    <w:rsid w:val="002D0EFC"/>
    <w:rsid w:val="002D12AB"/>
    <w:rsid w:val="002D2D15"/>
    <w:rsid w:val="002E6140"/>
    <w:rsid w:val="002E6985"/>
    <w:rsid w:val="002E71B6"/>
    <w:rsid w:val="002F77C8"/>
    <w:rsid w:val="002F7C59"/>
    <w:rsid w:val="00300D95"/>
    <w:rsid w:val="00304F22"/>
    <w:rsid w:val="00304F73"/>
    <w:rsid w:val="00306C7C"/>
    <w:rsid w:val="003140EB"/>
    <w:rsid w:val="003208BA"/>
    <w:rsid w:val="00320FEE"/>
    <w:rsid w:val="00322EDD"/>
    <w:rsid w:val="00324110"/>
    <w:rsid w:val="003301DD"/>
    <w:rsid w:val="0033029E"/>
    <w:rsid w:val="00332320"/>
    <w:rsid w:val="00336650"/>
    <w:rsid w:val="00341A36"/>
    <w:rsid w:val="00342484"/>
    <w:rsid w:val="0034354B"/>
    <w:rsid w:val="00347D72"/>
    <w:rsid w:val="00357611"/>
    <w:rsid w:val="00367237"/>
    <w:rsid w:val="003705F0"/>
    <w:rsid w:val="0037077F"/>
    <w:rsid w:val="00373882"/>
    <w:rsid w:val="00373960"/>
    <w:rsid w:val="00374327"/>
    <w:rsid w:val="00375B9E"/>
    <w:rsid w:val="00381336"/>
    <w:rsid w:val="00381472"/>
    <w:rsid w:val="003843DB"/>
    <w:rsid w:val="00384426"/>
    <w:rsid w:val="00390102"/>
    <w:rsid w:val="00393761"/>
    <w:rsid w:val="00397A0C"/>
    <w:rsid w:val="00397D18"/>
    <w:rsid w:val="003A1B36"/>
    <w:rsid w:val="003B1454"/>
    <w:rsid w:val="003B4DDA"/>
    <w:rsid w:val="003C1FA5"/>
    <w:rsid w:val="003C2CAA"/>
    <w:rsid w:val="003C319C"/>
    <w:rsid w:val="003C5768"/>
    <w:rsid w:val="003C59E0"/>
    <w:rsid w:val="003C5E6A"/>
    <w:rsid w:val="003C6C8D"/>
    <w:rsid w:val="003D4F95"/>
    <w:rsid w:val="003D5F42"/>
    <w:rsid w:val="003D60A9"/>
    <w:rsid w:val="003D7F37"/>
    <w:rsid w:val="003F025A"/>
    <w:rsid w:val="003F0625"/>
    <w:rsid w:val="003F3D37"/>
    <w:rsid w:val="003F4C97"/>
    <w:rsid w:val="003F51F7"/>
    <w:rsid w:val="003F7FE6"/>
    <w:rsid w:val="00400193"/>
    <w:rsid w:val="00415861"/>
    <w:rsid w:val="00416D57"/>
    <w:rsid w:val="004212E7"/>
    <w:rsid w:val="0042446D"/>
    <w:rsid w:val="00427910"/>
    <w:rsid w:val="00427BF8"/>
    <w:rsid w:val="00431C02"/>
    <w:rsid w:val="00431F5B"/>
    <w:rsid w:val="004358A9"/>
    <w:rsid w:val="00437395"/>
    <w:rsid w:val="00445047"/>
    <w:rsid w:val="004571AA"/>
    <w:rsid w:val="00463E39"/>
    <w:rsid w:val="00464756"/>
    <w:rsid w:val="004657FC"/>
    <w:rsid w:val="004733F6"/>
    <w:rsid w:val="00474E69"/>
    <w:rsid w:val="004853FC"/>
    <w:rsid w:val="00490249"/>
    <w:rsid w:val="00490822"/>
    <w:rsid w:val="0049621B"/>
    <w:rsid w:val="004A12CA"/>
    <w:rsid w:val="004A579E"/>
    <w:rsid w:val="004B06B1"/>
    <w:rsid w:val="004B2AFF"/>
    <w:rsid w:val="004B55C7"/>
    <w:rsid w:val="004C1895"/>
    <w:rsid w:val="004C2C51"/>
    <w:rsid w:val="004C6D40"/>
    <w:rsid w:val="004C751F"/>
    <w:rsid w:val="004D10CF"/>
    <w:rsid w:val="004D191A"/>
    <w:rsid w:val="004D4601"/>
    <w:rsid w:val="004D558A"/>
    <w:rsid w:val="004E0C12"/>
    <w:rsid w:val="004E2013"/>
    <w:rsid w:val="004E6D72"/>
    <w:rsid w:val="004F0C3C"/>
    <w:rsid w:val="004F2034"/>
    <w:rsid w:val="004F63FC"/>
    <w:rsid w:val="00500683"/>
    <w:rsid w:val="00504D32"/>
    <w:rsid w:val="00505A92"/>
    <w:rsid w:val="00511294"/>
    <w:rsid w:val="00513647"/>
    <w:rsid w:val="00515198"/>
    <w:rsid w:val="005151CB"/>
    <w:rsid w:val="005203F1"/>
    <w:rsid w:val="00521BC3"/>
    <w:rsid w:val="00531673"/>
    <w:rsid w:val="00533632"/>
    <w:rsid w:val="005367C9"/>
    <w:rsid w:val="0054251F"/>
    <w:rsid w:val="00550618"/>
    <w:rsid w:val="005520D8"/>
    <w:rsid w:val="0055683B"/>
    <w:rsid w:val="00556CF1"/>
    <w:rsid w:val="005708DB"/>
    <w:rsid w:val="00571878"/>
    <w:rsid w:val="005737E1"/>
    <w:rsid w:val="005762A7"/>
    <w:rsid w:val="00580241"/>
    <w:rsid w:val="005819EE"/>
    <w:rsid w:val="0058303B"/>
    <w:rsid w:val="00584889"/>
    <w:rsid w:val="005916D7"/>
    <w:rsid w:val="00592561"/>
    <w:rsid w:val="00592B0A"/>
    <w:rsid w:val="0059505B"/>
    <w:rsid w:val="00596627"/>
    <w:rsid w:val="005A04D8"/>
    <w:rsid w:val="005A698C"/>
    <w:rsid w:val="005B23AA"/>
    <w:rsid w:val="005B6AAA"/>
    <w:rsid w:val="005C08E7"/>
    <w:rsid w:val="005C211C"/>
    <w:rsid w:val="005C5F08"/>
    <w:rsid w:val="005C6163"/>
    <w:rsid w:val="005E0799"/>
    <w:rsid w:val="005E5B01"/>
    <w:rsid w:val="005F271E"/>
    <w:rsid w:val="005F5A80"/>
    <w:rsid w:val="005F6E76"/>
    <w:rsid w:val="00601C27"/>
    <w:rsid w:val="006044FF"/>
    <w:rsid w:val="00607CC5"/>
    <w:rsid w:val="0061245F"/>
    <w:rsid w:val="00633014"/>
    <w:rsid w:val="00634344"/>
    <w:rsid w:val="0063437B"/>
    <w:rsid w:val="0063751F"/>
    <w:rsid w:val="0064387D"/>
    <w:rsid w:val="006477C5"/>
    <w:rsid w:val="00652748"/>
    <w:rsid w:val="006534EB"/>
    <w:rsid w:val="00655451"/>
    <w:rsid w:val="0065725B"/>
    <w:rsid w:val="00661E7F"/>
    <w:rsid w:val="006653DF"/>
    <w:rsid w:val="006673CA"/>
    <w:rsid w:val="00670B69"/>
    <w:rsid w:val="00673C26"/>
    <w:rsid w:val="00677D27"/>
    <w:rsid w:val="006812AE"/>
    <w:rsid w:val="006812AF"/>
    <w:rsid w:val="00682532"/>
    <w:rsid w:val="0068327D"/>
    <w:rsid w:val="00683E97"/>
    <w:rsid w:val="00694AF0"/>
    <w:rsid w:val="006A2E6E"/>
    <w:rsid w:val="006A5E06"/>
    <w:rsid w:val="006B0E9E"/>
    <w:rsid w:val="006B4E41"/>
    <w:rsid w:val="006B5AE4"/>
    <w:rsid w:val="006B7D5F"/>
    <w:rsid w:val="006C346D"/>
    <w:rsid w:val="006C3670"/>
    <w:rsid w:val="006C3D97"/>
    <w:rsid w:val="006C5460"/>
    <w:rsid w:val="006C623C"/>
    <w:rsid w:val="006C6B63"/>
    <w:rsid w:val="006D4054"/>
    <w:rsid w:val="006D4BCE"/>
    <w:rsid w:val="006D7F22"/>
    <w:rsid w:val="006E02EC"/>
    <w:rsid w:val="006E375C"/>
    <w:rsid w:val="006E760C"/>
    <w:rsid w:val="006F27A0"/>
    <w:rsid w:val="006F2ACE"/>
    <w:rsid w:val="007008C0"/>
    <w:rsid w:val="007149AA"/>
    <w:rsid w:val="007211B1"/>
    <w:rsid w:val="00721B78"/>
    <w:rsid w:val="00725B6D"/>
    <w:rsid w:val="007275AD"/>
    <w:rsid w:val="007276BA"/>
    <w:rsid w:val="00742D79"/>
    <w:rsid w:val="00746187"/>
    <w:rsid w:val="0076254F"/>
    <w:rsid w:val="00763F0E"/>
    <w:rsid w:val="007650D9"/>
    <w:rsid w:val="007744FB"/>
    <w:rsid w:val="00777720"/>
    <w:rsid w:val="007801F5"/>
    <w:rsid w:val="00783CA4"/>
    <w:rsid w:val="007842FB"/>
    <w:rsid w:val="00786124"/>
    <w:rsid w:val="0079514B"/>
    <w:rsid w:val="007A2DC1"/>
    <w:rsid w:val="007B1AA2"/>
    <w:rsid w:val="007B6930"/>
    <w:rsid w:val="007C0ED6"/>
    <w:rsid w:val="007C59C8"/>
    <w:rsid w:val="007C5F7B"/>
    <w:rsid w:val="007C61E6"/>
    <w:rsid w:val="007C70C7"/>
    <w:rsid w:val="007C7266"/>
    <w:rsid w:val="007C7794"/>
    <w:rsid w:val="007D3319"/>
    <w:rsid w:val="007D335D"/>
    <w:rsid w:val="007D530E"/>
    <w:rsid w:val="007E3314"/>
    <w:rsid w:val="007E4B03"/>
    <w:rsid w:val="007F324B"/>
    <w:rsid w:val="007F6DE4"/>
    <w:rsid w:val="00803CA5"/>
    <w:rsid w:val="008046D8"/>
    <w:rsid w:val="0080553C"/>
    <w:rsid w:val="0080593C"/>
    <w:rsid w:val="00805B46"/>
    <w:rsid w:val="00805D74"/>
    <w:rsid w:val="008115B5"/>
    <w:rsid w:val="00813A58"/>
    <w:rsid w:val="00813C08"/>
    <w:rsid w:val="0082299D"/>
    <w:rsid w:val="00825DC2"/>
    <w:rsid w:val="00827172"/>
    <w:rsid w:val="008271F3"/>
    <w:rsid w:val="00834AD3"/>
    <w:rsid w:val="00840B92"/>
    <w:rsid w:val="00841284"/>
    <w:rsid w:val="00843795"/>
    <w:rsid w:val="00844F4E"/>
    <w:rsid w:val="00845B99"/>
    <w:rsid w:val="00847F0F"/>
    <w:rsid w:val="00852448"/>
    <w:rsid w:val="00854499"/>
    <w:rsid w:val="008564CD"/>
    <w:rsid w:val="00864639"/>
    <w:rsid w:val="0088258A"/>
    <w:rsid w:val="00886332"/>
    <w:rsid w:val="008872DA"/>
    <w:rsid w:val="008A26D9"/>
    <w:rsid w:val="008B23D3"/>
    <w:rsid w:val="008B79E9"/>
    <w:rsid w:val="008C0C29"/>
    <w:rsid w:val="008C5482"/>
    <w:rsid w:val="008D219B"/>
    <w:rsid w:val="008D4BB8"/>
    <w:rsid w:val="008F3638"/>
    <w:rsid w:val="008F6F31"/>
    <w:rsid w:val="008F74DF"/>
    <w:rsid w:val="008F7AED"/>
    <w:rsid w:val="00901D58"/>
    <w:rsid w:val="00902E2A"/>
    <w:rsid w:val="009127BA"/>
    <w:rsid w:val="00913B37"/>
    <w:rsid w:val="00914B36"/>
    <w:rsid w:val="00921356"/>
    <w:rsid w:val="009219A5"/>
    <w:rsid w:val="009227A6"/>
    <w:rsid w:val="00933EC1"/>
    <w:rsid w:val="00942C04"/>
    <w:rsid w:val="00950B93"/>
    <w:rsid w:val="0095105C"/>
    <w:rsid w:val="009530DB"/>
    <w:rsid w:val="00953676"/>
    <w:rsid w:val="0095396F"/>
    <w:rsid w:val="00954E87"/>
    <w:rsid w:val="00957ADF"/>
    <w:rsid w:val="00961A2C"/>
    <w:rsid w:val="0096306A"/>
    <w:rsid w:val="009705EE"/>
    <w:rsid w:val="00976445"/>
    <w:rsid w:val="00977927"/>
    <w:rsid w:val="0098135C"/>
    <w:rsid w:val="0098156A"/>
    <w:rsid w:val="00984123"/>
    <w:rsid w:val="00986283"/>
    <w:rsid w:val="00991BAC"/>
    <w:rsid w:val="00991D98"/>
    <w:rsid w:val="0099491E"/>
    <w:rsid w:val="009A195F"/>
    <w:rsid w:val="009A6EA0"/>
    <w:rsid w:val="009B247E"/>
    <w:rsid w:val="009B7B99"/>
    <w:rsid w:val="009C0F29"/>
    <w:rsid w:val="009C1335"/>
    <w:rsid w:val="009C1AB2"/>
    <w:rsid w:val="009C6ACB"/>
    <w:rsid w:val="009C7251"/>
    <w:rsid w:val="009E2E91"/>
    <w:rsid w:val="00A00473"/>
    <w:rsid w:val="00A016A3"/>
    <w:rsid w:val="00A026C5"/>
    <w:rsid w:val="00A139F5"/>
    <w:rsid w:val="00A1582C"/>
    <w:rsid w:val="00A24F88"/>
    <w:rsid w:val="00A2520C"/>
    <w:rsid w:val="00A26158"/>
    <w:rsid w:val="00A3190C"/>
    <w:rsid w:val="00A365F4"/>
    <w:rsid w:val="00A463CC"/>
    <w:rsid w:val="00A46C43"/>
    <w:rsid w:val="00A479D5"/>
    <w:rsid w:val="00A47D80"/>
    <w:rsid w:val="00A53132"/>
    <w:rsid w:val="00A563F2"/>
    <w:rsid w:val="00A566E8"/>
    <w:rsid w:val="00A770D7"/>
    <w:rsid w:val="00A810F9"/>
    <w:rsid w:val="00A81356"/>
    <w:rsid w:val="00A84587"/>
    <w:rsid w:val="00A86ECC"/>
    <w:rsid w:val="00A86FCC"/>
    <w:rsid w:val="00A91253"/>
    <w:rsid w:val="00A930B2"/>
    <w:rsid w:val="00A94360"/>
    <w:rsid w:val="00A97F4D"/>
    <w:rsid w:val="00AA710D"/>
    <w:rsid w:val="00AB1DC9"/>
    <w:rsid w:val="00AB6D25"/>
    <w:rsid w:val="00AC1D06"/>
    <w:rsid w:val="00AC26E1"/>
    <w:rsid w:val="00AC5132"/>
    <w:rsid w:val="00AC64CB"/>
    <w:rsid w:val="00AC750F"/>
    <w:rsid w:val="00AD0456"/>
    <w:rsid w:val="00AD3888"/>
    <w:rsid w:val="00AE12A5"/>
    <w:rsid w:val="00AE2D4B"/>
    <w:rsid w:val="00AE4F99"/>
    <w:rsid w:val="00AF3882"/>
    <w:rsid w:val="00B00908"/>
    <w:rsid w:val="00B00A8B"/>
    <w:rsid w:val="00B0794F"/>
    <w:rsid w:val="00B1071F"/>
    <w:rsid w:val="00B1165C"/>
    <w:rsid w:val="00B12909"/>
    <w:rsid w:val="00B14952"/>
    <w:rsid w:val="00B14B6E"/>
    <w:rsid w:val="00B211A6"/>
    <w:rsid w:val="00B25EE8"/>
    <w:rsid w:val="00B31984"/>
    <w:rsid w:val="00B31E5A"/>
    <w:rsid w:val="00B33803"/>
    <w:rsid w:val="00B51213"/>
    <w:rsid w:val="00B5309C"/>
    <w:rsid w:val="00B53859"/>
    <w:rsid w:val="00B653AB"/>
    <w:rsid w:val="00B65F9E"/>
    <w:rsid w:val="00B66B19"/>
    <w:rsid w:val="00B6757A"/>
    <w:rsid w:val="00B701E8"/>
    <w:rsid w:val="00B76271"/>
    <w:rsid w:val="00B9064B"/>
    <w:rsid w:val="00B914E9"/>
    <w:rsid w:val="00B956EE"/>
    <w:rsid w:val="00B97152"/>
    <w:rsid w:val="00B9735C"/>
    <w:rsid w:val="00BA0BBE"/>
    <w:rsid w:val="00BA2BA1"/>
    <w:rsid w:val="00BA38B6"/>
    <w:rsid w:val="00BA7650"/>
    <w:rsid w:val="00BB4C69"/>
    <w:rsid w:val="00BB4F09"/>
    <w:rsid w:val="00BB706E"/>
    <w:rsid w:val="00BC6A47"/>
    <w:rsid w:val="00BD4E33"/>
    <w:rsid w:val="00BD7EC7"/>
    <w:rsid w:val="00BE1D4B"/>
    <w:rsid w:val="00BE698D"/>
    <w:rsid w:val="00C015E3"/>
    <w:rsid w:val="00C030DE"/>
    <w:rsid w:val="00C05E71"/>
    <w:rsid w:val="00C106B3"/>
    <w:rsid w:val="00C20E37"/>
    <w:rsid w:val="00C2124E"/>
    <w:rsid w:val="00C22105"/>
    <w:rsid w:val="00C244B6"/>
    <w:rsid w:val="00C27062"/>
    <w:rsid w:val="00C3702F"/>
    <w:rsid w:val="00C41B67"/>
    <w:rsid w:val="00C4563B"/>
    <w:rsid w:val="00C57B89"/>
    <w:rsid w:val="00C64A37"/>
    <w:rsid w:val="00C66F06"/>
    <w:rsid w:val="00C70B7E"/>
    <w:rsid w:val="00C7158E"/>
    <w:rsid w:val="00C7250B"/>
    <w:rsid w:val="00C7346B"/>
    <w:rsid w:val="00C742AC"/>
    <w:rsid w:val="00C77C0E"/>
    <w:rsid w:val="00C8142C"/>
    <w:rsid w:val="00C81FC1"/>
    <w:rsid w:val="00C90628"/>
    <w:rsid w:val="00C91687"/>
    <w:rsid w:val="00C924A8"/>
    <w:rsid w:val="00C945FE"/>
    <w:rsid w:val="00C96FAA"/>
    <w:rsid w:val="00C97A04"/>
    <w:rsid w:val="00CA0156"/>
    <w:rsid w:val="00CA091B"/>
    <w:rsid w:val="00CA107B"/>
    <w:rsid w:val="00CA484D"/>
    <w:rsid w:val="00CB568E"/>
    <w:rsid w:val="00CB67F3"/>
    <w:rsid w:val="00CC739E"/>
    <w:rsid w:val="00CD0521"/>
    <w:rsid w:val="00CD58B7"/>
    <w:rsid w:val="00CE0430"/>
    <w:rsid w:val="00CE40E1"/>
    <w:rsid w:val="00CF3814"/>
    <w:rsid w:val="00CF4099"/>
    <w:rsid w:val="00CF5468"/>
    <w:rsid w:val="00CF546A"/>
    <w:rsid w:val="00CF56FC"/>
    <w:rsid w:val="00D00796"/>
    <w:rsid w:val="00D06F44"/>
    <w:rsid w:val="00D13520"/>
    <w:rsid w:val="00D17EB2"/>
    <w:rsid w:val="00D249F5"/>
    <w:rsid w:val="00D261A2"/>
    <w:rsid w:val="00D43A09"/>
    <w:rsid w:val="00D52F7F"/>
    <w:rsid w:val="00D53C95"/>
    <w:rsid w:val="00D616D2"/>
    <w:rsid w:val="00D63B5F"/>
    <w:rsid w:val="00D641C9"/>
    <w:rsid w:val="00D67670"/>
    <w:rsid w:val="00D70EF7"/>
    <w:rsid w:val="00D77D45"/>
    <w:rsid w:val="00D8397C"/>
    <w:rsid w:val="00D90D7A"/>
    <w:rsid w:val="00D916CA"/>
    <w:rsid w:val="00D94EED"/>
    <w:rsid w:val="00D96026"/>
    <w:rsid w:val="00D96F41"/>
    <w:rsid w:val="00DA3437"/>
    <w:rsid w:val="00DA7C1C"/>
    <w:rsid w:val="00DB147A"/>
    <w:rsid w:val="00DB1B7A"/>
    <w:rsid w:val="00DB562E"/>
    <w:rsid w:val="00DB6184"/>
    <w:rsid w:val="00DC6708"/>
    <w:rsid w:val="00DE3AF8"/>
    <w:rsid w:val="00DF0DED"/>
    <w:rsid w:val="00DF22FD"/>
    <w:rsid w:val="00E00E46"/>
    <w:rsid w:val="00E01436"/>
    <w:rsid w:val="00E01821"/>
    <w:rsid w:val="00E03481"/>
    <w:rsid w:val="00E045BD"/>
    <w:rsid w:val="00E04B9B"/>
    <w:rsid w:val="00E07365"/>
    <w:rsid w:val="00E12F35"/>
    <w:rsid w:val="00E17B77"/>
    <w:rsid w:val="00E23337"/>
    <w:rsid w:val="00E24BC3"/>
    <w:rsid w:val="00E259EA"/>
    <w:rsid w:val="00E31581"/>
    <w:rsid w:val="00E32061"/>
    <w:rsid w:val="00E343DD"/>
    <w:rsid w:val="00E401D2"/>
    <w:rsid w:val="00E42FF9"/>
    <w:rsid w:val="00E45B03"/>
    <w:rsid w:val="00E4714C"/>
    <w:rsid w:val="00E51463"/>
    <w:rsid w:val="00E51AEB"/>
    <w:rsid w:val="00E522A7"/>
    <w:rsid w:val="00E54452"/>
    <w:rsid w:val="00E5741F"/>
    <w:rsid w:val="00E664C5"/>
    <w:rsid w:val="00E671A2"/>
    <w:rsid w:val="00E76D26"/>
    <w:rsid w:val="00E80C30"/>
    <w:rsid w:val="00E9065F"/>
    <w:rsid w:val="00EA7DFB"/>
    <w:rsid w:val="00EB0A84"/>
    <w:rsid w:val="00EB1390"/>
    <w:rsid w:val="00EB2C71"/>
    <w:rsid w:val="00EB2EA6"/>
    <w:rsid w:val="00EB34FA"/>
    <w:rsid w:val="00EB4340"/>
    <w:rsid w:val="00EB556D"/>
    <w:rsid w:val="00EB5A7D"/>
    <w:rsid w:val="00EB77B3"/>
    <w:rsid w:val="00EC0E14"/>
    <w:rsid w:val="00EC2683"/>
    <w:rsid w:val="00EC3EA3"/>
    <w:rsid w:val="00EC794B"/>
    <w:rsid w:val="00ED25A6"/>
    <w:rsid w:val="00ED55C0"/>
    <w:rsid w:val="00ED682B"/>
    <w:rsid w:val="00EE27A4"/>
    <w:rsid w:val="00EE2E6E"/>
    <w:rsid w:val="00EE41D5"/>
    <w:rsid w:val="00EE5667"/>
    <w:rsid w:val="00EE795A"/>
    <w:rsid w:val="00EE7C15"/>
    <w:rsid w:val="00F037A4"/>
    <w:rsid w:val="00F14294"/>
    <w:rsid w:val="00F156AE"/>
    <w:rsid w:val="00F15EA9"/>
    <w:rsid w:val="00F23CE5"/>
    <w:rsid w:val="00F27C8F"/>
    <w:rsid w:val="00F309F4"/>
    <w:rsid w:val="00F32749"/>
    <w:rsid w:val="00F37172"/>
    <w:rsid w:val="00F415BA"/>
    <w:rsid w:val="00F42E6E"/>
    <w:rsid w:val="00F4477E"/>
    <w:rsid w:val="00F53896"/>
    <w:rsid w:val="00F54AA9"/>
    <w:rsid w:val="00F61EC8"/>
    <w:rsid w:val="00F648BF"/>
    <w:rsid w:val="00F64C62"/>
    <w:rsid w:val="00F67BEC"/>
    <w:rsid w:val="00F67D8F"/>
    <w:rsid w:val="00F76F45"/>
    <w:rsid w:val="00F77676"/>
    <w:rsid w:val="00F802BE"/>
    <w:rsid w:val="00F85DC4"/>
    <w:rsid w:val="00F86024"/>
    <w:rsid w:val="00F8611A"/>
    <w:rsid w:val="00F962C5"/>
    <w:rsid w:val="00F96B6E"/>
    <w:rsid w:val="00FA5128"/>
    <w:rsid w:val="00FB42D4"/>
    <w:rsid w:val="00FB5906"/>
    <w:rsid w:val="00FB762F"/>
    <w:rsid w:val="00FB7B25"/>
    <w:rsid w:val="00FC1C4D"/>
    <w:rsid w:val="00FC2AED"/>
    <w:rsid w:val="00FC75D8"/>
    <w:rsid w:val="00FD1B74"/>
    <w:rsid w:val="00FD1BBD"/>
    <w:rsid w:val="00FD2E71"/>
    <w:rsid w:val="00FD3E31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BB1CC58-6777-4070-B707-E16BBE726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274029408133E-2"/>
          <c:y val="1.9076923076923082E-2"/>
          <c:w val="0.93325015595757954"/>
          <c:h val="0.757950907545011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8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Arkusz1!$B$53:$C$91</c:f>
              <c:multiLvlStrCache>
                <c:ptCount val="39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Arkusz1!$D$53:$D$91</c:f>
              <c:numCache>
                <c:formatCode>0.0</c:formatCode>
                <c:ptCount val="39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  <c:pt idx="38" formatCode="General">
                  <c:v>108.8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528566736"/>
        <c:axId val="-528562928"/>
      </c:barChart>
      <c:catAx>
        <c:axId val="-528566736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528562928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528562928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528566736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199507569293782E-2"/>
          <c:y val="6.1951636507662215E-2"/>
          <c:w val="0.92213919699666025"/>
          <c:h val="0.677298161073715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800"/>
                      <a:t>99,4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767801857584685E-3"/>
                  <c:y val="1.94212468440473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9536578825480539E-3"/>
                  <c:y val="-3.8836376759954182E-3"/>
                </c:manualLayout>
              </c:layout>
              <c:numFmt formatCode="0.0" sourceLinked="0"/>
              <c:spPr>
                <a:solidFill>
                  <a:srgbClr val="FFFFFF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743034055727545E-2"/>
                      <c:h val="4.1173043309380465E-2"/>
                    </c:manualLayout>
                  </c15:layout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solidFill>
                <a:srgbClr val="FFFFFF"/>
              </a:solidFill>
              <a:ln w="3175">
                <a:noFill/>
                <a:prstDash val="solid"/>
              </a:ln>
            </c:spPr>
            <c:txPr>
              <a:bodyPr vertOverflow="overflow" horzOverflow="overflow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pozostała
sprzedaż
w niewyspecja-
lizowanych
sklepach
</c:v>
                </c:pt>
                <c:pt idx="4">
                  <c:v>farmaceutyki, 
kosmetyki, 
sprzęt 
ortopedyczny   </c:v>
                </c:pt>
                <c:pt idx="5">
                  <c:v>tekstylia, odzież, 
obuwie</c:v>
                </c:pt>
                <c:pt idx="6">
                  <c:v>meble,
rtv,
agd
</c:v>
                </c:pt>
                <c:pt idx="7">
                  <c:v>prasa, książki, 
pozostała sprzedaż
w wyspecjalizowanych
sklepach
</c:v>
                </c:pt>
                <c:pt idx="8">
                  <c:v>pozostałe  </c:v>
                </c:pt>
              </c:strCache>
            </c:strRef>
          </c:cat>
          <c:val>
            <c:numRef>
              <c:f>rodz_dział_miesiąc!$AV$4:$AV$12</c:f>
              <c:numCache>
                <c:formatCode>0.0</c:formatCode>
                <c:ptCount val="9"/>
                <c:pt idx="0">
                  <c:v>99.4</c:v>
                </c:pt>
                <c:pt idx="1">
                  <c:v>108</c:v>
                </c:pt>
                <c:pt idx="2">
                  <c:v>113.8</c:v>
                </c:pt>
                <c:pt idx="3">
                  <c:v>117.4</c:v>
                </c:pt>
                <c:pt idx="4">
                  <c:v>114.1</c:v>
                </c:pt>
                <c:pt idx="5">
                  <c:v>113</c:v>
                </c:pt>
                <c:pt idx="6">
                  <c:v>104.5</c:v>
                </c:pt>
                <c:pt idx="7">
                  <c:v>97.5</c:v>
                </c:pt>
                <c:pt idx="8">
                  <c:v>102.2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528557488"/>
        <c:axId val="-528556944"/>
      </c:barChart>
      <c:catAx>
        <c:axId val="-528557488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528556944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-528556944"/>
        <c:scaling>
          <c:orientation val="minMax"/>
          <c:max val="120"/>
          <c:min val="9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528557488"/>
        <c:crossesAt val="1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327755783411335E-2"/>
          <c:y val="5.662798978264795E-2"/>
          <c:w val="0.90120672439187943"/>
          <c:h val="0.73350155554879992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98"/>
              <c:layout>
                <c:manualLayout>
                  <c:x val="-1.2405408758218765E-2"/>
                  <c:y val="-3.607317701623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aseline="0">
                    <a:solidFill>
                      <a:srgbClr val="001D77"/>
                    </a:solidFill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dLblPos val="t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Wykresy!$A$2:$A$109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Wykresy!$B$2:$B$109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  <c:pt idx="98">
                  <c:v>122.6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Wykresy!$C$1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98"/>
              <c:layout>
                <c:manualLayout>
                  <c:x val="-7.4432452549311502E-3"/>
                  <c:y val="1.5459933006956923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69BE28"/>
                        </a:solidFill>
                        <a:latin typeface="Fira Sans" pitchFamily="34" charset="0"/>
                        <a:ea typeface="Fira Sans" pitchFamily="34" charset="0"/>
                      </a:rPr>
                      <a:t>1</a:t>
                    </a:r>
                    <a:r>
                      <a:rPr lang="en-US"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rPr>
                      <a:t>19,6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Wykresy!$A$2:$A$109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Wykresy!$C$2:$C$109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>
                  <c:v>119</c:v>
                </c:pt>
                <c:pt idx="98">
                  <c:v>119.6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28556400"/>
        <c:axId val="-528554224"/>
      </c:lineChart>
      <c:catAx>
        <c:axId val="-528556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528554224"/>
        <c:crosses val="autoZero"/>
        <c:auto val="1"/>
        <c:lblAlgn val="ctr"/>
        <c:lblOffset val="100"/>
        <c:tickMarkSkip val="12"/>
        <c:noMultiLvlLbl val="0"/>
      </c:catAx>
      <c:valAx>
        <c:axId val="-528554224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528556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0.10234</cdr:x>
      <cdr:y>0.17996</cdr:y>
    </cdr:from>
    <cdr:to>
      <cdr:x>0.29618</cdr:x>
      <cdr:y>0.26994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524757" y="588398"/>
          <a:ext cx="993939" cy="2941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Fira Sans" pitchFamily="34" charset="0"/>
            <a:ea typeface="Fira Sans" pitchFamily="34" charset="0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Ogółem 108,8</a:t>
          </a:r>
        </a:p>
      </cdr:txBody>
    </cdr:sp>
  </cdr:relSizeAnchor>
  <cdr:relSizeAnchor xmlns:cdr="http://schemas.openxmlformats.org/drawingml/2006/chartDrawing">
    <cdr:from>
      <cdr:x>0.11318</cdr:x>
      <cdr:y>0.2677</cdr:y>
    </cdr:from>
    <cdr:to>
      <cdr:x>0.18589</cdr:x>
      <cdr:y>0.37402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580328" y="875263"/>
          <a:ext cx="372830" cy="34762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0.06355</cdr:x>
      <cdr:y>0.37785</cdr:y>
    </cdr:from>
    <cdr:to>
      <cdr:x>0.98767</cdr:x>
      <cdr:y>0.38518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25876" y="1235413"/>
          <a:ext cx="4738519" cy="2398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AB8397-10BD-42FF-A79C-23DC46DA7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597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Biernat Jolanta</cp:lastModifiedBy>
  <cp:revision>4</cp:revision>
  <cp:lastPrinted>2018-03-19T13:30:00Z</cp:lastPrinted>
  <dcterms:created xsi:type="dcterms:W3CDTF">2018-04-19T08:48:00Z</dcterms:created>
  <dcterms:modified xsi:type="dcterms:W3CDTF">2018-04-20T07:47:00Z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