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E31581" w:rsidRDefault="00D13520" w:rsidP="00074DD8">
      <w:pPr>
        <w:pStyle w:val="tytuinformacji"/>
        <w:rPr>
          <w:b/>
          <w:szCs w:val="40"/>
          <w:shd w:val="clear" w:color="auto" w:fill="FFFFFF"/>
        </w:rPr>
      </w:pPr>
      <w:bookmarkStart w:id="0" w:name="_GoBack"/>
      <w:bookmarkEnd w:id="0"/>
      <w:r w:rsidRPr="00E31581">
        <w:rPr>
          <w:rFonts w:cs="Arial"/>
          <w:b/>
          <w:szCs w:val="40"/>
        </w:rPr>
        <w:t xml:space="preserve">Dynamika sprzedaży detalicznej w </w:t>
      </w:r>
      <w:r w:rsidR="00767D0E">
        <w:rPr>
          <w:rFonts w:cs="Arial"/>
          <w:b/>
          <w:szCs w:val="40"/>
        </w:rPr>
        <w:t>kwietniu</w:t>
      </w:r>
      <w:r w:rsidRPr="00E31581">
        <w:rPr>
          <w:rFonts w:cs="Arial"/>
          <w:b/>
          <w:szCs w:val="40"/>
        </w:rPr>
        <w:t xml:space="preserve"> 201</w:t>
      </w:r>
      <w:r w:rsidR="006534EB" w:rsidRPr="00E31581">
        <w:rPr>
          <w:rFonts w:cs="Arial"/>
          <w:b/>
          <w:szCs w:val="40"/>
        </w:rPr>
        <w:t>8</w:t>
      </w:r>
      <w:r w:rsidRPr="00E31581">
        <w:rPr>
          <w:rFonts w:cs="Arial"/>
          <w:b/>
          <w:szCs w:val="40"/>
        </w:rPr>
        <w:t xml:space="preserve"> r.</w:t>
      </w:r>
    </w:p>
    <w:p w:rsidR="00393761" w:rsidRPr="0095396F" w:rsidRDefault="00A2520C" w:rsidP="00074DD8">
      <w:pPr>
        <w:pStyle w:val="tytuinformacji"/>
        <w:rPr>
          <w:rFonts w:asciiTheme="majorHAnsi" w:hAnsiTheme="majorHAnsi"/>
          <w:sz w:val="32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5241290</wp:posOffset>
                </wp:positionH>
                <wp:positionV relativeFrom="paragraph">
                  <wp:posOffset>246380</wp:posOffset>
                </wp:positionV>
                <wp:extent cx="1828800" cy="1095375"/>
                <wp:effectExtent l="0" t="0" r="0" b="0"/>
                <wp:wrapTight wrapText="bothSides">
                  <wp:wrapPolygon edited="0">
                    <wp:start x="675" y="0"/>
                    <wp:lineTo x="675" y="21037"/>
                    <wp:lineTo x="20700" y="21037"/>
                    <wp:lineTo x="20700" y="0"/>
                    <wp:lineTo x="67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917AEC" w:rsidRDefault="00A930B2" w:rsidP="00E80C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2B5380">
                              <w:t>kwietniu</w:t>
                            </w:r>
                            <w:r>
                              <w:t xml:space="preserve"> br. </w:t>
                            </w:r>
                            <w:r w:rsidR="00EB77B3">
                              <w:t xml:space="preserve">tempo </w:t>
                            </w:r>
                            <w:r w:rsidR="007C70C7">
                              <w:t xml:space="preserve">wzrostu </w:t>
                            </w:r>
                            <w:r w:rsidR="00431F5B" w:rsidRPr="00917AEC">
                              <w:t>sprzedaż</w:t>
                            </w:r>
                            <w:r w:rsidR="00EB77B3">
                              <w:t>y</w:t>
                            </w:r>
                            <w:r w:rsidR="00431F5B" w:rsidRPr="00917AEC">
                              <w:t xml:space="preserve"> detaliczn</w:t>
                            </w:r>
                            <w:r w:rsidR="00EB77B3">
                              <w:t>ej</w:t>
                            </w:r>
                            <w:r w:rsidR="00431F5B" w:rsidRPr="00917AEC">
                              <w:t xml:space="preserve"> w</w:t>
                            </w:r>
                            <w:r w:rsidR="002B5380">
                              <w:t> </w:t>
                            </w:r>
                            <w:r w:rsidR="007C70C7">
                              <w:t>ce</w:t>
                            </w:r>
                            <w:r w:rsidR="00431F5B" w:rsidRPr="00917AEC">
                              <w:t xml:space="preserve">nach stałych </w:t>
                            </w:r>
                            <w:r w:rsidR="00EB77B3">
                              <w:t>r/r</w:t>
                            </w:r>
                            <w:r w:rsidR="00431F5B">
                              <w:t xml:space="preserve"> </w:t>
                            </w:r>
                            <w:r w:rsidR="002B5380">
                              <w:t>było niższe niż w</w:t>
                            </w:r>
                            <w:r w:rsidR="00831736">
                              <w:t> p</w:t>
                            </w:r>
                            <w:r w:rsidR="002B5380">
                              <w:t xml:space="preserve">oprzednich miesiącach </w:t>
                            </w:r>
                            <w:r w:rsidR="00831736">
                              <w:br/>
                            </w:r>
                            <w:r w:rsidR="002B5380">
                              <w:t>2018</w:t>
                            </w:r>
                            <w:r w:rsidR="00D46791">
                              <w:t xml:space="preserve"> </w:t>
                            </w:r>
                            <w:r w:rsidR="002B5380">
                              <w:t>r.</w:t>
                            </w:r>
                          </w:p>
                          <w:p w:rsidR="00431F5B" w:rsidRPr="00074DD8" w:rsidRDefault="00431F5B" w:rsidP="00074DD8">
                            <w:pPr>
                              <w:pStyle w:val="tekstzboku"/>
                            </w:pPr>
                            <w:r w:rsidRPr="00074DD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7pt;margin-top:19.4pt;width:2in;height:8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nbDwIAAPkDAAAOAAAAZHJzL2Uyb0RvYy54bWysU11v2yAUfZ+0/4B4X/yxZE2sOFXXrtOk&#10;bqvU7gdgjGNU4DIgsbNf3wtO02h7q+YHBL73nnvP4bC+HLUie+G8BFPTYpZTIgyHVpptTX893n5Y&#10;UuIDMy1TYERND8LTy837d+vBVqKEHlQrHEEQ46vB1rQPwVZZ5nkvNPMzsMJgsAOnWcCj22atYwOi&#10;a5WVef4pG8C11gEX3uPfmylINwm/6wQPP7vOi0BUTXG2kFaX1iau2WbNqq1jtpf8OAZ7wxSaSYNN&#10;T1A3LDCyc/IfKC25Aw9dmHHQGXSd5CJxQDZF/hebh55ZkbigON6eZPL/D5b/2N87Ilu8u4ISwzTe&#10;0T0oQYJ48gEGQcqo0WB9hakPFpPD+BlGzE98vb0D/uSJgeuema24cg6GXrAWZyxiZXZWOuH4CNIM&#10;36HFXmwXIAGNndNRQJSEIDre1eF0P2IMhMeWy3K5zDHEMVbkq8XHi0XqwaqXcut8+CpAk7ipqUMD&#10;JHi2v/MhjsOql5TYzcCtVCqZQBky1HS1KBep4CyiZUCPKqlrit3xm1wTWX4xbSoOTKppjw2UOdKO&#10;TCfOYWxGTIxaNNAeUAAHkxfx7eCmB/eHkgF9WFP/e8ecoER9MyjiqpjPo3HTYb64KPHgziPNeYQZ&#10;jlA1DZRM2+uQzD5xvUKxO5lkeJ3kOCv6K6lzfAvRwOfnlPX6YjfPAAAA//8DAFBLAwQUAAYACAAA&#10;ACEAuXQYp94AAAALAQAADwAAAGRycy9kb3ducmV2LnhtbEyPzU7DQAyE70i8w8pI3Ohu0haFEKdC&#10;IK4gyo/EbZu4SUTWG2W3TXh73BO92Z7R+JtiM7teHWkMnWeEZGFAEVe+7rhB+Hh/vslAhWi5tr1n&#10;QvilAJvy8qKwee0nfqPjNjZKQjjkFqGNcci1DlVLzoaFH4hF2/vR2Sjr2Oh6tJOEu16nxtxqZzuW&#10;D60d6LGl6md7cAifL/vvr5V5bZ7cepj8bDS7O414fTU/3IOKNMd/M5zwBR1KYdr5A9dB9QhZul6J&#10;FWGZSYWTIUmWctkhpDKBLgt93qH8AwAA//8DAFBLAQItABQABgAIAAAAIQC2gziS/gAAAOEBAAAT&#10;AAAAAAAAAAAAAAAAAAAAAABbQ29udGVudF9UeXBlc10ueG1sUEsBAi0AFAAGAAgAAAAhADj9If/W&#10;AAAAlAEAAAsAAAAAAAAAAAAAAAAALwEAAF9yZWxzLy5yZWxzUEsBAi0AFAAGAAgAAAAhALq1mdsP&#10;AgAA+QMAAA4AAAAAAAAAAAAAAAAALgIAAGRycy9lMm9Eb2MueG1sUEsBAi0AFAAGAAgAAAAhALl0&#10;GKfeAAAACwEAAA8AAAAAAAAAAAAAAAAAaQQAAGRycy9kb3ducmV2LnhtbFBLBQYAAAAABAAEAPMA&#10;AAB0BQAAAAA=&#10;" filled="f" stroked="f">
                <v:textbox>
                  <w:txbxContent>
                    <w:p w:rsidR="00431F5B" w:rsidRPr="00917AEC" w:rsidRDefault="00A930B2" w:rsidP="00E80C30">
                      <w:pPr>
                        <w:pStyle w:val="tekstzboku"/>
                      </w:pPr>
                      <w:r>
                        <w:t xml:space="preserve">W </w:t>
                      </w:r>
                      <w:r w:rsidR="002B5380">
                        <w:t>kwietniu</w:t>
                      </w:r>
                      <w:r>
                        <w:t xml:space="preserve"> br. </w:t>
                      </w:r>
                      <w:r w:rsidR="00EB77B3">
                        <w:t xml:space="preserve">tempo </w:t>
                      </w:r>
                      <w:r w:rsidR="007C70C7">
                        <w:t xml:space="preserve">wzrostu </w:t>
                      </w:r>
                      <w:r w:rsidR="00431F5B" w:rsidRPr="00917AEC">
                        <w:t>sprzedaż</w:t>
                      </w:r>
                      <w:r w:rsidR="00EB77B3">
                        <w:t>y</w:t>
                      </w:r>
                      <w:r w:rsidR="00431F5B" w:rsidRPr="00917AEC">
                        <w:t xml:space="preserve"> detaliczn</w:t>
                      </w:r>
                      <w:r w:rsidR="00EB77B3">
                        <w:t>ej</w:t>
                      </w:r>
                      <w:r w:rsidR="00431F5B" w:rsidRPr="00917AEC">
                        <w:t xml:space="preserve"> w</w:t>
                      </w:r>
                      <w:r w:rsidR="002B5380">
                        <w:t> </w:t>
                      </w:r>
                      <w:r w:rsidR="007C70C7">
                        <w:t>ce</w:t>
                      </w:r>
                      <w:r w:rsidR="00431F5B" w:rsidRPr="00917AEC">
                        <w:t xml:space="preserve">nach stałych </w:t>
                      </w:r>
                      <w:r w:rsidR="00EB77B3">
                        <w:t>r/r</w:t>
                      </w:r>
                      <w:r w:rsidR="00431F5B">
                        <w:t xml:space="preserve"> </w:t>
                      </w:r>
                      <w:r w:rsidR="002B5380">
                        <w:t>było niższe niż w</w:t>
                      </w:r>
                      <w:r w:rsidR="00831736">
                        <w:t> p</w:t>
                      </w:r>
                      <w:r w:rsidR="002B5380">
                        <w:t xml:space="preserve">oprzednich miesiącach </w:t>
                      </w:r>
                      <w:r w:rsidR="00831736">
                        <w:br/>
                      </w:r>
                      <w:r w:rsidR="002B5380">
                        <w:t>2018</w:t>
                      </w:r>
                      <w:r w:rsidR="00D46791">
                        <w:t xml:space="preserve"> </w:t>
                      </w:r>
                      <w:r w:rsidR="002B5380">
                        <w:t>r.</w:t>
                      </w:r>
                    </w:p>
                    <w:p w:rsidR="00431F5B" w:rsidRPr="00074DD8" w:rsidRDefault="00431F5B" w:rsidP="00074DD8">
                      <w:pPr>
                        <w:pStyle w:val="tekstzboku"/>
                      </w:pPr>
                      <w:r w:rsidRPr="00074DD8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E31581" w:rsidRDefault="00A2520C" w:rsidP="005B6AAA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864A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64A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2pt;width:2in;height:9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864A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64A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>
        <w:t>S</w:t>
      </w:r>
      <w:r w:rsidR="003C2CAA" w:rsidRPr="00E31581">
        <w:t>przedaż</w:t>
      </w:r>
      <w:r w:rsidR="00C62998">
        <w:t xml:space="preserve"> detaliczna</w:t>
      </w:r>
      <w:r w:rsidR="00E80C30" w:rsidRPr="00E31581">
        <w:rPr>
          <w:rStyle w:val="Odwoanieprzypisudolnego"/>
        </w:rPr>
        <w:footnoteReference w:id="1"/>
      </w:r>
      <w:r w:rsidR="003C2CAA" w:rsidRPr="00E31581">
        <w:t xml:space="preserve"> </w:t>
      </w:r>
      <w:r w:rsidR="003C2CAA" w:rsidRPr="00E31581">
        <w:rPr>
          <w:rFonts w:cs="Arial"/>
          <w:szCs w:val="24"/>
        </w:rPr>
        <w:t xml:space="preserve">w cenach stałych </w:t>
      </w:r>
      <w:r w:rsidR="0096306A" w:rsidRPr="00E31581">
        <w:t>w </w:t>
      </w:r>
      <w:r w:rsidR="00C62998">
        <w:t>kwietniu</w:t>
      </w:r>
      <w:r w:rsidR="003C2CAA" w:rsidRPr="00E31581">
        <w:t xml:space="preserve"> br. </w:t>
      </w:r>
      <w:r w:rsidR="00C62998">
        <w:t>była wyższa niż przed rokiem o 4,0% (wobec wzrostu o</w:t>
      </w:r>
      <w:r w:rsidR="00511F40">
        <w:t> </w:t>
      </w:r>
      <w:r w:rsidR="00C62998">
        <w:t>6,7% w kwietniu u</w:t>
      </w:r>
      <w:r w:rsidR="00511F40">
        <w:t>b</w:t>
      </w:r>
      <w:r w:rsidR="00C62998">
        <w:t xml:space="preserve">. </w:t>
      </w:r>
      <w:r w:rsidR="00511F40">
        <w:t>roku</w:t>
      </w:r>
      <w:r w:rsidR="00C62998">
        <w:t>)</w:t>
      </w:r>
      <w:r w:rsidR="003C2CAA" w:rsidRPr="00E31581">
        <w:t xml:space="preserve">. </w:t>
      </w:r>
      <w:r w:rsidR="00135671">
        <w:t>Tempo w</w:t>
      </w:r>
      <w:r w:rsidR="003C2CAA" w:rsidRPr="00E31581">
        <w:t>zrost</w:t>
      </w:r>
      <w:r w:rsidR="00135671">
        <w:t>u</w:t>
      </w:r>
      <w:r w:rsidR="003C2CAA" w:rsidRPr="00E31581">
        <w:t xml:space="preserve"> sprzedaży detalicznej </w:t>
      </w:r>
      <w:r w:rsidR="00EE5667">
        <w:rPr>
          <w:bCs/>
        </w:rPr>
        <w:t>było</w:t>
      </w:r>
      <w:r w:rsidR="00C20E37">
        <w:rPr>
          <w:bCs/>
        </w:rPr>
        <w:t xml:space="preserve"> </w:t>
      </w:r>
      <w:r w:rsidR="00C62998">
        <w:rPr>
          <w:bCs/>
        </w:rPr>
        <w:t>niższe</w:t>
      </w:r>
      <w:r w:rsidR="00CC55EA">
        <w:rPr>
          <w:bCs/>
        </w:rPr>
        <w:t xml:space="preserve"> niż</w:t>
      </w:r>
      <w:r w:rsidR="00C62998">
        <w:rPr>
          <w:bCs/>
        </w:rPr>
        <w:t xml:space="preserve"> </w:t>
      </w:r>
      <w:r w:rsidR="00CC55EA">
        <w:rPr>
          <w:bCs/>
        </w:rPr>
        <w:t xml:space="preserve">w </w:t>
      </w:r>
      <w:r w:rsidR="00C62998">
        <w:rPr>
          <w:bCs/>
        </w:rPr>
        <w:t xml:space="preserve">poprzednich </w:t>
      </w:r>
      <w:r w:rsidR="00EE5667">
        <w:rPr>
          <w:bCs/>
        </w:rPr>
        <w:t xml:space="preserve"> </w:t>
      </w:r>
      <w:r w:rsidR="00CC55EA">
        <w:rPr>
          <w:bCs/>
        </w:rPr>
        <w:t>miesiącach</w:t>
      </w:r>
      <w:r w:rsidR="001C5DE2">
        <w:rPr>
          <w:bCs/>
        </w:rPr>
        <w:t xml:space="preserve"> </w:t>
      </w:r>
      <w:r w:rsidR="00976445">
        <w:rPr>
          <w:bCs/>
        </w:rPr>
        <w:t>201</w:t>
      </w:r>
      <w:r w:rsidR="00CC55EA">
        <w:rPr>
          <w:bCs/>
        </w:rPr>
        <w:t xml:space="preserve">8 r. </w:t>
      </w:r>
      <w:r w:rsidR="00017FFE" w:rsidRPr="00E31581">
        <w:rPr>
          <w:rFonts w:cs="Arial"/>
          <w:szCs w:val="24"/>
        </w:rPr>
        <w:t>W porównaniu z</w:t>
      </w:r>
      <w:r w:rsidR="00CC55EA">
        <w:rPr>
          <w:rFonts w:cs="Arial"/>
          <w:szCs w:val="24"/>
        </w:rPr>
        <w:t xml:space="preserve"> marcem</w:t>
      </w:r>
      <w:r w:rsidR="00017FFE" w:rsidRPr="00E31581">
        <w:rPr>
          <w:rFonts w:cs="Arial"/>
          <w:szCs w:val="24"/>
        </w:rPr>
        <w:t xml:space="preserve"> </w:t>
      </w:r>
      <w:r w:rsidR="00EE5667">
        <w:rPr>
          <w:rFonts w:cs="Arial"/>
          <w:szCs w:val="24"/>
        </w:rPr>
        <w:t>br</w:t>
      </w:r>
      <w:r w:rsidR="00976445">
        <w:rPr>
          <w:rFonts w:cs="Arial"/>
          <w:szCs w:val="24"/>
        </w:rPr>
        <w:t xml:space="preserve">. </w:t>
      </w:r>
      <w:r w:rsidR="00017FFE" w:rsidRPr="00E31581">
        <w:rPr>
          <w:rFonts w:cs="Arial"/>
          <w:szCs w:val="24"/>
        </w:rPr>
        <w:t xml:space="preserve">miał miejsce </w:t>
      </w:r>
      <w:r w:rsidR="00976445">
        <w:rPr>
          <w:rFonts w:cs="Arial"/>
          <w:szCs w:val="24"/>
        </w:rPr>
        <w:t xml:space="preserve">spadek sprzedaży detalicznej o </w:t>
      </w:r>
      <w:r w:rsidR="00CC55EA">
        <w:rPr>
          <w:rFonts w:cs="Arial"/>
          <w:szCs w:val="24"/>
        </w:rPr>
        <w:t>5</w:t>
      </w:r>
      <w:r w:rsidR="00017FFE" w:rsidRPr="00E31581">
        <w:rPr>
          <w:rFonts w:cs="Arial"/>
          <w:szCs w:val="24"/>
        </w:rPr>
        <w:t>,</w:t>
      </w:r>
      <w:r w:rsidR="00CC55EA">
        <w:rPr>
          <w:rFonts w:cs="Arial"/>
          <w:szCs w:val="24"/>
        </w:rPr>
        <w:t>9</w:t>
      </w:r>
      <w:r w:rsidR="00017FFE" w:rsidRPr="00E31581">
        <w:rPr>
          <w:rFonts w:cs="Arial"/>
          <w:szCs w:val="24"/>
        </w:rPr>
        <w:t>%</w:t>
      </w:r>
      <w:r w:rsidR="001F67FE">
        <w:rPr>
          <w:rFonts w:cs="Arial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C22105" w:rsidRPr="00E31581" w:rsidRDefault="00BE1D4B" w:rsidP="00074DD8">
      <w:pPr>
        <w:pStyle w:val="Nagwek1"/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163830</wp:posOffset>
                </wp:positionV>
                <wp:extent cx="1835785" cy="1074420"/>
                <wp:effectExtent l="0" t="0" r="0" b="0"/>
                <wp:wrapTight wrapText="bothSides">
                  <wp:wrapPolygon edited="0">
                    <wp:start x="672" y="0"/>
                    <wp:lineTo x="672" y="21064"/>
                    <wp:lineTo x="20845" y="21064"/>
                    <wp:lineTo x="20845" y="0"/>
                    <wp:lineTo x="67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415861" w:rsidRDefault="00431F5B" w:rsidP="00074DD8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W </w:t>
                            </w:r>
                            <w:r w:rsidR="00680FFF">
                              <w:rPr>
                                <w:rFonts w:cs="Arial"/>
                              </w:rPr>
                              <w:t>kwietniu</w:t>
                            </w:r>
                            <w:r>
                              <w:rPr>
                                <w:rFonts w:cs="Arial"/>
                              </w:rPr>
                              <w:t xml:space="preserve"> 2018 r. w</w:t>
                            </w:r>
                            <w:r w:rsidRPr="00E31581">
                              <w:rPr>
                                <w:rFonts w:cs="Arial"/>
                              </w:rPr>
                              <w:t>zrost sprzedaży detalicznej w cenach stałych w skali roku ut</w:t>
                            </w:r>
                            <w:r>
                              <w:rPr>
                                <w:rFonts w:cs="Arial"/>
                              </w:rPr>
                              <w:t xml:space="preserve">rzymał się </w:t>
                            </w:r>
                            <w:r w:rsidR="00680FFF">
                              <w:rPr>
                                <w:rFonts w:cs="Arial"/>
                              </w:rPr>
                              <w:t>w większości</w:t>
                            </w:r>
                            <w:r>
                              <w:rPr>
                                <w:rFonts w:cs="Arial"/>
                              </w:rPr>
                              <w:t xml:space="preserve"> grupowa</w:t>
                            </w:r>
                            <w:r w:rsidR="00680FFF">
                              <w:rPr>
                                <w:rFonts w:cs="Arial"/>
                              </w:rPr>
                              <w:t>ń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1pt;margin-top:12.9pt;width:144.55pt;height:8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cpEgIAAP8DAAAOAAAAZHJzL2Uyb0RvYy54bWysU8GO0zAQvSPxD5bvNGlpaTdqulp2WYS0&#10;wEoLHzB1nMZa22Nst0n5esZOt1RwQ+Rg2RnPm3lvntfXg9HsIH1QaGs+nZScSSuwUXZX8+/f7t+s&#10;OAsRbAMaraz5UQZ+vXn9at27Ss6wQ91IzwjEhqp3Ne9idFVRBNFJA2GCTloKtugNRDr6XdF46And&#10;6GJWlu+KHn3jPAoZAv29G4N8k/HbVor4tW2DjEzXnHqLefV53aa12Kyh2nlwnRKnNuAfujCgLBU9&#10;Q91BBLb36i8oo4THgG2cCDQFtq0SMnMgNtPyDzZPHTiZuZA4wZ1lCv8PVnw5PHqmmpovObNgaESP&#10;qCWL8jlE7CWbJYl6Fyq6+eTobhze40CjznSDe0DxHJjF2w7sTt54j30noaEWpymzuEgdcUIC2faf&#10;saFasI+YgYbWm6QfKcIInUZ1PI9HDpGJVHL1drFcLTgTFJuWy/l8lgdYQPWS7nyIHyUaljY19zT/&#10;DA+HhxBTO1C9XEnVLN4rrbMHtGV9za8Ws0VOuIgYFcmiWpmar8r0jaZJLD/YJidHUHrcUwFtT7QT&#10;05FzHLZDFvms5habI+ngcXQkvSDadOh/ctaTG2sefuzBS870J0taXk3n82TffJgvlkSc+cvI9jIC&#10;VhBUzSNn4/Y2ZsuPlG9I81ZlNdJwxk5OLZPLskinF5FsfHnOt36/280vAAAA//8DAFBLAwQUAAYA&#10;CAAAACEA4vze+d8AAAALAQAADwAAAGRycy9kb3ducmV2LnhtbEyPTU/DMAyG70j7D5GRdmNJuxVt&#10;pek0gXYFMT4kblnjtRWNUzXZWv493glutvzo9fMW28l14oJDaD1pSBYKBFLlbUu1hve3/d0aRIiG&#10;rOk8oYYfDLAtZzeFya0f6RUvh1gLDqGQGw1NjH0uZagadCYsfI/Et5MfnIm8DrW0gxk53HUyVepe&#10;OtMSf2hMj48NVt+Hs9Pw8Xz6+lypl/rJZf3oJyXJbaTW89tp9wAi4hT/YLjqszqU7HT0Z7JBdBrW&#10;6SplVEOacYUrkCTLJYgjT5tMgSwL+b9D+QsAAP//AwBQSwECLQAUAAYACAAAACEAtoM4kv4AAADh&#10;AQAAEwAAAAAAAAAAAAAAAAAAAAAAW0NvbnRlbnRfVHlwZXNdLnhtbFBLAQItABQABgAIAAAAIQA4&#10;/SH/1gAAAJQBAAALAAAAAAAAAAAAAAAAAC8BAABfcmVscy8ucmVsc1BLAQItABQABgAIAAAAIQDc&#10;5FcpEgIAAP8DAAAOAAAAAAAAAAAAAAAAAC4CAABkcnMvZTJvRG9jLnhtbFBLAQItABQABgAIAAAA&#10;IQDi/N753wAAAAsBAAAPAAAAAAAAAAAAAAAAAGwEAABkcnMvZG93bnJldi54bWxQSwUGAAAAAAQA&#10;BADzAAAAeAUAAAAA&#10;" filled="f" stroked="f">
                <v:textbox>
                  <w:txbxContent>
                    <w:p w:rsidR="00431F5B" w:rsidRPr="00415861" w:rsidRDefault="00431F5B" w:rsidP="00074DD8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W </w:t>
                      </w:r>
                      <w:r w:rsidR="00680FFF">
                        <w:rPr>
                          <w:rFonts w:cs="Arial"/>
                        </w:rPr>
                        <w:t>kwietniu</w:t>
                      </w:r>
                      <w:r>
                        <w:rPr>
                          <w:rFonts w:cs="Arial"/>
                        </w:rPr>
                        <w:t xml:space="preserve"> 2018 r. w</w:t>
                      </w:r>
                      <w:r w:rsidRPr="00E31581">
                        <w:rPr>
                          <w:rFonts w:cs="Arial"/>
                        </w:rPr>
                        <w:t>zrost sprzedaży detalicznej w cenach stałych w skali roku ut</w:t>
                      </w:r>
                      <w:r>
                        <w:rPr>
                          <w:rFonts w:cs="Arial"/>
                        </w:rPr>
                        <w:t xml:space="preserve">rzymał się </w:t>
                      </w:r>
                      <w:r w:rsidR="00680FFF">
                        <w:rPr>
                          <w:rFonts w:cs="Arial"/>
                        </w:rPr>
                        <w:t>w większości</w:t>
                      </w:r>
                      <w:r>
                        <w:rPr>
                          <w:rFonts w:cs="Arial"/>
                        </w:rPr>
                        <w:t xml:space="preserve"> grupowa</w:t>
                      </w:r>
                      <w:r w:rsidR="00680FFF">
                        <w:rPr>
                          <w:rFonts w:cs="Arial"/>
                        </w:rPr>
                        <w:t>ń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80C30" w:rsidRPr="00E31581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Wśród grup o znaczącym udziale w sprzedaży detalicznej „ogółem</w:t>
      </w:r>
      <w:r w:rsidR="00E00E46">
        <w:rPr>
          <w:rFonts w:cs="Arial"/>
        </w:rPr>
        <w:t>”</w:t>
      </w:r>
      <w:r w:rsidR="00C20E37">
        <w:rPr>
          <w:rFonts w:cs="Arial"/>
        </w:rPr>
        <w:t xml:space="preserve"> </w:t>
      </w:r>
      <w:r w:rsidR="006C5460">
        <w:rPr>
          <w:rFonts w:cs="Arial"/>
        </w:rPr>
        <w:t>najwyższy</w:t>
      </w:r>
      <w:r w:rsidR="000144A9">
        <w:rPr>
          <w:rFonts w:cs="Arial"/>
        </w:rPr>
        <w:t xml:space="preserve"> </w:t>
      </w:r>
      <w:r w:rsidRPr="00E31581">
        <w:rPr>
          <w:rFonts w:cs="Arial"/>
        </w:rPr>
        <w:t xml:space="preserve">wzrost w </w:t>
      </w:r>
      <w:r w:rsidR="00630E43">
        <w:rPr>
          <w:rFonts w:cs="Arial"/>
        </w:rPr>
        <w:t xml:space="preserve">kwietniu </w:t>
      </w:r>
      <w:r w:rsidRPr="0099491E">
        <w:t>2018</w:t>
      </w:r>
      <w:r w:rsidR="00A44540">
        <w:t xml:space="preserve"> </w:t>
      </w:r>
      <w:r w:rsidRPr="0099491E">
        <w:t>r</w:t>
      </w:r>
      <w:r w:rsidRPr="00E31581">
        <w:rPr>
          <w:rFonts w:cs="Arial"/>
        </w:rPr>
        <w:t>. w porównaniu z analogicznym okresem ub. roku</w:t>
      </w:r>
      <w:r w:rsidR="0008767F">
        <w:rPr>
          <w:rFonts w:cs="Arial"/>
        </w:rPr>
        <w:t xml:space="preserve"> (w cenach stałych)</w:t>
      </w:r>
      <w:r w:rsidRPr="00E31581">
        <w:rPr>
          <w:rFonts w:cs="Arial"/>
        </w:rPr>
        <w:t xml:space="preserve"> zaobse</w:t>
      </w:r>
      <w:r w:rsidR="00C943D6">
        <w:rPr>
          <w:rFonts w:cs="Arial"/>
        </w:rPr>
        <w:t xml:space="preserve">rwowano w </w:t>
      </w:r>
      <w:r w:rsidR="00427910" w:rsidRPr="00E31581">
        <w:rPr>
          <w:rFonts w:cs="Arial"/>
        </w:rPr>
        <w:t>przedsiębior</w:t>
      </w:r>
      <w:r w:rsidR="00427910">
        <w:rPr>
          <w:rFonts w:cs="Arial"/>
        </w:rPr>
        <w:t>stwach z grupy „pozostałe” (o 1</w:t>
      </w:r>
      <w:r w:rsidR="00630E43">
        <w:rPr>
          <w:rFonts w:cs="Arial"/>
        </w:rPr>
        <w:t>4</w:t>
      </w:r>
      <w:r w:rsidR="00427910">
        <w:rPr>
          <w:rFonts w:cs="Arial"/>
        </w:rPr>
        <w:t>,</w:t>
      </w:r>
      <w:r w:rsidR="00630E43">
        <w:rPr>
          <w:rFonts w:cs="Arial"/>
        </w:rPr>
        <w:t>5</w:t>
      </w:r>
      <w:r w:rsidR="00427910">
        <w:rPr>
          <w:rFonts w:cs="Arial"/>
        </w:rPr>
        <w:t xml:space="preserve">% wobec </w:t>
      </w:r>
      <w:r w:rsidR="00630E43">
        <w:rPr>
          <w:rFonts w:cs="Arial"/>
        </w:rPr>
        <w:t>spadku o 0</w:t>
      </w:r>
      <w:r w:rsidR="00427910">
        <w:rPr>
          <w:rFonts w:cs="Arial"/>
        </w:rPr>
        <w:t>,</w:t>
      </w:r>
      <w:r w:rsidR="00630E43">
        <w:rPr>
          <w:rFonts w:cs="Arial"/>
        </w:rPr>
        <w:t>2</w:t>
      </w:r>
      <w:r w:rsidR="00427910">
        <w:rPr>
          <w:rFonts w:cs="Arial"/>
        </w:rPr>
        <w:t>% przed rokiem)</w:t>
      </w:r>
      <w:r w:rsidRPr="00E31581">
        <w:rPr>
          <w:rFonts w:cs="Arial"/>
        </w:rPr>
        <w:t>. Znaczny wzrost sprzedaży odnotowano również w przedsiębiorst</w:t>
      </w:r>
      <w:r w:rsidR="00B33803">
        <w:rPr>
          <w:rFonts w:cs="Arial"/>
        </w:rPr>
        <w:t xml:space="preserve">wach </w:t>
      </w:r>
      <w:r w:rsidR="00427910">
        <w:rPr>
          <w:rFonts w:cs="Arial"/>
        </w:rPr>
        <w:t xml:space="preserve">handlujących </w:t>
      </w:r>
      <w:r w:rsidR="00710EF8">
        <w:rPr>
          <w:rFonts w:cs="Arial"/>
        </w:rPr>
        <w:t xml:space="preserve">pojazdami samochodowymi, motocyklami i częściami (o 11,7%) oraz </w:t>
      </w:r>
      <w:r w:rsidR="00427910">
        <w:rPr>
          <w:rFonts w:cs="Arial"/>
        </w:rPr>
        <w:t xml:space="preserve">paliwami stałymi, ciekłymi i gazowymi (o </w:t>
      </w:r>
      <w:r w:rsidR="00710EF8">
        <w:rPr>
          <w:rFonts w:cs="Arial"/>
        </w:rPr>
        <w:t>10</w:t>
      </w:r>
      <w:r w:rsidR="00427910">
        <w:rPr>
          <w:rFonts w:cs="Arial"/>
        </w:rPr>
        <w:t>,</w:t>
      </w:r>
      <w:r w:rsidR="00710EF8">
        <w:rPr>
          <w:rFonts w:cs="Arial"/>
        </w:rPr>
        <w:t>2</w:t>
      </w:r>
      <w:r w:rsidR="00427910">
        <w:rPr>
          <w:rFonts w:cs="Arial"/>
        </w:rPr>
        <w:t>%)</w:t>
      </w:r>
      <w:r w:rsidR="001A2C7F">
        <w:rPr>
          <w:rFonts w:cs="Arial"/>
        </w:rPr>
        <w:t>.</w:t>
      </w:r>
      <w:r w:rsidR="00B33803">
        <w:rPr>
          <w:rFonts w:cs="Arial"/>
        </w:rPr>
        <w:t xml:space="preserve"> </w:t>
      </w:r>
    </w:p>
    <w:p w:rsidR="0019732B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S</w:t>
      </w:r>
      <w:r w:rsidR="00C943D6">
        <w:rPr>
          <w:rFonts w:cs="Arial"/>
        </w:rPr>
        <w:t xml:space="preserve">pośród grup o niższym udziale w </w:t>
      </w:r>
      <w:r w:rsidRPr="00E31581">
        <w:rPr>
          <w:rFonts w:cs="Arial"/>
        </w:rPr>
        <w:t xml:space="preserve">sprzedaży detalicznej „ogółem” najwyższy wzrost wykazały podmioty </w:t>
      </w:r>
      <w:r w:rsidR="0063751F">
        <w:rPr>
          <w:rFonts w:cs="Arial"/>
        </w:rPr>
        <w:t>sprzedające tekstylia, odzież, obuwie</w:t>
      </w:r>
      <w:r w:rsidRPr="00E31581">
        <w:rPr>
          <w:rFonts w:cs="Arial"/>
        </w:rPr>
        <w:t xml:space="preserve"> (o </w:t>
      </w:r>
      <w:r w:rsidR="007222EA">
        <w:rPr>
          <w:rFonts w:cs="Arial"/>
        </w:rPr>
        <w:t>18</w:t>
      </w:r>
      <w:r w:rsidRPr="00E31581">
        <w:rPr>
          <w:rFonts w:cs="Arial"/>
        </w:rPr>
        <w:t>,</w:t>
      </w:r>
      <w:r w:rsidR="007222EA">
        <w:rPr>
          <w:rFonts w:cs="Arial"/>
        </w:rPr>
        <w:t>0</w:t>
      </w:r>
      <w:r w:rsidRPr="00E31581">
        <w:rPr>
          <w:rFonts w:cs="Arial"/>
        </w:rPr>
        <w:t xml:space="preserve">%). </w:t>
      </w:r>
    </w:p>
    <w:p w:rsidR="00C943D6" w:rsidRDefault="0022081C" w:rsidP="00634344">
      <w:pPr>
        <w:spacing w:before="0" w:after="0"/>
        <w:rPr>
          <w:rFonts w:cs="Arial"/>
        </w:rPr>
      </w:pPr>
      <w:r>
        <w:rPr>
          <w:rFonts w:cs="Arial"/>
        </w:rPr>
        <w:t xml:space="preserve">Spadek sprzedaży odnotowano natomiast w jednostkach wchodzących w skład grupowań </w:t>
      </w:r>
      <w:r w:rsidRPr="00E31581">
        <w:rPr>
          <w:rFonts w:cs="Arial"/>
        </w:rPr>
        <w:t>„pozostała sprzedaż detaliczna w</w:t>
      </w:r>
      <w:r w:rsidR="00C943D6">
        <w:rPr>
          <w:rFonts w:cs="Arial"/>
        </w:rPr>
        <w:t> </w:t>
      </w:r>
      <w:r w:rsidRPr="00E31581">
        <w:rPr>
          <w:rFonts w:cs="Arial"/>
        </w:rPr>
        <w:t xml:space="preserve">niewyspecjalizowanych sklepach” (o </w:t>
      </w:r>
      <w:r>
        <w:rPr>
          <w:rFonts w:cs="Arial"/>
        </w:rPr>
        <w:t>1</w:t>
      </w:r>
      <w:r w:rsidRPr="00E31581">
        <w:rPr>
          <w:rFonts w:cs="Arial"/>
        </w:rPr>
        <w:t>,</w:t>
      </w:r>
      <w:r>
        <w:rPr>
          <w:rFonts w:cs="Arial"/>
        </w:rPr>
        <w:t>9%) oraz „żywność, napoje i wyroby tytoniowe”</w:t>
      </w:r>
      <w:r w:rsidR="00A30891">
        <w:rPr>
          <w:rFonts w:cs="Arial"/>
        </w:rPr>
        <w:t xml:space="preserve"> </w:t>
      </w:r>
      <w:r>
        <w:rPr>
          <w:rFonts w:cs="Arial"/>
        </w:rPr>
        <w:t>(o</w:t>
      </w:r>
      <w:r w:rsidR="00C943D6">
        <w:rPr>
          <w:rFonts w:cs="Arial"/>
        </w:rPr>
        <w:t> </w:t>
      </w:r>
      <w:r>
        <w:rPr>
          <w:rFonts w:cs="Arial"/>
        </w:rPr>
        <w:t>10,4%), co spowodowane było wcześniejszą datą Świąt Wielkanocnych w 2018 r. (tzw. efekt kalendarza).</w:t>
      </w:r>
    </w:p>
    <w:p w:rsidR="00CF3814" w:rsidRDefault="00CF3814" w:rsidP="00634344">
      <w:pPr>
        <w:spacing w:before="0" w:after="0"/>
        <w:rPr>
          <w:rFonts w:cs="Arial"/>
        </w:rPr>
      </w:pPr>
      <w:r>
        <w:rPr>
          <w:rFonts w:cs="Arial"/>
        </w:rPr>
        <w:t>W okresie styczeń-</w:t>
      </w:r>
      <w:r w:rsidR="007222EA">
        <w:rPr>
          <w:rFonts w:cs="Arial"/>
        </w:rPr>
        <w:t>kwiecień</w:t>
      </w:r>
      <w:r w:rsidR="00C90628">
        <w:rPr>
          <w:rStyle w:val="Odwoanieprzypisudolnego"/>
          <w:rFonts w:cs="Arial"/>
        </w:rPr>
        <w:footnoteReference w:id="2"/>
      </w:r>
      <w:r>
        <w:rPr>
          <w:rFonts w:cs="Arial"/>
        </w:rPr>
        <w:t xml:space="preserve"> br.</w:t>
      </w:r>
      <w:r w:rsidR="007222EA">
        <w:rPr>
          <w:rFonts w:cs="Arial"/>
        </w:rPr>
        <w:t xml:space="preserve"> </w:t>
      </w:r>
      <w:r w:rsidR="00C943D6">
        <w:rPr>
          <w:rFonts w:cs="Arial"/>
        </w:rPr>
        <w:t>wzrost</w:t>
      </w:r>
      <w:r>
        <w:rPr>
          <w:rFonts w:cs="Arial"/>
        </w:rPr>
        <w:t xml:space="preserve"> sprzedaż</w:t>
      </w:r>
      <w:r w:rsidR="007222EA">
        <w:rPr>
          <w:rFonts w:cs="Arial"/>
        </w:rPr>
        <w:t>y</w:t>
      </w:r>
      <w:r>
        <w:rPr>
          <w:rFonts w:cs="Arial"/>
        </w:rPr>
        <w:t xml:space="preserve"> detaliczn</w:t>
      </w:r>
      <w:r w:rsidR="007222EA">
        <w:rPr>
          <w:rFonts w:cs="Arial"/>
        </w:rPr>
        <w:t>ej</w:t>
      </w:r>
      <w:r>
        <w:rPr>
          <w:rFonts w:cs="Arial"/>
        </w:rPr>
        <w:t xml:space="preserve"> w porównaniu z analogicznym okresem ub. roku</w:t>
      </w:r>
      <w:r w:rsidR="00045FF7">
        <w:rPr>
          <w:rFonts w:cs="Arial"/>
        </w:rPr>
        <w:t xml:space="preserve"> </w:t>
      </w:r>
      <w:r w:rsidR="007222EA">
        <w:rPr>
          <w:rFonts w:cs="Arial"/>
        </w:rPr>
        <w:t>wyniósł 6</w:t>
      </w:r>
      <w:r w:rsidR="00F77676">
        <w:rPr>
          <w:rFonts w:cs="Arial"/>
        </w:rPr>
        <w:t>,</w:t>
      </w:r>
      <w:r w:rsidR="007222EA">
        <w:rPr>
          <w:rFonts w:cs="Arial"/>
        </w:rPr>
        <w:t>9</w:t>
      </w:r>
      <w:r w:rsidR="001374BF">
        <w:rPr>
          <w:rFonts w:cs="Arial"/>
        </w:rPr>
        <w:t>%</w:t>
      </w:r>
      <w:r w:rsidR="007222EA">
        <w:rPr>
          <w:rFonts w:cs="Arial"/>
        </w:rPr>
        <w:t>.</w:t>
      </w:r>
    </w:p>
    <w:p w:rsidR="00E80C30" w:rsidRDefault="00C943D6" w:rsidP="00957ADF">
      <w:pPr>
        <w:pStyle w:val="tytuwykresu"/>
        <w:rPr>
          <w:shd w:val="clear" w:color="auto" w:fill="FFFFFF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9D63BBB" wp14:editId="2ABE7656">
            <wp:simplePos x="0" y="0"/>
            <wp:positionH relativeFrom="margin">
              <wp:posOffset>0</wp:posOffset>
            </wp:positionH>
            <wp:positionV relativeFrom="margin">
              <wp:posOffset>4798060</wp:posOffset>
            </wp:positionV>
            <wp:extent cx="5048250" cy="2720975"/>
            <wp:effectExtent l="0" t="0" r="0" b="317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9C6ACB" w:rsidRPr="0095396F" w:rsidRDefault="009C6ACB" w:rsidP="00957ADF">
      <w:pPr>
        <w:pStyle w:val="tytuwykresu"/>
        <w:jc w:val="center"/>
        <w:rPr>
          <w:rFonts w:asciiTheme="majorHAnsi" w:hAnsiTheme="majorHAnsi"/>
          <w:lang w:eastAsia="pl-PL"/>
        </w:rPr>
      </w:pPr>
    </w:p>
    <w:p w:rsidR="003F3D37" w:rsidRPr="001C3D59" w:rsidRDefault="00A2520C" w:rsidP="003F3D37">
      <w:pPr>
        <w:pStyle w:val="Nagwek1"/>
        <w:rPr>
          <w:rFonts w:cs="Arial"/>
          <w:b/>
        </w:rPr>
      </w:pPr>
      <w:r w:rsidRPr="0088559B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502285</wp:posOffset>
                </wp:positionV>
                <wp:extent cx="1746885" cy="1484630"/>
                <wp:effectExtent l="0" t="0" r="0" b="1270"/>
                <wp:wrapTight wrapText="bothSides">
                  <wp:wrapPolygon edited="0">
                    <wp:start x="707" y="0"/>
                    <wp:lineTo x="707" y="21341"/>
                    <wp:lineTo x="20728" y="21341"/>
                    <wp:lineTo x="20728" y="0"/>
                    <wp:lineTo x="707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48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D37" w:rsidRPr="00074DD8" w:rsidRDefault="00831736" w:rsidP="003F3D37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W okresie styczeń</w:t>
                            </w:r>
                            <w:r>
                              <w:t xml:space="preserve">-kwiecień 2018 r. dynamika sprzedaży detalicznej </w:t>
                            </w:r>
                            <w:r w:rsidR="005B390A">
                              <w:t xml:space="preserve">(w cenach stałych) </w:t>
                            </w:r>
                            <w:r w:rsidR="00397EE4">
                              <w:t xml:space="preserve">w skali roku ukształtowała się na takim samym poziomie jak w analogicznym okresie ub. roku i </w:t>
                            </w:r>
                            <w:r>
                              <w:t xml:space="preserve">wyniosła 106,9 </w:t>
                            </w:r>
                          </w:p>
                          <w:p w:rsidR="003F3D37" w:rsidRPr="00D616D2" w:rsidRDefault="003F3D37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9" type="#_x0000_t202" style="position:absolute;margin-left:416.15pt;margin-top:39.55pt;width:137.55pt;height:116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qeFAIAAAAEAAAOAAAAZHJzL2Uyb0RvYy54bWysU9Fu2yAUfZ+0f0C8L45TJ02tkKpr12lS&#10;t1Xq9gEE4xgVuAxI7Ozrd8FJFm1v0/yAwJd77j3nHla3g9FkL31QYBktJ1NKpBXQKLtl9Pu3x3dL&#10;SkLktuEarGT0IAO9Xb99s+pdLWfQgW6kJwhiQ907RrsYXV0UQXTS8DABJy0GW/CGRzz6bdF43iO6&#10;0cVsOl0UPfjGeRAyBPz7MAbpOuO3rRTxa9sGGYlmFHuLefV53aS1WK94vfXcdUoc2+D/0IXhymLR&#10;M9QDj5zsvPoLyijhIUAbJwJMAW2rhMwckE05/YPNS8edzFxQnODOMoX/Byu+7J89UQ2jC0osNzii&#10;Z9CSRPkaIvSSlIukUe9CjVdfHF6Ow3sYcNaZb3BPIF4DsXDfcbuVd95D30neYI9lyiwuUkeckEA2&#10;/WdosBjfRchAQ+tNEhAlIYiOszqc5yOHSEQqeV0tlss5JQJjZbWsFld5ggWvT+nOh/hRgiFpw6hH&#10;A2R4vn8KMbXD69OVVM3Co9I6m0Bb0jN6M5/Nc8JFxKiIHtXKMLqcpm90TWL5wTY5OXKlxz0W0PZI&#10;OzEdOcdhM2SVr05qbqA5oA4eRkviE8JNB/4nJT3akdHwY8e9pER/sqjlTVlVyb/5UM2vZ3jwl5HN&#10;ZYRbgVCMRkrG7X3Mnh8p36HmrcpqpOGMnRxbRptlkY5PIvn48pxv/X64618AAAD//wMAUEsDBBQA&#10;BgAIAAAAIQAClsHx3wAAAAsBAAAPAAAAZHJzL2Rvd25yZXYueG1sTI/LTsMwEEX3SPyDNUjsqJ2k&#10;0CZkUiEQW1DLQ2LnxtMkIh5HsduEv8ddwXJ0j+49U25m24sTjb5zjJAsFAji2pmOG4T3t+ebNQgf&#10;NBvdOyaEH/KwqS4vSl0YN/GWTrvQiFjCvtAIbQhDIaWvW7LaL9xAHLODG60O8RwbaUY9xXLby1Sp&#10;O2l1x3Gh1QM9tlR/744W4ePl8PW5VK/Nk70dJjcryTaXiNdX88M9iEBz+IPhrB/VoYpOe3dk40WP&#10;sM7SLKIIqzwBcQYStVqC2CNkSZqDrEr5/4fqFwAA//8DAFBLAQItABQABgAIAAAAIQC2gziS/gAA&#10;AOEBAAATAAAAAAAAAAAAAAAAAAAAAABbQ29udGVudF9UeXBlc10ueG1sUEsBAi0AFAAGAAgAAAAh&#10;ADj9If/WAAAAlAEAAAsAAAAAAAAAAAAAAAAALwEAAF9yZWxzLy5yZWxzUEsBAi0AFAAGAAgAAAAh&#10;ACtvep4UAgAAAAQAAA4AAAAAAAAAAAAAAAAALgIAAGRycy9lMm9Eb2MueG1sUEsBAi0AFAAGAAgA&#10;AAAhAAKWwfHfAAAACwEAAA8AAAAAAAAAAAAAAAAAbgQAAGRycy9kb3ducmV2LnhtbFBLBQYAAAAA&#10;BAAEAPMAAAB6BQAAAAA=&#10;" filled="f" stroked="f">
                <v:textbox>
                  <w:txbxContent>
                    <w:p w:rsidR="003F3D37" w:rsidRPr="00074DD8" w:rsidRDefault="00831736" w:rsidP="003F3D37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W okresie styczeń</w:t>
                      </w:r>
                      <w:r>
                        <w:t xml:space="preserve">-kwiecień 2018 r. dynamika sprzedaży detalicznej </w:t>
                      </w:r>
                      <w:r w:rsidR="005B390A">
                        <w:t xml:space="preserve">(w cenach stałych) </w:t>
                      </w:r>
                      <w:r w:rsidR="00397EE4">
                        <w:t xml:space="preserve">w skali roku ukształtowała się na takim samym poziomie jak w analogicznym okresie ub. roku i </w:t>
                      </w:r>
                      <w:r>
                        <w:t xml:space="preserve">wyniosła </w:t>
                      </w:r>
                      <w:r>
                        <w:t>106,9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</w:p>
                    <w:p w:rsidR="003F3D37" w:rsidRPr="00D616D2" w:rsidRDefault="003F3D37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F3D37" w:rsidRPr="0088559B">
        <w:rPr>
          <w:b/>
          <w:color w:val="auto"/>
        </w:rPr>
        <w:t>Tabela 1. Dynamika</w:t>
      </w:r>
      <w:r w:rsidR="003F3D37" w:rsidRPr="0088559B">
        <w:rPr>
          <w:rFonts w:cs="Arial"/>
          <w:b/>
          <w:color w:val="auto"/>
        </w:rPr>
        <w:t xml:space="preserve"> sprzedaży detalicznej (ceny </w:t>
      </w:r>
      <w:r w:rsidR="00954E87" w:rsidRPr="0088559B">
        <w:rPr>
          <w:rFonts w:cs="Arial"/>
          <w:b/>
          <w:color w:val="auto"/>
        </w:rPr>
        <w:t>stałe</w:t>
      </w:r>
      <w:r w:rsidR="003F3D37" w:rsidRPr="0088559B">
        <w:rPr>
          <w:rFonts w:cs="Arial"/>
          <w:b/>
          <w:color w:val="auto"/>
        </w:rPr>
        <w:t>)</w:t>
      </w:r>
      <w:r w:rsidR="0088559B">
        <w:rPr>
          <w:rFonts w:cs="Arial"/>
          <w:b/>
        </w:rPr>
        <w:t>.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3F3D37" w:rsidRPr="00F156AE" w:rsidTr="000714C9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0714C9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746B6" w:rsidP="00E0736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IV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746B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I-IV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3F3D37" w:rsidRPr="0095396F" w:rsidTr="000714C9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F3D37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I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>II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4746B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4746B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I-IV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BF0126" w:rsidP="00A016A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35675F" w:rsidP="00D77D4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35675F" w:rsidP="00EC0E1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106,9</w:t>
            </w: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F0126" w:rsidP="00A016A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CA09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7008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F0126" w:rsidP="004358A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6E760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7008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F0126" w:rsidP="000714C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1B727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21479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</w:tr>
      <w:tr w:rsidR="003F3D37" w:rsidRPr="0095396F" w:rsidTr="000714C9">
        <w:trPr>
          <w:trHeight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F0126" w:rsidP="004358A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0714C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CE043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</w:tr>
      <w:tr w:rsidR="003F3D37" w:rsidRPr="0095396F" w:rsidTr="000714C9">
        <w:trPr>
          <w:cantSplit/>
          <w:trHeight w:val="425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F012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304F7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112,4</w:t>
            </w:r>
          </w:p>
        </w:tc>
      </w:tr>
      <w:tr w:rsidR="003F3D37" w:rsidRPr="0095396F" w:rsidTr="000714C9">
        <w:trPr>
          <w:cantSplit/>
          <w:trHeight w:val="424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F012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49024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</w:tr>
      <w:tr w:rsidR="003F3D37" w:rsidRPr="0095396F" w:rsidTr="000714C9">
        <w:trPr>
          <w:cantSplit/>
          <w:trHeight w:val="370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F012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</w:tr>
      <w:tr w:rsidR="003F3D37" w:rsidRPr="0095396F" w:rsidTr="000714C9">
        <w:trPr>
          <w:cantSplit/>
          <w:trHeight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F012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5675F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103,7</w:t>
            </w:r>
          </w:p>
        </w:tc>
      </w:tr>
      <w:tr w:rsidR="003F3D37" w:rsidRPr="0095396F" w:rsidTr="000714C9">
        <w:trPr>
          <w:cantSplit/>
          <w:trHeight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BF012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35675F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35675F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</w:tr>
    </w:tbl>
    <w:p w:rsidR="003F3D37" w:rsidRDefault="003F3D37" w:rsidP="003F3D37">
      <w:pPr>
        <w:pStyle w:val="tekstnaniebieskimtle"/>
      </w:pPr>
    </w:p>
    <w:p w:rsidR="003F3D37" w:rsidRDefault="003F3D37" w:rsidP="003F3D37">
      <w:pPr>
        <w:pStyle w:val="tekstnaniebieskimtle"/>
      </w:pPr>
    </w:p>
    <w:p w:rsidR="003F3D37" w:rsidRPr="001C3D59" w:rsidRDefault="003F3D37" w:rsidP="003F3D37">
      <w:pPr>
        <w:pStyle w:val="tytuwykresu"/>
        <w:rPr>
          <w:rFonts w:ascii="Fira Sans SemiBold" w:hAnsi="Fira Sans SemiBold"/>
          <w:color w:val="001D77"/>
          <w:sz w:val="19"/>
          <w:szCs w:val="19"/>
        </w:rPr>
      </w:pPr>
      <w:r w:rsidRPr="0088559B">
        <w:rPr>
          <w:rFonts w:ascii="Fira Sans SemiBold" w:hAnsi="Fira Sans SemiBold"/>
          <w:sz w:val="19"/>
          <w:szCs w:val="19"/>
        </w:rPr>
        <w:t>Tabela 2. Dynamika</w:t>
      </w:r>
      <w:r w:rsidRPr="0088559B">
        <w:rPr>
          <w:rFonts w:ascii="Fira Sans SemiBold" w:hAnsi="Fira Sans SemiBold" w:cs="Arial"/>
          <w:sz w:val="19"/>
          <w:szCs w:val="19"/>
        </w:rPr>
        <w:t xml:space="preserve"> sprzedaży detalicznej (ceny </w:t>
      </w:r>
      <w:r w:rsidR="00954E87" w:rsidRPr="0088559B">
        <w:rPr>
          <w:rFonts w:ascii="Fira Sans SemiBold" w:hAnsi="Fira Sans SemiBold" w:cs="Arial"/>
          <w:sz w:val="19"/>
          <w:szCs w:val="19"/>
        </w:rPr>
        <w:t>bieżące</w:t>
      </w:r>
      <w:r w:rsidRPr="0088559B">
        <w:rPr>
          <w:rFonts w:ascii="Fira Sans SemiBold" w:hAnsi="Fira Sans SemiBold" w:cs="Arial"/>
          <w:sz w:val="19"/>
          <w:szCs w:val="19"/>
        </w:rPr>
        <w:t>).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3F3D37" w:rsidRPr="00F156AE" w:rsidTr="000714C9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0714C9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3F3D37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I</w:t>
            </w:r>
            <w:r w:rsidR="00846013">
              <w:rPr>
                <w:rFonts w:cs="Arial"/>
                <w:color w:val="000000"/>
                <w:sz w:val="16"/>
                <w:szCs w:val="16"/>
              </w:rPr>
              <w:t>V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846013" w:rsidP="003C1F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I-IV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F3D37" w:rsidRPr="0095396F" w:rsidTr="000714C9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C1FA5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I</w:t>
            </w:r>
            <w:r w:rsidR="00846013">
              <w:rPr>
                <w:rFonts w:cs="Arial"/>
                <w:color w:val="000000"/>
                <w:sz w:val="16"/>
                <w:szCs w:val="16"/>
              </w:rPr>
              <w:t>II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3F3D37" w:rsidP="008460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I</w:t>
            </w:r>
            <w:r w:rsidR="00846013">
              <w:rPr>
                <w:rFonts w:cs="Arial"/>
                <w:color w:val="000000"/>
                <w:sz w:val="16"/>
                <w:szCs w:val="16"/>
              </w:rPr>
              <w:t>V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846013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I-IV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BA4B03" w:rsidP="003C319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8B4E1D" w:rsidP="00F76F4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475C07" w:rsidP="004C751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107,4</w:t>
            </w: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A4B03" w:rsidP="006653D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B4E1D" w:rsidP="00F76F4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75C07" w:rsidP="008046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A4B03" w:rsidP="003424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B4E1D" w:rsidP="00F76F4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75C07" w:rsidP="00813C0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</w:tr>
      <w:tr w:rsidR="003F3D37" w:rsidRPr="0095396F" w:rsidTr="000714C9">
        <w:trPr>
          <w:trHeight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A4B03" w:rsidP="00C57B8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B4E1D" w:rsidP="0080593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75C07" w:rsidP="00D916C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</w:tr>
      <w:tr w:rsidR="003F3D37" w:rsidRPr="0095396F" w:rsidTr="000714C9">
        <w:trPr>
          <w:trHeight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A4B03" w:rsidP="00C57B8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B4E1D" w:rsidP="0080593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75C07" w:rsidP="000B044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</w:tr>
      <w:tr w:rsidR="003F3D37" w:rsidRPr="0095396F" w:rsidTr="000714C9">
        <w:trPr>
          <w:cantSplit/>
          <w:trHeight w:val="425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A4B03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B4E1D" w:rsidP="0080593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75C07" w:rsidP="00AC1D0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112,7</w:t>
            </w:r>
          </w:p>
        </w:tc>
      </w:tr>
      <w:tr w:rsidR="003F3D37" w:rsidRPr="0095396F" w:rsidTr="000714C9">
        <w:trPr>
          <w:cantSplit/>
          <w:trHeight w:val="424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A4B03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B4E1D" w:rsidP="00AD388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75C07" w:rsidP="001F29D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</w:tr>
      <w:tr w:rsidR="003F3D37" w:rsidRPr="0095396F" w:rsidTr="000714C9">
        <w:trPr>
          <w:cantSplit/>
          <w:trHeight w:val="370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A4B03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B4E1D" w:rsidP="00EB0A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75C07" w:rsidP="001F29D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</w:tr>
      <w:tr w:rsidR="003F3D37" w:rsidRPr="0095396F" w:rsidTr="000714C9">
        <w:trPr>
          <w:cantSplit/>
          <w:trHeight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BA4B03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8B4E1D" w:rsidP="00EB0A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75C07" w:rsidP="001F29D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</w:tr>
      <w:tr w:rsidR="003F3D37" w:rsidRPr="0095396F" w:rsidTr="000714C9">
        <w:trPr>
          <w:cantSplit/>
          <w:trHeight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BA4B03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8B4E1D" w:rsidP="00EB0A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475C07" w:rsidP="001F29D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</w:tr>
    </w:tbl>
    <w:p w:rsidR="003F3D37" w:rsidRDefault="003F3D37" w:rsidP="003F3D37">
      <w:pPr>
        <w:pStyle w:val="tytuwykresu"/>
      </w:pPr>
    </w:p>
    <w:p w:rsidR="003F3D37" w:rsidRDefault="003F3D37" w:rsidP="003F3D37">
      <w:pPr>
        <w:pStyle w:val="tytuwykresu"/>
      </w:pPr>
    </w:p>
    <w:p w:rsidR="00490822" w:rsidRDefault="00490822" w:rsidP="00B25EE8">
      <w:pPr>
        <w:pStyle w:val="tytuwykresu"/>
      </w:pPr>
    </w:p>
    <w:p w:rsidR="00B25EE8" w:rsidRDefault="003F3D37" w:rsidP="00B25EE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443509</wp:posOffset>
            </wp:positionV>
            <wp:extent cx="5127625" cy="3269615"/>
            <wp:effectExtent l="0" t="0" r="0" b="698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25EE8" w:rsidRPr="00B5309C">
        <w:t xml:space="preserve">Wykres </w:t>
      </w:r>
      <w:r w:rsidR="00B25EE8">
        <w:t>2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</w:t>
      </w:r>
      <w:r w:rsidR="00B25EE8">
        <w:rPr>
          <w:shd w:val="clear" w:color="auto" w:fill="FFFFFF"/>
        </w:rPr>
        <w:t xml:space="preserve">w </w:t>
      </w:r>
      <w:r w:rsidR="00CB1FA3">
        <w:rPr>
          <w:shd w:val="clear" w:color="auto" w:fill="FFFFFF"/>
        </w:rPr>
        <w:t>kwietniu</w:t>
      </w:r>
      <w:r w:rsidR="00B25EE8">
        <w:rPr>
          <w:shd w:val="clear" w:color="auto" w:fill="FFFFFF"/>
        </w:rPr>
        <w:t xml:space="preserve"> 2018 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iębio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="00B25EE8" w:rsidRPr="00B5309C">
        <w:rPr>
          <w:shd w:val="clear" w:color="auto" w:fill="FFFFFF"/>
        </w:rPr>
        <w:t>ceny stałe) – analogiczny okres roku poprzedniego</w:t>
      </w:r>
      <w:r w:rsidR="00B25EE8">
        <w:rPr>
          <w:shd w:val="clear" w:color="auto" w:fill="FFFFFF"/>
        </w:rPr>
        <w:t>=100</w:t>
      </w:r>
    </w:p>
    <w:p w:rsidR="00E80C30" w:rsidRDefault="00E80C30" w:rsidP="00B25EE8">
      <w:pPr>
        <w:pStyle w:val="tytuwykresu"/>
        <w:rPr>
          <w:rFonts w:asciiTheme="majorHAnsi" w:hAnsiTheme="majorHAnsi"/>
          <w:shd w:val="clear" w:color="auto" w:fill="FFFFFF"/>
        </w:rPr>
      </w:pPr>
    </w:p>
    <w:p w:rsidR="00C20E37" w:rsidRPr="00964F10" w:rsidRDefault="00A2520C" w:rsidP="00C20E37">
      <w:pPr>
        <w:spacing w:before="240" w:line="259" w:lineRule="auto"/>
        <w:rPr>
          <w:rFonts w:cs="Arial"/>
          <w:b/>
          <w:color w:val="002060"/>
          <w:szCs w:val="19"/>
        </w:rPr>
      </w:pPr>
      <w:r>
        <w:rPr>
          <w:rFonts w:asciiTheme="majorHAnsi" w:hAnsiTheme="majorHAnsi"/>
          <w:b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5277917</wp:posOffset>
                </wp:positionH>
                <wp:positionV relativeFrom="paragraph">
                  <wp:posOffset>191465</wp:posOffset>
                </wp:positionV>
                <wp:extent cx="1770278" cy="9144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27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Default="00431F5B" w:rsidP="00C20E37">
                            <w:pPr>
                              <w:pStyle w:val="tytuwykresu"/>
                            </w:pPr>
                            <w:r w:rsidRPr="00E31581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102BA">
                              <w:rPr>
                                <w:b w:val="0"/>
                                <w:color w:val="001D77"/>
                              </w:rPr>
                              <w:t xml:space="preserve"> kwietniu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2018 r. odnotowano </w:t>
                            </w:r>
                            <w:r w:rsidR="00BC4DBC">
                              <w:rPr>
                                <w:b w:val="0"/>
                                <w:color w:val="001D77"/>
                              </w:rPr>
                              <w:t xml:space="preserve">spadek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BC4DBC">
                              <w:rPr>
                                <w:b w:val="0"/>
                                <w:color w:val="001D77"/>
                              </w:rPr>
                              <w:t xml:space="preserve"> 1,3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%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w po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równaniu z</w:t>
                            </w:r>
                            <w:r w:rsidR="00B102BA">
                              <w:rPr>
                                <w:b w:val="0"/>
                                <w:color w:val="001D77"/>
                              </w:rPr>
                              <w:t xml:space="preserve"> marcem</w:t>
                            </w:r>
                            <w:r w:rsidR="00652748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CA0156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15.6pt;margin-top:15.1pt;width:139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zPuQIAAMEFAAAOAAAAZHJzL2Uyb0RvYy54bWysVNtunDAQfa/Uf7D8TrjUuywobJQsS1Up&#10;vUhJP8ALZrEKNrW9C2nVf+/Y7C3JS9WWB2R7xjNn5hzP9c3YtWjPlOZSZDi8CjBiopQVF9sMf30s&#10;vAVG2lBR0VYKluEnpvHN8u2b66FPWSQb2VZMIQgidDr0GW6M6VPf12XDOqqvZM8EGGupOmpgq7Z+&#10;pegA0bvWj4Jg7g9SVb2SJdMaTvPJiJcufl2z0nyua80MajMM2Iz7K/ff2L+/vKbpVtG+4eUBBv0L&#10;FB3lApKeQuXUULRT/FWojpdKalmbq1J2vqxrXjJXA1QTBi+qeWhoz1wt0Bzdn9qk/1/Y8tP+i0K8&#10;yvAMI0E7oOiRjQbdyRGFrj1Dr1PweujBz4xwDjS7UnV/L8tvGgm5aqjYslul5NAwWgG80DbWv7hq&#10;CdGptkE2w0dZQR66M9IFGmvV2d5BNxBEB5qeTtRYLKVNGcdBFIOYSrAlISGBA+fT9Hi7V9q8Z7JD&#10;dpFhBdS76HR/r41FQ9Oji00mZMHb1tHfimcH4DidQG64am0WhWPzZxIk68V6QTwSzdceCfLcuy1W&#10;xJsXYTzL3+WrVR7+snlDkja8qpiwaY7KCsmfMXfQ+KSJk7a0bHllw1lIWm03q1ahPQVlF+5zPQfL&#10;2c1/DsM1AWp5UVIYkeAuSrxivog9UpCZl8TBwgvC5C6ZByQhefG8pHsu2L+XhAZgchbNJjGdQb+o&#10;LXDf69po2nEDs6PlXYYXJyeaWgmuReWoNZS30/qiFRb+uRVA95FoJ1ir0UmtZtyM7mkQm93qdyOr&#10;J1CwkiAwkCnMPVg0Uv3AaIAZkmH9fUcVw6j9IOAVOJ3C0HEbMosjuKMuLZtLCxUlhMqwwWharsw0&#10;qHa94tsGMk3vTshbeDk1d6I+ozq8N5gTrrbDTLOD6HLvvM6Td/kbAAD//wMAUEsDBBQABgAIAAAA&#10;IQDa29DB3wAAAAsBAAAPAAAAZHJzL2Rvd25yZXYueG1sTI/NTsMwEITvSH0Haytxo3bSQkuIUyEQ&#10;V1D/kLi58TaJiNdR7Dbh7dme4LS7mtHsN/l6dK24YB8aTxqSmQKBVHrbUKVhv3u7W4EI0ZA1rSfU&#10;8IMB1sXkJjeZ9QNt8LKNleAQCpnRUMfYZVKGskZnwsx3SKydfO9M5LOvpO3NwOGulalSD9KZhvhD&#10;bTp8qbH83p6dhsP76etzoT6qV3ffDX5Uktyj1Pp2Oj4/gYg4xj8zXPEZHQpmOvoz2SBaDat5krJV&#10;w1zxvBqSRHG7I2/LRQqyyOX/DsUvAAAA//8DAFBLAQItABQABgAIAAAAIQC2gziS/gAAAOEBAAAT&#10;AAAAAAAAAAAAAAAAAAAAAABbQ29udGVudF9UeXBlc10ueG1sUEsBAi0AFAAGAAgAAAAhADj9If/W&#10;AAAAlAEAAAsAAAAAAAAAAAAAAAAALwEAAF9yZWxzLy5yZWxzUEsBAi0AFAAGAAgAAAAhAJucXM+5&#10;AgAAwQUAAA4AAAAAAAAAAAAAAAAALgIAAGRycy9lMm9Eb2MueG1sUEsBAi0AFAAGAAgAAAAhANrb&#10;0MHfAAAACwEAAA8AAAAAAAAAAAAAAAAAEwUAAGRycy9kb3ducmV2LnhtbFBLBQYAAAAABAAEAPMA&#10;AAAfBgAAAAA=&#10;" filled="f" stroked="f">
                <v:textbox>
                  <w:txbxContent>
                    <w:p w:rsidR="00431F5B" w:rsidRDefault="00431F5B" w:rsidP="00C20E37">
                      <w:pPr>
                        <w:pStyle w:val="tytuwykresu"/>
                      </w:pPr>
                      <w:r w:rsidRPr="00E31581">
                        <w:rPr>
                          <w:b w:val="0"/>
                          <w:color w:val="001D77"/>
                        </w:rPr>
                        <w:t>W</w:t>
                      </w:r>
                      <w:r w:rsidR="00B102BA">
                        <w:rPr>
                          <w:b w:val="0"/>
                          <w:color w:val="001D77"/>
                        </w:rPr>
                        <w:t xml:space="preserve"> kwietniu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</w:t>
                      </w:r>
                      <w:r>
                        <w:rPr>
                          <w:b w:val="0"/>
                          <w:color w:val="001D77"/>
                        </w:rPr>
                        <w:t xml:space="preserve">2018 r. odnotowano </w:t>
                      </w:r>
                      <w:r w:rsidR="00BC4DBC">
                        <w:rPr>
                          <w:b w:val="0"/>
                          <w:color w:val="001D77"/>
                        </w:rPr>
                        <w:t xml:space="preserve">spadek </w:t>
                      </w:r>
                      <w:r w:rsidRPr="00E31581">
                        <w:rPr>
                          <w:b w:val="0"/>
                          <w:color w:val="001D77"/>
                        </w:rPr>
                        <w:t>sprzedaż</w:t>
                      </w:r>
                      <w:r>
                        <w:rPr>
                          <w:b w:val="0"/>
                          <w:color w:val="001D77"/>
                        </w:rPr>
                        <w:t>y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>
                        <w:rPr>
                          <w:b w:val="0"/>
                          <w:color w:val="001D77"/>
                        </w:rPr>
                        <w:t>o</w:t>
                      </w:r>
                      <w:r w:rsidR="00BC4DBC">
                        <w:rPr>
                          <w:b w:val="0"/>
                          <w:color w:val="001D77"/>
                        </w:rPr>
                        <w:t xml:space="preserve"> 1,3</w:t>
                      </w:r>
                      <w:r>
                        <w:rPr>
                          <w:b w:val="0"/>
                          <w:color w:val="001D77"/>
                        </w:rPr>
                        <w:t xml:space="preserve">% </w:t>
                      </w:r>
                      <w:r w:rsidRPr="00E31581">
                        <w:rPr>
                          <w:b w:val="0"/>
                          <w:color w:val="001D77"/>
                        </w:rPr>
                        <w:t>w po</w:t>
                      </w:r>
                      <w:r>
                        <w:rPr>
                          <w:b w:val="0"/>
                          <w:color w:val="001D77"/>
                        </w:rPr>
                        <w:t>równaniu z</w:t>
                      </w:r>
                      <w:r w:rsidR="00B102BA">
                        <w:rPr>
                          <w:b w:val="0"/>
                          <w:color w:val="001D77"/>
                        </w:rPr>
                        <w:t xml:space="preserve"> marcem</w:t>
                      </w:r>
                      <w:r w:rsidR="00652748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CA0156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</v:shape>
            </w:pict>
          </mc:Fallback>
        </mc:AlternateContent>
      </w:r>
      <w:r w:rsidR="00C20E37" w:rsidRPr="00964F10">
        <w:rPr>
          <w:rFonts w:cs="Arial"/>
          <w:b/>
          <w:color w:val="002060"/>
          <w:szCs w:val="19"/>
        </w:rPr>
        <w:t>Sprzedaż detaliczna wyrównana sezonowo</w:t>
      </w:r>
    </w:p>
    <w:p w:rsidR="000144A9" w:rsidRPr="003D7F37" w:rsidRDefault="000144A9" w:rsidP="000144A9">
      <w:pPr>
        <w:pStyle w:val="tytuwykresu"/>
        <w:spacing w:before="0" w:after="0"/>
        <w:rPr>
          <w:b w:val="0"/>
          <w:sz w:val="19"/>
          <w:szCs w:val="19"/>
          <w:shd w:val="clear" w:color="auto" w:fill="FFFFFF"/>
        </w:rPr>
      </w:pPr>
      <w:r w:rsidRPr="003D7F37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B102BA">
        <w:rPr>
          <w:rFonts w:cs="Arial"/>
          <w:b w:val="0"/>
          <w:sz w:val="19"/>
          <w:szCs w:val="19"/>
        </w:rPr>
        <w:t xml:space="preserve">kwietniu </w:t>
      </w:r>
      <w:r w:rsidR="00EC3EA3">
        <w:rPr>
          <w:rFonts w:cs="Arial"/>
          <w:b w:val="0"/>
          <w:sz w:val="19"/>
          <w:szCs w:val="19"/>
        </w:rPr>
        <w:t>b</w:t>
      </w:r>
      <w:r>
        <w:rPr>
          <w:rFonts w:cs="Arial"/>
          <w:b w:val="0"/>
          <w:sz w:val="19"/>
          <w:szCs w:val="19"/>
        </w:rPr>
        <w:t xml:space="preserve">r. </w:t>
      </w:r>
      <w:r w:rsidR="00A1582C">
        <w:rPr>
          <w:rFonts w:cs="Arial"/>
          <w:b w:val="0"/>
          <w:sz w:val="19"/>
          <w:szCs w:val="19"/>
        </w:rPr>
        <w:t xml:space="preserve">była </w:t>
      </w:r>
      <w:r w:rsidRPr="003D7F37">
        <w:rPr>
          <w:rFonts w:cs="Arial"/>
          <w:b w:val="0"/>
          <w:sz w:val="19"/>
          <w:szCs w:val="19"/>
        </w:rPr>
        <w:t xml:space="preserve">o </w:t>
      </w:r>
      <w:r w:rsidR="00BC4DBC">
        <w:rPr>
          <w:rFonts w:cs="Arial"/>
          <w:b w:val="0"/>
          <w:sz w:val="19"/>
          <w:szCs w:val="19"/>
        </w:rPr>
        <w:t>1,3</w:t>
      </w:r>
      <w:r w:rsidR="00BC4DBC" w:rsidRPr="00BC4DBC">
        <w:rPr>
          <w:rFonts w:cs="Arial"/>
          <w:b w:val="0"/>
          <w:sz w:val="19"/>
          <w:szCs w:val="19"/>
        </w:rPr>
        <w:t>%</w:t>
      </w:r>
      <w:r w:rsidRPr="00B102BA">
        <w:rPr>
          <w:rFonts w:cs="Arial"/>
          <w:b w:val="0"/>
          <w:color w:val="FF0000"/>
          <w:sz w:val="19"/>
          <w:szCs w:val="19"/>
        </w:rPr>
        <w:t xml:space="preserve"> </w:t>
      </w:r>
      <w:r w:rsidR="00BC4DBC" w:rsidRPr="00BC4DBC">
        <w:rPr>
          <w:rFonts w:cs="Arial"/>
          <w:b w:val="0"/>
          <w:sz w:val="19"/>
          <w:szCs w:val="19"/>
        </w:rPr>
        <w:t xml:space="preserve">niższa </w:t>
      </w:r>
      <w:r w:rsidRPr="003D7F37">
        <w:rPr>
          <w:rFonts w:cs="Arial"/>
          <w:b w:val="0"/>
          <w:sz w:val="19"/>
          <w:szCs w:val="19"/>
        </w:rPr>
        <w:t>w porównaniu z poprzednim miesiącem</w:t>
      </w:r>
      <w:r>
        <w:rPr>
          <w:rFonts w:cs="Arial"/>
          <w:b w:val="0"/>
          <w:sz w:val="19"/>
          <w:szCs w:val="19"/>
        </w:rPr>
        <w:t>.</w:t>
      </w:r>
    </w:p>
    <w:p w:rsidR="000144A9" w:rsidRDefault="000144A9" w:rsidP="00B25EE8">
      <w:pPr>
        <w:pStyle w:val="tytuwykresu"/>
        <w:rPr>
          <w:shd w:val="clear" w:color="auto" w:fill="FFFFFF"/>
        </w:rPr>
      </w:pPr>
    </w:p>
    <w:p w:rsidR="00E80C30" w:rsidRPr="003D7F37" w:rsidRDefault="00E80C30" w:rsidP="00B25EE8">
      <w:pPr>
        <w:pStyle w:val="tytuwykresu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 w:rsidR="00976445"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Sprzedaż detaliczna</w:t>
      </w:r>
      <w:r w:rsidR="00375B9E"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 w:rsidR="00375B9E"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 w:rsidR="00375B9E">
        <w:rPr>
          <w:shd w:val="clear" w:color="auto" w:fill="FFFFFF"/>
        </w:rPr>
        <w:t>e)</w:t>
      </w:r>
      <w:r w:rsidR="00081C7F">
        <w:rPr>
          <w:shd w:val="clear" w:color="auto" w:fill="FFFFFF"/>
        </w:rPr>
        <w:t xml:space="preserve"> – </w:t>
      </w:r>
      <w:r w:rsidRPr="003D7F37">
        <w:rPr>
          <w:shd w:val="clear" w:color="auto" w:fill="FFFFFF"/>
        </w:rPr>
        <w:t>przeciętna miesięczna 2015=100</w:t>
      </w:r>
    </w:p>
    <w:p w:rsidR="00E80C30" w:rsidRDefault="003F3D37" w:rsidP="00B25EE8">
      <w:pPr>
        <w:pStyle w:val="tytuwykresu"/>
        <w:rPr>
          <w:rFonts w:asciiTheme="majorHAnsi" w:hAnsiTheme="majorHAnsi"/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5508625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A5E06">
        <w:rPr>
          <w:rFonts w:asciiTheme="majorHAnsi" w:hAnsiTheme="majorHAnsi"/>
          <w:noProof/>
          <w:lang w:eastAsia="pl-PL"/>
        </w:rPr>
        <w:t xml:space="preserve"> </w:t>
      </w:r>
    </w:p>
    <w:p w:rsidR="001267F4" w:rsidRDefault="001267F4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5B23AA" w:rsidRDefault="005B23AA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B25EE8" w:rsidRPr="00EA46AB" w:rsidRDefault="00B25EE8" w:rsidP="00B25EE8">
      <w:pPr>
        <w:jc w:val="both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88559B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0" w:history="1">
              <w:r w:rsidR="00017FFE" w:rsidRPr="00901D58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901D58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1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tel.: </w:t>
            </w:r>
            <w:r w:rsidRPr="0095396F">
              <w:rPr>
                <w:rFonts w:asciiTheme="majorHAnsi" w:hAnsiTheme="majorHAnsi"/>
                <w:sz w:val="20"/>
              </w:rPr>
              <w:t xml:space="preserve">(+48 22) 608 34 91, (+48 22)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20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faks: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(+48 22) 608 38 86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</w:t>
            </w:r>
            <w:hyperlink r:id="rId22" w:history="1">
              <w:r w:rsidRPr="00901D58">
                <w:rPr>
                  <w:rStyle w:val="Hipercze"/>
                  <w:rFonts w:asciiTheme="majorHAnsi" w:hAnsiTheme="majorHAnsi" w:cstheme="minorBidi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A2520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fldChar w:fldCharType="begin"/>
                            </w:r>
                            <w:r w:rsidR="00431F5B">
                              <w:instrText xml:space="preserve"> HYPERLINK "http://stat.gov.pl/obszary-tematyczne/ceny-handel/handel/rynek-wewnetrzny-w-2016-r-,7,22.html" </w:instrText>
                            </w:r>
                            <w: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</w:rPr>
                              <w:t>Rynek wewnętrzny w 2016 r.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"http://swaid.stat.gov.pl/SitePagesDBW/HandelUslugi.aspx"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"http://stat.gov.pl/metainformacje/slownik-pojec/pojecia-stosowane-w-statystyce-publicznej/473,pojecie.html"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1A4D4B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ECPwIAAHMEAAAOAAAAZHJzL2Uyb0RvYy54bWysVFFv0zAQfkfiP1h+p0lLM9ao6TQ6hpAG&#10;TBr8gKvjNNZsX7DdJuXXc3a6tsAb4iXy+e6+++47X5Y3g9FsL51XaCs+neScSSuwVnZb8e/f7t9c&#10;c+YD2Bo0Wlnxg/T8ZvX61bLvSjnDFnUtHSMQ68u+q3gbQldmmRetNOAn2ElLzgadgUCm22a1g57Q&#10;jc5meX6V9ejqzqGQ3tPt3ejkq4TfNFKEr03jZWC64sQtpK9L3038ZqsllFsHXavEkQb8AwsDylLR&#10;E9QdBGA7p/6CMko49NiEiUCTYdMoIVMP1M00/6ObpxY6mXohcXx3ksn/P1jxZf/omKppdpxZMDSi&#10;R9SSBfnsA/aSzaJEfedLinzqKDYM73GI4bFd3z2gePbM4roFu5W3zmHfSqiJ4jRmZhepI46PIJv+&#10;M9ZUC3YBE9DQOBMBSRFG6DSqw2k8cghM0OVVUSyKglyCfPP5/G2+KFINKF/SO+fDR4mGxUPFHc0/&#10;wcP+wYdIB8qXkEQftarvldbJiG9OrrVje6DXstmOLeqdIa7j3aLI8/RmCCc90RieUP0lkrasr/ii&#10;mBWjSJe+U9q5ysjrNwSjAq2FVqbi11RyLAplVPaDrSkBygBKj2cio+1R6qjuqHMYNkMabNIojmGD&#10;9YG0dzhuAW0tHVp0PznraQMq7n/swEnO9CdL81tM5/O4MsmYF+9mZLhLz+bSA1YQVMUDZ+NxHdKa&#10;RaoWb2nOjUoTODM5UqaXnSQ8bmFcnUs7RZ3/Fatf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hLsEC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fldChar w:fldCharType="begin"/>
                      </w:r>
                      <w:r w:rsidR="00431F5B">
                        <w:instrText xml:space="preserve"> HYPERLINK "http://stat.gov.pl/obszary-tematyczne/ceny-handel/handel/rynek-wewnetrzny-w-2016-r-,7,22.html" </w:instrText>
                      </w:r>
                      <w: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</w:rPr>
                        <w:t>Rynek wewnętrzny w 2016 r.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"http://swaid.stat.gov.pl/SitePagesDBW/HandelUslugi.aspx"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Dziedzinowa Baza Wiedzy-Handel I Usługi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"http://stat.gov.pl/metainformacje/slownik-pojec/pojecia-stosowane-w-statystyce-publicznej/473,pojecie.html"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1A4D4B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4CB" w:rsidRDefault="00CF04CB" w:rsidP="000662E2">
      <w:pPr>
        <w:spacing w:after="0" w:line="240" w:lineRule="auto"/>
      </w:pPr>
      <w:r>
        <w:separator/>
      </w:r>
    </w:p>
  </w:endnote>
  <w:endnote w:type="continuationSeparator" w:id="0">
    <w:p w:rsidR="00CF04CB" w:rsidRDefault="00CF04C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1A4D4B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E52D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1A4D4B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E52D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4CB" w:rsidRDefault="00CF04CB" w:rsidP="000662E2">
      <w:pPr>
        <w:spacing w:after="0" w:line="240" w:lineRule="auto"/>
      </w:pPr>
      <w:r>
        <w:separator/>
      </w:r>
    </w:p>
  </w:footnote>
  <w:footnote w:type="continuationSeparator" w:id="0">
    <w:p w:rsidR="00CF04CB" w:rsidRDefault="00CF04CB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C90628" w:rsidRDefault="00C90628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0628">
        <w:rPr>
          <w:sz w:val="16"/>
          <w:szCs w:val="16"/>
        </w:rPr>
        <w:t>W danych narastających uwzględniono korekty dokonane przez jednostki sprawozdawcze</w:t>
      </w:r>
      <w:r w:rsidR="00E343D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A252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106D9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88559B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FB001C0" wp14:editId="5E40073B">
          <wp:extent cx="2286000" cy="742950"/>
          <wp:effectExtent l="0" t="0" r="0" b="0"/>
          <wp:docPr id="14" name="Obraz 1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71BE4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  <w:p w:rsidR="00431F5B" w:rsidRDefault="00A2520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431F5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767D0E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767D0E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431F5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767D0E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767D0E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4A9"/>
    <w:rsid w:val="00014BC5"/>
    <w:rsid w:val="000152F5"/>
    <w:rsid w:val="00017FFE"/>
    <w:rsid w:val="00023A16"/>
    <w:rsid w:val="00024A57"/>
    <w:rsid w:val="00027951"/>
    <w:rsid w:val="00036905"/>
    <w:rsid w:val="000419AC"/>
    <w:rsid w:val="00041A97"/>
    <w:rsid w:val="0004582E"/>
    <w:rsid w:val="00045FF7"/>
    <w:rsid w:val="00046397"/>
    <w:rsid w:val="000470AA"/>
    <w:rsid w:val="00057CA1"/>
    <w:rsid w:val="000662E2"/>
    <w:rsid w:val="00066883"/>
    <w:rsid w:val="00074DD8"/>
    <w:rsid w:val="00080236"/>
    <w:rsid w:val="000806F7"/>
    <w:rsid w:val="00081C7F"/>
    <w:rsid w:val="0008767F"/>
    <w:rsid w:val="000B0442"/>
    <w:rsid w:val="000B0727"/>
    <w:rsid w:val="000B62AD"/>
    <w:rsid w:val="000B6DA7"/>
    <w:rsid w:val="000C135D"/>
    <w:rsid w:val="000C4971"/>
    <w:rsid w:val="000C62BC"/>
    <w:rsid w:val="000D1D43"/>
    <w:rsid w:val="000D225C"/>
    <w:rsid w:val="000D2A5C"/>
    <w:rsid w:val="000E0918"/>
    <w:rsid w:val="000F6856"/>
    <w:rsid w:val="001011C3"/>
    <w:rsid w:val="00104902"/>
    <w:rsid w:val="00110D87"/>
    <w:rsid w:val="001119E5"/>
    <w:rsid w:val="00114DB9"/>
    <w:rsid w:val="00116087"/>
    <w:rsid w:val="001267F4"/>
    <w:rsid w:val="00130296"/>
    <w:rsid w:val="00135671"/>
    <w:rsid w:val="001374BF"/>
    <w:rsid w:val="001405BA"/>
    <w:rsid w:val="001423B6"/>
    <w:rsid w:val="001448A7"/>
    <w:rsid w:val="00146621"/>
    <w:rsid w:val="00152273"/>
    <w:rsid w:val="00162325"/>
    <w:rsid w:val="001628ED"/>
    <w:rsid w:val="00162EE7"/>
    <w:rsid w:val="00170EBA"/>
    <w:rsid w:val="001815B0"/>
    <w:rsid w:val="00191512"/>
    <w:rsid w:val="00191E3E"/>
    <w:rsid w:val="001951DA"/>
    <w:rsid w:val="0019732B"/>
    <w:rsid w:val="001A2C7F"/>
    <w:rsid w:val="001A480D"/>
    <w:rsid w:val="001A4D4B"/>
    <w:rsid w:val="001A7C31"/>
    <w:rsid w:val="001B4A82"/>
    <w:rsid w:val="001B4D4D"/>
    <w:rsid w:val="001B727B"/>
    <w:rsid w:val="001C00D5"/>
    <w:rsid w:val="001C3269"/>
    <w:rsid w:val="001C40BE"/>
    <w:rsid w:val="001C5DE2"/>
    <w:rsid w:val="001C6976"/>
    <w:rsid w:val="001D1DB4"/>
    <w:rsid w:val="001D3DD3"/>
    <w:rsid w:val="001D76C2"/>
    <w:rsid w:val="001D7E97"/>
    <w:rsid w:val="001E059C"/>
    <w:rsid w:val="001E6704"/>
    <w:rsid w:val="001F1577"/>
    <w:rsid w:val="001F29DE"/>
    <w:rsid w:val="001F43F9"/>
    <w:rsid w:val="001F67FE"/>
    <w:rsid w:val="00205C7E"/>
    <w:rsid w:val="00205CC3"/>
    <w:rsid w:val="00214797"/>
    <w:rsid w:val="0022081C"/>
    <w:rsid w:val="0022580C"/>
    <w:rsid w:val="002308E2"/>
    <w:rsid w:val="00247E0C"/>
    <w:rsid w:val="0025043C"/>
    <w:rsid w:val="00251AE8"/>
    <w:rsid w:val="0025463B"/>
    <w:rsid w:val="002574F9"/>
    <w:rsid w:val="00261B5D"/>
    <w:rsid w:val="00263223"/>
    <w:rsid w:val="0027555D"/>
    <w:rsid w:val="00276811"/>
    <w:rsid w:val="00282699"/>
    <w:rsid w:val="00287CE2"/>
    <w:rsid w:val="002926DF"/>
    <w:rsid w:val="002947BF"/>
    <w:rsid w:val="00296697"/>
    <w:rsid w:val="002A6115"/>
    <w:rsid w:val="002B0472"/>
    <w:rsid w:val="002B2088"/>
    <w:rsid w:val="002B5380"/>
    <w:rsid w:val="002B6B12"/>
    <w:rsid w:val="002C0E78"/>
    <w:rsid w:val="002D0EFC"/>
    <w:rsid w:val="002D12AB"/>
    <w:rsid w:val="002D2D15"/>
    <w:rsid w:val="002E6140"/>
    <w:rsid w:val="002E6985"/>
    <w:rsid w:val="002E71B6"/>
    <w:rsid w:val="002F77C8"/>
    <w:rsid w:val="00300D95"/>
    <w:rsid w:val="003045F1"/>
    <w:rsid w:val="00304994"/>
    <w:rsid w:val="00304F22"/>
    <w:rsid w:val="00304F73"/>
    <w:rsid w:val="00306C7C"/>
    <w:rsid w:val="003140EB"/>
    <w:rsid w:val="003154FE"/>
    <w:rsid w:val="00320FEE"/>
    <w:rsid w:val="00322EDD"/>
    <w:rsid w:val="00330A52"/>
    <w:rsid w:val="00332320"/>
    <w:rsid w:val="00336650"/>
    <w:rsid w:val="00341A36"/>
    <w:rsid w:val="00342484"/>
    <w:rsid w:val="0034354B"/>
    <w:rsid w:val="00347D72"/>
    <w:rsid w:val="0035675F"/>
    <w:rsid w:val="00357611"/>
    <w:rsid w:val="00367237"/>
    <w:rsid w:val="0037077F"/>
    <w:rsid w:val="003717FF"/>
    <w:rsid w:val="00373882"/>
    <w:rsid w:val="00374327"/>
    <w:rsid w:val="00375B9E"/>
    <w:rsid w:val="00381472"/>
    <w:rsid w:val="003843DB"/>
    <w:rsid w:val="00384426"/>
    <w:rsid w:val="00390102"/>
    <w:rsid w:val="00393761"/>
    <w:rsid w:val="00397D18"/>
    <w:rsid w:val="00397EE4"/>
    <w:rsid w:val="003A1B36"/>
    <w:rsid w:val="003B1454"/>
    <w:rsid w:val="003B4DDA"/>
    <w:rsid w:val="003C1FA5"/>
    <w:rsid w:val="003C2CAA"/>
    <w:rsid w:val="003C319C"/>
    <w:rsid w:val="003C5768"/>
    <w:rsid w:val="003C59E0"/>
    <w:rsid w:val="003C5E6A"/>
    <w:rsid w:val="003C6C8D"/>
    <w:rsid w:val="003C7234"/>
    <w:rsid w:val="003D4F95"/>
    <w:rsid w:val="003D5F42"/>
    <w:rsid w:val="003D60A9"/>
    <w:rsid w:val="003D7F37"/>
    <w:rsid w:val="003F025A"/>
    <w:rsid w:val="003F0625"/>
    <w:rsid w:val="003F3D37"/>
    <w:rsid w:val="003F4C97"/>
    <w:rsid w:val="003F7FE6"/>
    <w:rsid w:val="00400193"/>
    <w:rsid w:val="00415861"/>
    <w:rsid w:val="00416D57"/>
    <w:rsid w:val="0041734F"/>
    <w:rsid w:val="004212E7"/>
    <w:rsid w:val="0042446D"/>
    <w:rsid w:val="00427910"/>
    <w:rsid w:val="00427BF8"/>
    <w:rsid w:val="00431C02"/>
    <w:rsid w:val="00431F5B"/>
    <w:rsid w:val="004358A9"/>
    <w:rsid w:val="00437395"/>
    <w:rsid w:val="00445047"/>
    <w:rsid w:val="004571AA"/>
    <w:rsid w:val="00463E39"/>
    <w:rsid w:val="00464756"/>
    <w:rsid w:val="004657FC"/>
    <w:rsid w:val="004733F6"/>
    <w:rsid w:val="004746B6"/>
    <w:rsid w:val="00474E69"/>
    <w:rsid w:val="00475C07"/>
    <w:rsid w:val="00490249"/>
    <w:rsid w:val="00490822"/>
    <w:rsid w:val="0049621B"/>
    <w:rsid w:val="004A12CA"/>
    <w:rsid w:val="004A579E"/>
    <w:rsid w:val="004B06B1"/>
    <w:rsid w:val="004B55C7"/>
    <w:rsid w:val="004C1895"/>
    <w:rsid w:val="004C6D40"/>
    <w:rsid w:val="004C751F"/>
    <w:rsid w:val="004D10CF"/>
    <w:rsid w:val="004D191A"/>
    <w:rsid w:val="004D3499"/>
    <w:rsid w:val="004D4601"/>
    <w:rsid w:val="004E0C12"/>
    <w:rsid w:val="004E2013"/>
    <w:rsid w:val="004E6D72"/>
    <w:rsid w:val="004F0C3C"/>
    <w:rsid w:val="004F63FC"/>
    <w:rsid w:val="00505A92"/>
    <w:rsid w:val="00511294"/>
    <w:rsid w:val="00511F40"/>
    <w:rsid w:val="005151CB"/>
    <w:rsid w:val="005203F1"/>
    <w:rsid w:val="00521BC3"/>
    <w:rsid w:val="00523949"/>
    <w:rsid w:val="00531673"/>
    <w:rsid w:val="00533632"/>
    <w:rsid w:val="005367C9"/>
    <w:rsid w:val="0054251F"/>
    <w:rsid w:val="00550618"/>
    <w:rsid w:val="005520D8"/>
    <w:rsid w:val="0055683B"/>
    <w:rsid w:val="00556CF1"/>
    <w:rsid w:val="005708DB"/>
    <w:rsid w:val="00571878"/>
    <w:rsid w:val="005737E1"/>
    <w:rsid w:val="005762A7"/>
    <w:rsid w:val="0058303B"/>
    <w:rsid w:val="00584889"/>
    <w:rsid w:val="0059097C"/>
    <w:rsid w:val="005916D7"/>
    <w:rsid w:val="00592561"/>
    <w:rsid w:val="00592B0A"/>
    <w:rsid w:val="0059505B"/>
    <w:rsid w:val="00596627"/>
    <w:rsid w:val="005A04D8"/>
    <w:rsid w:val="005A698C"/>
    <w:rsid w:val="005B23AA"/>
    <w:rsid w:val="005B390A"/>
    <w:rsid w:val="005B399D"/>
    <w:rsid w:val="005B6AAA"/>
    <w:rsid w:val="005C08E7"/>
    <w:rsid w:val="005C211C"/>
    <w:rsid w:val="005C5F08"/>
    <w:rsid w:val="005C6163"/>
    <w:rsid w:val="005E0799"/>
    <w:rsid w:val="005E5B01"/>
    <w:rsid w:val="005F271E"/>
    <w:rsid w:val="005F5A80"/>
    <w:rsid w:val="005F6E76"/>
    <w:rsid w:val="00601C27"/>
    <w:rsid w:val="006044FF"/>
    <w:rsid w:val="00607CC5"/>
    <w:rsid w:val="00630E43"/>
    <w:rsid w:val="00633014"/>
    <w:rsid w:val="00634344"/>
    <w:rsid w:val="0063437B"/>
    <w:rsid w:val="0063751F"/>
    <w:rsid w:val="006477C5"/>
    <w:rsid w:val="00652748"/>
    <w:rsid w:val="006534EB"/>
    <w:rsid w:val="00655451"/>
    <w:rsid w:val="0065725B"/>
    <w:rsid w:val="006653DF"/>
    <w:rsid w:val="006673CA"/>
    <w:rsid w:val="00673C26"/>
    <w:rsid w:val="00677D27"/>
    <w:rsid w:val="00680FFF"/>
    <w:rsid w:val="006812AE"/>
    <w:rsid w:val="006812AF"/>
    <w:rsid w:val="0068327D"/>
    <w:rsid w:val="00683E97"/>
    <w:rsid w:val="00694AF0"/>
    <w:rsid w:val="006A2E6E"/>
    <w:rsid w:val="006A5E06"/>
    <w:rsid w:val="006B0E9E"/>
    <w:rsid w:val="006B4E41"/>
    <w:rsid w:val="006B5AE4"/>
    <w:rsid w:val="006B7D5F"/>
    <w:rsid w:val="006C5460"/>
    <w:rsid w:val="006C623C"/>
    <w:rsid w:val="006C6B63"/>
    <w:rsid w:val="006D4054"/>
    <w:rsid w:val="006E02EC"/>
    <w:rsid w:val="006E375C"/>
    <w:rsid w:val="006E760C"/>
    <w:rsid w:val="006F27A0"/>
    <w:rsid w:val="006F2ACE"/>
    <w:rsid w:val="0070043C"/>
    <w:rsid w:val="007008C0"/>
    <w:rsid w:val="00710EF8"/>
    <w:rsid w:val="007211B1"/>
    <w:rsid w:val="00721B78"/>
    <w:rsid w:val="007222EA"/>
    <w:rsid w:val="007231F7"/>
    <w:rsid w:val="00725B6D"/>
    <w:rsid w:val="007275AD"/>
    <w:rsid w:val="007276BA"/>
    <w:rsid w:val="00746187"/>
    <w:rsid w:val="0076254F"/>
    <w:rsid w:val="00767D0E"/>
    <w:rsid w:val="007744FB"/>
    <w:rsid w:val="00777720"/>
    <w:rsid w:val="007801F5"/>
    <w:rsid w:val="00783CA4"/>
    <w:rsid w:val="007842FB"/>
    <w:rsid w:val="00786124"/>
    <w:rsid w:val="0079514B"/>
    <w:rsid w:val="007A2DC1"/>
    <w:rsid w:val="007A7CE5"/>
    <w:rsid w:val="007B6930"/>
    <w:rsid w:val="007C0ED6"/>
    <w:rsid w:val="007C59C8"/>
    <w:rsid w:val="007C5F7B"/>
    <w:rsid w:val="007C61E6"/>
    <w:rsid w:val="007C70C7"/>
    <w:rsid w:val="007C7266"/>
    <w:rsid w:val="007C7794"/>
    <w:rsid w:val="007D3319"/>
    <w:rsid w:val="007D335D"/>
    <w:rsid w:val="007D5126"/>
    <w:rsid w:val="007E3314"/>
    <w:rsid w:val="007E4B03"/>
    <w:rsid w:val="007F324B"/>
    <w:rsid w:val="007F3AFA"/>
    <w:rsid w:val="007F6DE4"/>
    <w:rsid w:val="00803CA5"/>
    <w:rsid w:val="008046D8"/>
    <w:rsid w:val="0080553C"/>
    <w:rsid w:val="0080593C"/>
    <w:rsid w:val="00805B46"/>
    <w:rsid w:val="00813A58"/>
    <w:rsid w:val="00813C08"/>
    <w:rsid w:val="0082299D"/>
    <w:rsid w:val="00825DC2"/>
    <w:rsid w:val="00827172"/>
    <w:rsid w:val="008271F3"/>
    <w:rsid w:val="00831736"/>
    <w:rsid w:val="00834AD3"/>
    <w:rsid w:val="00841284"/>
    <w:rsid w:val="00843795"/>
    <w:rsid w:val="00845B99"/>
    <w:rsid w:val="00846013"/>
    <w:rsid w:val="00847F0F"/>
    <w:rsid w:val="00852448"/>
    <w:rsid w:val="008564CD"/>
    <w:rsid w:val="00864639"/>
    <w:rsid w:val="00864A6F"/>
    <w:rsid w:val="0088258A"/>
    <w:rsid w:val="0088559B"/>
    <w:rsid w:val="00886332"/>
    <w:rsid w:val="008872DA"/>
    <w:rsid w:val="008A26D9"/>
    <w:rsid w:val="008A7E9F"/>
    <w:rsid w:val="008B4E1D"/>
    <w:rsid w:val="008B79E9"/>
    <w:rsid w:val="008C0C29"/>
    <w:rsid w:val="008C5482"/>
    <w:rsid w:val="008D219B"/>
    <w:rsid w:val="008D4BB8"/>
    <w:rsid w:val="008F3638"/>
    <w:rsid w:val="008F6F31"/>
    <w:rsid w:val="008F74DF"/>
    <w:rsid w:val="008F7AED"/>
    <w:rsid w:val="00901D58"/>
    <w:rsid w:val="00902E2A"/>
    <w:rsid w:val="009127BA"/>
    <w:rsid w:val="00913B37"/>
    <w:rsid w:val="00914B36"/>
    <w:rsid w:val="00921356"/>
    <w:rsid w:val="009227A6"/>
    <w:rsid w:val="00933EC1"/>
    <w:rsid w:val="00942C04"/>
    <w:rsid w:val="00950B93"/>
    <w:rsid w:val="009530DB"/>
    <w:rsid w:val="00953676"/>
    <w:rsid w:val="0095396F"/>
    <w:rsid w:val="00954E87"/>
    <w:rsid w:val="00957ADF"/>
    <w:rsid w:val="00961A2C"/>
    <w:rsid w:val="0096306A"/>
    <w:rsid w:val="009705EE"/>
    <w:rsid w:val="00976445"/>
    <w:rsid w:val="00977927"/>
    <w:rsid w:val="0098135C"/>
    <w:rsid w:val="0098156A"/>
    <w:rsid w:val="00984123"/>
    <w:rsid w:val="00986283"/>
    <w:rsid w:val="00991BAC"/>
    <w:rsid w:val="0099491E"/>
    <w:rsid w:val="009A195F"/>
    <w:rsid w:val="009A6EA0"/>
    <w:rsid w:val="009B18E4"/>
    <w:rsid w:val="009B247E"/>
    <w:rsid w:val="009B7550"/>
    <w:rsid w:val="009B7B99"/>
    <w:rsid w:val="009C0F29"/>
    <w:rsid w:val="009C1335"/>
    <w:rsid w:val="009C1AB2"/>
    <w:rsid w:val="009C6ACB"/>
    <w:rsid w:val="009C7251"/>
    <w:rsid w:val="009E2E91"/>
    <w:rsid w:val="00A016A3"/>
    <w:rsid w:val="00A026C5"/>
    <w:rsid w:val="00A139F5"/>
    <w:rsid w:val="00A1582C"/>
    <w:rsid w:val="00A24F88"/>
    <w:rsid w:val="00A2520C"/>
    <w:rsid w:val="00A258DA"/>
    <w:rsid w:val="00A30891"/>
    <w:rsid w:val="00A3190C"/>
    <w:rsid w:val="00A365F4"/>
    <w:rsid w:val="00A44540"/>
    <w:rsid w:val="00A463CC"/>
    <w:rsid w:val="00A47D80"/>
    <w:rsid w:val="00A53132"/>
    <w:rsid w:val="00A563F2"/>
    <w:rsid w:val="00A566E8"/>
    <w:rsid w:val="00A770D7"/>
    <w:rsid w:val="00A810F9"/>
    <w:rsid w:val="00A84587"/>
    <w:rsid w:val="00A86ECC"/>
    <w:rsid w:val="00A86FCC"/>
    <w:rsid w:val="00A91253"/>
    <w:rsid w:val="00A930B2"/>
    <w:rsid w:val="00A94360"/>
    <w:rsid w:val="00A96186"/>
    <w:rsid w:val="00A97F4D"/>
    <w:rsid w:val="00AA710D"/>
    <w:rsid w:val="00AB1DC9"/>
    <w:rsid w:val="00AB6D25"/>
    <w:rsid w:val="00AC1D06"/>
    <w:rsid w:val="00AC26E1"/>
    <w:rsid w:val="00AC5132"/>
    <w:rsid w:val="00AC64CB"/>
    <w:rsid w:val="00AC750F"/>
    <w:rsid w:val="00AD3888"/>
    <w:rsid w:val="00AE12A5"/>
    <w:rsid w:val="00AE2D4B"/>
    <w:rsid w:val="00AE4F99"/>
    <w:rsid w:val="00AF3882"/>
    <w:rsid w:val="00B00908"/>
    <w:rsid w:val="00B0794F"/>
    <w:rsid w:val="00B102BA"/>
    <w:rsid w:val="00B12909"/>
    <w:rsid w:val="00B14952"/>
    <w:rsid w:val="00B25EE8"/>
    <w:rsid w:val="00B31984"/>
    <w:rsid w:val="00B31E5A"/>
    <w:rsid w:val="00B33803"/>
    <w:rsid w:val="00B51213"/>
    <w:rsid w:val="00B5309C"/>
    <w:rsid w:val="00B53859"/>
    <w:rsid w:val="00B653AB"/>
    <w:rsid w:val="00B65F9E"/>
    <w:rsid w:val="00B66B19"/>
    <w:rsid w:val="00B701E8"/>
    <w:rsid w:val="00B76271"/>
    <w:rsid w:val="00B9064B"/>
    <w:rsid w:val="00B914E9"/>
    <w:rsid w:val="00B956EE"/>
    <w:rsid w:val="00B97152"/>
    <w:rsid w:val="00BA0BBE"/>
    <w:rsid w:val="00BA2BA1"/>
    <w:rsid w:val="00BA38B6"/>
    <w:rsid w:val="00BA4B03"/>
    <w:rsid w:val="00BA7650"/>
    <w:rsid w:val="00BB4C69"/>
    <w:rsid w:val="00BB4F09"/>
    <w:rsid w:val="00BC4DBC"/>
    <w:rsid w:val="00BD4E33"/>
    <w:rsid w:val="00BD7EC7"/>
    <w:rsid w:val="00BE1D4B"/>
    <w:rsid w:val="00BE698D"/>
    <w:rsid w:val="00BF0126"/>
    <w:rsid w:val="00C030DE"/>
    <w:rsid w:val="00C05E71"/>
    <w:rsid w:val="00C20E37"/>
    <w:rsid w:val="00C2124E"/>
    <w:rsid w:val="00C22105"/>
    <w:rsid w:val="00C244B6"/>
    <w:rsid w:val="00C27062"/>
    <w:rsid w:val="00C3702F"/>
    <w:rsid w:val="00C41B67"/>
    <w:rsid w:val="00C454F9"/>
    <w:rsid w:val="00C4563B"/>
    <w:rsid w:val="00C4683A"/>
    <w:rsid w:val="00C57B89"/>
    <w:rsid w:val="00C62998"/>
    <w:rsid w:val="00C64A37"/>
    <w:rsid w:val="00C7158E"/>
    <w:rsid w:val="00C7250B"/>
    <w:rsid w:val="00C7342B"/>
    <w:rsid w:val="00C7346B"/>
    <w:rsid w:val="00C742AC"/>
    <w:rsid w:val="00C77C0E"/>
    <w:rsid w:val="00C8142C"/>
    <w:rsid w:val="00C81FC1"/>
    <w:rsid w:val="00C90628"/>
    <w:rsid w:val="00C91687"/>
    <w:rsid w:val="00C924A8"/>
    <w:rsid w:val="00C943D6"/>
    <w:rsid w:val="00C945FE"/>
    <w:rsid w:val="00C96FAA"/>
    <w:rsid w:val="00C97A04"/>
    <w:rsid w:val="00CA0156"/>
    <w:rsid w:val="00CA091B"/>
    <w:rsid w:val="00CA107B"/>
    <w:rsid w:val="00CA2B43"/>
    <w:rsid w:val="00CA484D"/>
    <w:rsid w:val="00CB1FA3"/>
    <w:rsid w:val="00CB568E"/>
    <w:rsid w:val="00CB67F3"/>
    <w:rsid w:val="00CC55EA"/>
    <w:rsid w:val="00CC739E"/>
    <w:rsid w:val="00CD0521"/>
    <w:rsid w:val="00CD58B7"/>
    <w:rsid w:val="00CE0430"/>
    <w:rsid w:val="00CE40E1"/>
    <w:rsid w:val="00CF04CB"/>
    <w:rsid w:val="00CF3814"/>
    <w:rsid w:val="00CF4099"/>
    <w:rsid w:val="00CF546A"/>
    <w:rsid w:val="00D00796"/>
    <w:rsid w:val="00D06F44"/>
    <w:rsid w:val="00D13520"/>
    <w:rsid w:val="00D2383E"/>
    <w:rsid w:val="00D249F5"/>
    <w:rsid w:val="00D261A2"/>
    <w:rsid w:val="00D46791"/>
    <w:rsid w:val="00D52F7F"/>
    <w:rsid w:val="00D53C95"/>
    <w:rsid w:val="00D616D2"/>
    <w:rsid w:val="00D63B5F"/>
    <w:rsid w:val="00D641C9"/>
    <w:rsid w:val="00D70EF7"/>
    <w:rsid w:val="00D77D45"/>
    <w:rsid w:val="00D8397C"/>
    <w:rsid w:val="00D90D7A"/>
    <w:rsid w:val="00D916CA"/>
    <w:rsid w:val="00D94EED"/>
    <w:rsid w:val="00D96026"/>
    <w:rsid w:val="00D96F41"/>
    <w:rsid w:val="00DA3437"/>
    <w:rsid w:val="00DA7C1C"/>
    <w:rsid w:val="00DB147A"/>
    <w:rsid w:val="00DB1B7A"/>
    <w:rsid w:val="00DB562E"/>
    <w:rsid w:val="00DC0650"/>
    <w:rsid w:val="00DC6708"/>
    <w:rsid w:val="00DC7C61"/>
    <w:rsid w:val="00DD075D"/>
    <w:rsid w:val="00DE0069"/>
    <w:rsid w:val="00E00E46"/>
    <w:rsid w:val="00E01436"/>
    <w:rsid w:val="00E03481"/>
    <w:rsid w:val="00E045BD"/>
    <w:rsid w:val="00E04B9B"/>
    <w:rsid w:val="00E07365"/>
    <w:rsid w:val="00E12F35"/>
    <w:rsid w:val="00E17B77"/>
    <w:rsid w:val="00E23337"/>
    <w:rsid w:val="00E24BC3"/>
    <w:rsid w:val="00E259EA"/>
    <w:rsid w:val="00E31581"/>
    <w:rsid w:val="00E32061"/>
    <w:rsid w:val="00E343DD"/>
    <w:rsid w:val="00E401D2"/>
    <w:rsid w:val="00E42FF9"/>
    <w:rsid w:val="00E4714C"/>
    <w:rsid w:val="00E51AEB"/>
    <w:rsid w:val="00E522A7"/>
    <w:rsid w:val="00E52D2E"/>
    <w:rsid w:val="00E54452"/>
    <w:rsid w:val="00E664C5"/>
    <w:rsid w:val="00E664D8"/>
    <w:rsid w:val="00E671A2"/>
    <w:rsid w:val="00E76D26"/>
    <w:rsid w:val="00E80C30"/>
    <w:rsid w:val="00E9065F"/>
    <w:rsid w:val="00EA7DFB"/>
    <w:rsid w:val="00EB0A84"/>
    <w:rsid w:val="00EB1390"/>
    <w:rsid w:val="00EB2C71"/>
    <w:rsid w:val="00EB34FA"/>
    <w:rsid w:val="00EB4340"/>
    <w:rsid w:val="00EB556D"/>
    <w:rsid w:val="00EB5A7D"/>
    <w:rsid w:val="00EB77B3"/>
    <w:rsid w:val="00EC0E14"/>
    <w:rsid w:val="00EC1B6F"/>
    <w:rsid w:val="00EC2683"/>
    <w:rsid w:val="00EC3EA3"/>
    <w:rsid w:val="00ED25A6"/>
    <w:rsid w:val="00ED55C0"/>
    <w:rsid w:val="00ED682B"/>
    <w:rsid w:val="00EE41D5"/>
    <w:rsid w:val="00EE5667"/>
    <w:rsid w:val="00EE795A"/>
    <w:rsid w:val="00F037A4"/>
    <w:rsid w:val="00F14294"/>
    <w:rsid w:val="00F156AE"/>
    <w:rsid w:val="00F15EA9"/>
    <w:rsid w:val="00F23CE5"/>
    <w:rsid w:val="00F27C8F"/>
    <w:rsid w:val="00F32749"/>
    <w:rsid w:val="00F37172"/>
    <w:rsid w:val="00F42E6E"/>
    <w:rsid w:val="00F4477E"/>
    <w:rsid w:val="00F52024"/>
    <w:rsid w:val="00F53896"/>
    <w:rsid w:val="00F67BEC"/>
    <w:rsid w:val="00F67D8F"/>
    <w:rsid w:val="00F76F45"/>
    <w:rsid w:val="00F77676"/>
    <w:rsid w:val="00F802BE"/>
    <w:rsid w:val="00F83B03"/>
    <w:rsid w:val="00F85DC4"/>
    <w:rsid w:val="00F86024"/>
    <w:rsid w:val="00F8611A"/>
    <w:rsid w:val="00F962C5"/>
    <w:rsid w:val="00FA5128"/>
    <w:rsid w:val="00FB42D4"/>
    <w:rsid w:val="00FB5906"/>
    <w:rsid w:val="00FB762F"/>
    <w:rsid w:val="00FB7B25"/>
    <w:rsid w:val="00FC1C4D"/>
    <w:rsid w:val="00FC2AED"/>
    <w:rsid w:val="00FD1BBD"/>
    <w:rsid w:val="00FD2E71"/>
    <w:rsid w:val="00FD3E31"/>
    <w:rsid w:val="00FD5EA7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1031D5-ADD0-4F8A-9B4D-8615A36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274029408119E-2"/>
          <c:y val="1.9076923076923082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Arkusz1!$B$53:$C$92</c:f>
              <c:multiLvlStrCache>
                <c:ptCount val="40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Arkusz1!$D$53:$D$92</c:f>
              <c:numCache>
                <c:formatCode>0.0</c:formatCode>
                <c:ptCount val="40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346108752"/>
        <c:axId val="1346109296"/>
      </c:barChart>
      <c:catAx>
        <c:axId val="13461087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34610929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346109296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4610875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722727383535264E-2"/>
          <c:y val="6.1951636507662215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1</a:t>
                    </a:r>
                    <a:r>
                      <a:rPr lang="en-US"/>
                      <a:t>11,7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rodz_dział_miesiąc!$AW$4:$AW$12</c:f>
              <c:numCache>
                <c:formatCode>0.0</c:formatCode>
                <c:ptCount val="9"/>
                <c:pt idx="0">
                  <c:v>111.7</c:v>
                </c:pt>
                <c:pt idx="1">
                  <c:v>110.2</c:v>
                </c:pt>
                <c:pt idx="2">
                  <c:v>89.6</c:v>
                </c:pt>
                <c:pt idx="3">
                  <c:v>98.1</c:v>
                </c:pt>
                <c:pt idx="4">
                  <c:v>108.5</c:v>
                </c:pt>
                <c:pt idx="5">
                  <c:v>118</c:v>
                </c:pt>
                <c:pt idx="6">
                  <c:v>106.4</c:v>
                </c:pt>
                <c:pt idx="7">
                  <c:v>108.3</c:v>
                </c:pt>
                <c:pt idx="8">
                  <c:v>114.5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46117456"/>
        <c:axId val="1346109840"/>
      </c:barChart>
      <c:catAx>
        <c:axId val="13461174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4610984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346109840"/>
        <c:scaling>
          <c:orientation val="minMax"/>
          <c:max val="120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4611745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65519482991353E-2"/>
          <c:y val="5.6628056628056631E-2"/>
          <c:w val="0.90120672439187943"/>
          <c:h val="0.73350155554879959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9"/>
              <c:layout>
                <c:manualLayout>
                  <c:x val="-7.4377091855708441E-3"/>
                  <c:y val="1.54440154440154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aseline="0">
                      <a:solidFill>
                        <a:srgbClr val="001D77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001D77"/>
                    </a:solidFill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99"/>
              <c:layout>
                <c:manualLayout>
                  <c:x val="-1.2396181975951407E-2"/>
                  <c:y val="-5.1480051480051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aseline="0">
                      <a:solidFill>
                        <a:srgbClr val="69BE28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solidFill>
                      <a:srgbClr val="69BE28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>
                  <c:v>119</c:v>
                </c:pt>
                <c:pt idx="98">
                  <c:v>119.6</c:v>
                </c:pt>
                <c:pt idx="99">
                  <c:v>118.1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6110384"/>
        <c:axId val="1346111472"/>
      </c:lineChart>
      <c:catAx>
        <c:axId val="1346110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46111472"/>
        <c:crosses val="autoZero"/>
        <c:auto val="1"/>
        <c:lblAlgn val="ctr"/>
        <c:lblOffset val="100"/>
        <c:tickMarkSkip val="12"/>
        <c:noMultiLvlLbl val="0"/>
      </c:catAx>
      <c:valAx>
        <c:axId val="1346111472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34611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0.32986</cdr:x>
      <cdr:y>0.14543</cdr:y>
    </cdr:from>
    <cdr:to>
      <cdr:x>0.48077</cdr:x>
      <cdr:y>0.24387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691398" y="475489"/>
          <a:ext cx="773824" cy="3218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Ogółem 104,0</a:t>
          </a:r>
        </a:p>
      </cdr:txBody>
    </cdr:sp>
  </cdr:relSizeAnchor>
  <cdr:relSizeAnchor xmlns:cdr="http://schemas.openxmlformats.org/drawingml/2006/chartDrawing">
    <cdr:from>
      <cdr:x>0.30323</cdr:x>
      <cdr:y>0.23716</cdr:y>
    </cdr:from>
    <cdr:to>
      <cdr:x>0.39945</cdr:x>
      <cdr:y>0.36769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54867" y="775411"/>
          <a:ext cx="493388" cy="4268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0.05977</cdr:x>
      <cdr:y>0.37694</cdr:y>
    </cdr:from>
    <cdr:to>
      <cdr:x>0.99243</cdr:x>
      <cdr:y>0.3809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06485" y="1232452"/>
          <a:ext cx="4782349" cy="1295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ED2B5E-D7CB-472E-A03F-755E3C2F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2018-05-19T13:45:00Z</cp:lastPrinted>
  <dcterms:created xsi:type="dcterms:W3CDTF">2018-05-23T07:38:00Z</dcterms:created>
  <dcterms:modified xsi:type="dcterms:W3CDTF">2018-05-23T07:38:00Z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