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Pr="00E31581" w:rsidRDefault="00D13520" w:rsidP="00074DD8">
      <w:pPr>
        <w:pStyle w:val="tytuinformacji"/>
        <w:rPr>
          <w:b/>
          <w:szCs w:val="40"/>
          <w:shd w:val="clear" w:color="auto" w:fill="FFFFFF"/>
        </w:rPr>
      </w:pPr>
      <w:bookmarkStart w:id="0" w:name="_GoBack"/>
      <w:bookmarkEnd w:id="0"/>
      <w:r w:rsidRPr="00E31581">
        <w:rPr>
          <w:rFonts w:cs="Arial"/>
          <w:b/>
          <w:szCs w:val="40"/>
        </w:rPr>
        <w:t xml:space="preserve">Dynamika sprzedaży detalicznej w </w:t>
      </w:r>
      <w:r w:rsidR="00A948AE">
        <w:rPr>
          <w:rFonts w:cs="Arial"/>
          <w:b/>
          <w:szCs w:val="40"/>
        </w:rPr>
        <w:t>maju</w:t>
      </w:r>
      <w:r w:rsidRPr="00E31581">
        <w:rPr>
          <w:rFonts w:cs="Arial"/>
          <w:b/>
          <w:szCs w:val="40"/>
        </w:rPr>
        <w:t xml:space="preserve"> 201</w:t>
      </w:r>
      <w:r w:rsidR="006534EB" w:rsidRPr="00E31581">
        <w:rPr>
          <w:rFonts w:cs="Arial"/>
          <w:b/>
          <w:szCs w:val="40"/>
        </w:rPr>
        <w:t>8</w:t>
      </w:r>
      <w:r w:rsidRPr="00E31581">
        <w:rPr>
          <w:rFonts w:cs="Arial"/>
          <w:b/>
          <w:szCs w:val="40"/>
        </w:rPr>
        <w:t xml:space="preserve"> r.</w:t>
      </w:r>
    </w:p>
    <w:p w:rsidR="00393761" w:rsidRPr="0095396F" w:rsidRDefault="00A2520C" w:rsidP="00074DD8">
      <w:pPr>
        <w:pStyle w:val="tytuinformacji"/>
        <w:rPr>
          <w:rFonts w:asciiTheme="majorHAnsi" w:hAnsiTheme="majorHAnsi"/>
          <w:sz w:val="32"/>
        </w:rPr>
      </w:pPr>
      <w:r>
        <w:rPr>
          <w:rFonts w:asciiTheme="majorHAnsi" w:hAnsiTheme="majorHAnsi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5241290</wp:posOffset>
                </wp:positionH>
                <wp:positionV relativeFrom="paragraph">
                  <wp:posOffset>246380</wp:posOffset>
                </wp:positionV>
                <wp:extent cx="1828800" cy="1095375"/>
                <wp:effectExtent l="0" t="0" r="0" b="0"/>
                <wp:wrapTight wrapText="bothSides">
                  <wp:wrapPolygon edited="0">
                    <wp:start x="675" y="0"/>
                    <wp:lineTo x="675" y="21037"/>
                    <wp:lineTo x="20700" y="21037"/>
                    <wp:lineTo x="20700" y="0"/>
                    <wp:lineTo x="67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917AEC" w:rsidRDefault="00A930B2" w:rsidP="00E80C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E11119">
                              <w:t>maju</w:t>
                            </w:r>
                            <w:r>
                              <w:t xml:space="preserve"> br. </w:t>
                            </w:r>
                            <w:r w:rsidR="00EB77B3">
                              <w:t xml:space="preserve">tempo </w:t>
                            </w:r>
                            <w:r w:rsidR="007C70C7">
                              <w:t xml:space="preserve">wzrostu </w:t>
                            </w:r>
                            <w:r w:rsidR="00431F5B" w:rsidRPr="00917AEC">
                              <w:t>sprzedaż</w:t>
                            </w:r>
                            <w:r w:rsidR="00EB77B3">
                              <w:t>y</w:t>
                            </w:r>
                            <w:r w:rsidR="00431F5B" w:rsidRPr="00917AEC">
                              <w:t xml:space="preserve"> detaliczn</w:t>
                            </w:r>
                            <w:r w:rsidR="00EB77B3">
                              <w:t>ej</w:t>
                            </w:r>
                            <w:r w:rsidR="00431F5B" w:rsidRPr="00917AEC">
                              <w:t xml:space="preserve"> w</w:t>
                            </w:r>
                            <w:r w:rsidR="002B5380">
                              <w:t> </w:t>
                            </w:r>
                            <w:r w:rsidR="007C70C7">
                              <w:t>ce</w:t>
                            </w:r>
                            <w:r w:rsidR="00431F5B" w:rsidRPr="00917AEC">
                              <w:t xml:space="preserve">nach stałych </w:t>
                            </w:r>
                            <w:r w:rsidR="00EB77B3">
                              <w:t>r/r</w:t>
                            </w:r>
                            <w:r w:rsidR="00431F5B">
                              <w:t xml:space="preserve"> </w:t>
                            </w:r>
                            <w:r w:rsidR="002B5380">
                              <w:t xml:space="preserve">było </w:t>
                            </w:r>
                            <w:r w:rsidR="00E11119">
                              <w:t>o 2,1 p. proc. wyższe</w:t>
                            </w:r>
                            <w:r w:rsidR="002B5380">
                              <w:t xml:space="preserve"> niż w</w:t>
                            </w:r>
                            <w:r w:rsidR="00736BF5">
                              <w:t xml:space="preserve"> </w:t>
                            </w:r>
                            <w:r w:rsidR="00831736">
                              <w:t>p</w:t>
                            </w:r>
                            <w:r w:rsidR="002B5380">
                              <w:t>oprzedni</w:t>
                            </w:r>
                            <w:r w:rsidR="00E11119">
                              <w:t>m</w:t>
                            </w:r>
                            <w:r w:rsidR="002B5380">
                              <w:t xml:space="preserve"> mi</w:t>
                            </w:r>
                            <w:r w:rsidR="002B5380">
                              <w:t>e</w:t>
                            </w:r>
                            <w:r w:rsidR="002B5380">
                              <w:t>siąc</w:t>
                            </w:r>
                            <w:r w:rsidR="00E11119">
                              <w:t>u</w:t>
                            </w:r>
                            <w:r w:rsidR="002B5380">
                              <w:t xml:space="preserve"> </w:t>
                            </w:r>
                            <w:r w:rsidR="00B2788D">
                              <w:t>b</w:t>
                            </w:r>
                            <w:r w:rsidR="002B5380">
                              <w:t>r.</w:t>
                            </w:r>
                          </w:p>
                          <w:p w:rsidR="00431F5B" w:rsidRPr="00074DD8" w:rsidRDefault="00431F5B" w:rsidP="00074DD8">
                            <w:pPr>
                              <w:pStyle w:val="tekstzboku"/>
                            </w:pPr>
                            <w:r w:rsidRPr="00074DD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7pt;margin-top:19.4pt;width:2in;height:8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" filled="f" stroked="f">
                <v:textbox>
                  <w:txbxContent>
                    <w:p w:rsidR="00431F5B" w:rsidRPr="00917AEC" w:rsidRDefault="00A930B2" w:rsidP="00E80C30">
                      <w:pPr>
                        <w:pStyle w:val="tekstzboku"/>
                      </w:pPr>
                      <w:r>
                        <w:t xml:space="preserve">W </w:t>
                      </w:r>
                      <w:r w:rsidR="00E11119">
                        <w:t>maju</w:t>
                      </w:r>
                      <w:r>
                        <w:t xml:space="preserve"> br. </w:t>
                      </w:r>
                      <w:r w:rsidR="00EB77B3">
                        <w:t xml:space="preserve">tempo </w:t>
                      </w:r>
                      <w:r w:rsidR="007C70C7">
                        <w:t xml:space="preserve">wzrostu </w:t>
                      </w:r>
                      <w:r w:rsidR="00431F5B" w:rsidRPr="00917AEC">
                        <w:t>sprzedaż</w:t>
                      </w:r>
                      <w:r w:rsidR="00EB77B3">
                        <w:t>y</w:t>
                      </w:r>
                      <w:r w:rsidR="00431F5B" w:rsidRPr="00917AEC">
                        <w:t xml:space="preserve"> detaliczn</w:t>
                      </w:r>
                      <w:r w:rsidR="00EB77B3">
                        <w:t>ej</w:t>
                      </w:r>
                      <w:r w:rsidR="00431F5B" w:rsidRPr="00917AEC">
                        <w:t xml:space="preserve"> w</w:t>
                      </w:r>
                      <w:r w:rsidR="002B5380">
                        <w:t> </w:t>
                      </w:r>
                      <w:r w:rsidR="007C70C7">
                        <w:t>ce</w:t>
                      </w:r>
                      <w:r w:rsidR="00431F5B" w:rsidRPr="00917AEC">
                        <w:t xml:space="preserve">nach stałych </w:t>
                      </w:r>
                      <w:r w:rsidR="00EB77B3">
                        <w:t>r/r</w:t>
                      </w:r>
                      <w:r w:rsidR="00431F5B">
                        <w:t xml:space="preserve"> </w:t>
                      </w:r>
                      <w:r w:rsidR="002B5380">
                        <w:t xml:space="preserve">było </w:t>
                      </w:r>
                      <w:r w:rsidR="00E11119">
                        <w:t>o 2,1 p. proc. wyższe</w:t>
                      </w:r>
                      <w:r w:rsidR="002B5380">
                        <w:t xml:space="preserve"> niż w</w:t>
                      </w:r>
                      <w:r w:rsidR="00736BF5">
                        <w:t xml:space="preserve"> </w:t>
                      </w:r>
                      <w:r w:rsidR="00831736">
                        <w:t>p</w:t>
                      </w:r>
                      <w:r w:rsidR="002B5380">
                        <w:t>oprzedni</w:t>
                      </w:r>
                      <w:r w:rsidR="00E11119">
                        <w:t>m</w:t>
                      </w:r>
                      <w:r w:rsidR="002B5380">
                        <w:t xml:space="preserve"> miesiąc</w:t>
                      </w:r>
                      <w:r w:rsidR="00E11119">
                        <w:t>u</w:t>
                      </w:r>
                      <w:r w:rsidR="002B5380">
                        <w:t xml:space="preserve"> </w:t>
                      </w:r>
                      <w:r w:rsidR="00B2788D">
                        <w:t>b</w:t>
                      </w:r>
                      <w:r w:rsidR="002B5380">
                        <w:t>r.</w:t>
                      </w:r>
                    </w:p>
                    <w:p w:rsidR="00431F5B" w:rsidRPr="00074DD8" w:rsidRDefault="00431F5B" w:rsidP="00074DD8">
                      <w:pPr>
                        <w:pStyle w:val="tekstzboku"/>
                      </w:pPr>
                      <w:r w:rsidRPr="00074DD8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E31581" w:rsidRDefault="00A2520C" w:rsidP="005B6AAA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F315C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315C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2pt;width:2in;height:93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F315C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315C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>
        <w:t>S</w:t>
      </w:r>
      <w:r w:rsidR="003C2CAA" w:rsidRPr="00E31581">
        <w:t>przedaż</w:t>
      </w:r>
      <w:r w:rsidR="00C62998">
        <w:t xml:space="preserve"> detaliczna</w:t>
      </w:r>
      <w:r w:rsidR="00E80C30" w:rsidRPr="00E31581">
        <w:rPr>
          <w:rStyle w:val="Odwoanieprzypisudolnego"/>
        </w:rPr>
        <w:footnoteReference w:id="1"/>
      </w:r>
      <w:r w:rsidR="003C2CAA" w:rsidRPr="00E31581">
        <w:t xml:space="preserve"> </w:t>
      </w:r>
      <w:r w:rsidR="003C2CAA" w:rsidRPr="00E31581">
        <w:rPr>
          <w:rFonts w:cs="Arial"/>
          <w:szCs w:val="24"/>
        </w:rPr>
        <w:t xml:space="preserve">w cenach stałych </w:t>
      </w:r>
      <w:r w:rsidR="0096306A" w:rsidRPr="00E31581">
        <w:t>w </w:t>
      </w:r>
      <w:r w:rsidR="008A3CF7">
        <w:t>maju</w:t>
      </w:r>
      <w:r w:rsidR="003C2CAA" w:rsidRPr="00E31581">
        <w:t xml:space="preserve"> br. </w:t>
      </w:r>
      <w:r w:rsidR="00C62998">
        <w:t xml:space="preserve">była wyższa niż przed rokiem o </w:t>
      </w:r>
      <w:r w:rsidR="00BA4DDF">
        <w:t>6</w:t>
      </w:r>
      <w:r w:rsidR="00C62998">
        <w:t>,</w:t>
      </w:r>
      <w:r w:rsidR="00BA4DDF">
        <w:t>1</w:t>
      </w:r>
      <w:r w:rsidR="00C62998">
        <w:t>% (wobec wzrostu o</w:t>
      </w:r>
      <w:r w:rsidR="00511F40">
        <w:t> </w:t>
      </w:r>
      <w:r w:rsidR="00176A3D">
        <w:t>7</w:t>
      </w:r>
      <w:r w:rsidR="00C62998">
        <w:t>,</w:t>
      </w:r>
      <w:r w:rsidR="00176A3D">
        <w:t>4</w:t>
      </w:r>
      <w:r w:rsidR="00C62998">
        <w:t>% w</w:t>
      </w:r>
      <w:r w:rsidR="00176A3D">
        <w:t> maju</w:t>
      </w:r>
      <w:r w:rsidR="00C62998">
        <w:t xml:space="preserve"> u</w:t>
      </w:r>
      <w:r w:rsidR="00511F40">
        <w:t>b</w:t>
      </w:r>
      <w:r w:rsidR="00C62998">
        <w:t xml:space="preserve">. </w:t>
      </w:r>
      <w:r w:rsidR="00511F40">
        <w:t>roku</w:t>
      </w:r>
      <w:r w:rsidR="00C62998">
        <w:t>)</w:t>
      </w:r>
      <w:r w:rsidR="003C2CAA" w:rsidRPr="00E31581">
        <w:t xml:space="preserve">. </w:t>
      </w:r>
      <w:r w:rsidR="00017FFE" w:rsidRPr="00E31581">
        <w:rPr>
          <w:rFonts w:cs="Arial"/>
          <w:szCs w:val="24"/>
        </w:rPr>
        <w:t>W porównaniu z</w:t>
      </w:r>
      <w:r w:rsidR="00CC55EA">
        <w:rPr>
          <w:rFonts w:cs="Arial"/>
          <w:szCs w:val="24"/>
        </w:rPr>
        <w:t xml:space="preserve"> </w:t>
      </w:r>
      <w:r w:rsidR="00B818D9">
        <w:rPr>
          <w:rFonts w:cs="Arial"/>
          <w:szCs w:val="24"/>
        </w:rPr>
        <w:t>kwietniem</w:t>
      </w:r>
      <w:r w:rsidR="00017FFE" w:rsidRPr="00E31581">
        <w:rPr>
          <w:rFonts w:cs="Arial"/>
          <w:szCs w:val="24"/>
        </w:rPr>
        <w:t xml:space="preserve"> </w:t>
      </w:r>
      <w:r w:rsidR="00EE5667">
        <w:rPr>
          <w:rFonts w:cs="Arial"/>
          <w:szCs w:val="24"/>
        </w:rPr>
        <w:t>br</w:t>
      </w:r>
      <w:r w:rsidR="00976445">
        <w:rPr>
          <w:rFonts w:cs="Arial"/>
          <w:szCs w:val="24"/>
        </w:rPr>
        <w:t xml:space="preserve">. </w:t>
      </w:r>
      <w:r w:rsidR="00017FFE" w:rsidRPr="00E31581">
        <w:rPr>
          <w:rFonts w:cs="Arial"/>
          <w:szCs w:val="24"/>
        </w:rPr>
        <w:t xml:space="preserve">miał miejsce </w:t>
      </w:r>
      <w:r w:rsidR="00B818D9">
        <w:rPr>
          <w:rFonts w:cs="Arial"/>
          <w:szCs w:val="24"/>
        </w:rPr>
        <w:t xml:space="preserve">wzrost </w:t>
      </w:r>
      <w:r w:rsidR="00976445">
        <w:rPr>
          <w:rFonts w:cs="Arial"/>
          <w:szCs w:val="24"/>
        </w:rPr>
        <w:t xml:space="preserve">sprzedaży detalicznej o </w:t>
      </w:r>
      <w:r w:rsidR="00B818D9">
        <w:rPr>
          <w:rFonts w:cs="Arial"/>
          <w:szCs w:val="24"/>
        </w:rPr>
        <w:t>2</w:t>
      </w:r>
      <w:r w:rsidR="00017FFE" w:rsidRPr="00E31581">
        <w:rPr>
          <w:rFonts w:cs="Arial"/>
          <w:szCs w:val="24"/>
        </w:rPr>
        <w:t>,</w:t>
      </w:r>
      <w:r w:rsidR="00B818D9">
        <w:rPr>
          <w:rFonts w:cs="Arial"/>
          <w:szCs w:val="24"/>
        </w:rPr>
        <w:t>2</w:t>
      </w:r>
      <w:r w:rsidR="00017FFE" w:rsidRPr="00E31581">
        <w:rPr>
          <w:rFonts w:cs="Arial"/>
          <w:szCs w:val="24"/>
        </w:rPr>
        <w:t>%</w:t>
      </w:r>
      <w:r w:rsidR="001F67FE">
        <w:rPr>
          <w:rFonts w:cs="Arial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BE1D4B" w:rsidP="00074DD8">
      <w:pPr>
        <w:pStyle w:val="Nagwek1"/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163830</wp:posOffset>
                </wp:positionV>
                <wp:extent cx="1835785" cy="1074420"/>
                <wp:effectExtent l="0" t="0" r="0" b="0"/>
                <wp:wrapTight wrapText="bothSides">
                  <wp:wrapPolygon edited="0">
                    <wp:start x="672" y="0"/>
                    <wp:lineTo x="672" y="21064"/>
                    <wp:lineTo x="20845" y="21064"/>
                    <wp:lineTo x="20845" y="0"/>
                    <wp:lineTo x="672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415861" w:rsidRDefault="00431F5B" w:rsidP="00074DD8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W </w:t>
                            </w:r>
                            <w:r w:rsidR="00AB11B1">
                              <w:rPr>
                                <w:rFonts w:cs="Arial"/>
                              </w:rPr>
                              <w:t>maju</w:t>
                            </w:r>
                            <w:r>
                              <w:rPr>
                                <w:rFonts w:cs="Arial"/>
                              </w:rPr>
                              <w:t xml:space="preserve"> 2018 r. w</w:t>
                            </w:r>
                            <w:r w:rsidR="00DC5C14">
                              <w:rPr>
                                <w:rFonts w:cs="Arial"/>
                              </w:rPr>
                              <w:t>zrost sprzed</w:t>
                            </w:r>
                            <w:r w:rsidR="00DC5C14">
                              <w:rPr>
                                <w:rFonts w:cs="Arial"/>
                              </w:rPr>
                              <w:t>a</w:t>
                            </w:r>
                            <w:r w:rsidR="00DC5C14">
                              <w:rPr>
                                <w:rFonts w:cs="Arial"/>
                              </w:rPr>
                              <w:t xml:space="preserve">ży detalicznej w </w:t>
                            </w:r>
                            <w:r w:rsidRPr="00E31581">
                              <w:rPr>
                                <w:rFonts w:cs="Arial"/>
                              </w:rPr>
                              <w:t xml:space="preserve">cenach stałych w skali roku </w:t>
                            </w:r>
                            <w:r w:rsidR="00AB11B1">
                              <w:rPr>
                                <w:rFonts w:cs="Arial"/>
                              </w:rPr>
                              <w:t>odnotowano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="00680FFF">
                              <w:rPr>
                                <w:rFonts w:cs="Arial"/>
                              </w:rPr>
                              <w:t>w</w:t>
                            </w:r>
                            <w:r w:rsidR="00AB11B1">
                              <w:rPr>
                                <w:rFonts w:cs="Arial"/>
                              </w:rPr>
                              <w:t>e wszystkich</w:t>
                            </w:r>
                            <w:r w:rsidR="00680FFF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grupowa</w:t>
                            </w:r>
                            <w:r w:rsidR="00AB11B1">
                              <w:rPr>
                                <w:rFonts w:cs="Arial"/>
                              </w:rPr>
                              <w:t>niach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2.1pt;margin-top:12.9pt;width:144.55pt;height:84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" filled="f" stroked="f">
                <v:textbox>
                  <w:txbxContent>
                    <w:p w:rsidR="00431F5B" w:rsidRPr="00415861" w:rsidRDefault="00431F5B" w:rsidP="00074DD8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W </w:t>
                      </w:r>
                      <w:r w:rsidR="00AB11B1">
                        <w:rPr>
                          <w:rFonts w:cs="Arial"/>
                        </w:rPr>
                        <w:t>maju</w:t>
                      </w:r>
                      <w:r>
                        <w:rPr>
                          <w:rFonts w:cs="Arial"/>
                        </w:rPr>
                        <w:t xml:space="preserve"> 2018 r. w</w:t>
                      </w:r>
                      <w:r w:rsidR="00DC5C14">
                        <w:rPr>
                          <w:rFonts w:cs="Arial"/>
                        </w:rPr>
                        <w:t xml:space="preserve">zrost sprzedaży detalicznej w </w:t>
                      </w:r>
                      <w:bookmarkStart w:id="1" w:name="_GoBack"/>
                      <w:bookmarkEnd w:id="1"/>
                      <w:r w:rsidRPr="00E31581">
                        <w:rPr>
                          <w:rFonts w:cs="Arial"/>
                        </w:rPr>
                        <w:t xml:space="preserve">cenach stałych w skali roku </w:t>
                      </w:r>
                      <w:r w:rsidR="00AB11B1">
                        <w:rPr>
                          <w:rFonts w:cs="Arial"/>
                        </w:rPr>
                        <w:t>odnotowano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="00680FFF">
                        <w:rPr>
                          <w:rFonts w:cs="Arial"/>
                        </w:rPr>
                        <w:t>w</w:t>
                      </w:r>
                      <w:r w:rsidR="00AB11B1">
                        <w:rPr>
                          <w:rFonts w:cs="Arial"/>
                        </w:rPr>
                        <w:t>e wszystkich</w:t>
                      </w:r>
                      <w:r w:rsidR="00680FFF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grupowa</w:t>
                      </w:r>
                      <w:r w:rsidR="00AB11B1">
                        <w:rPr>
                          <w:rFonts w:cs="Arial"/>
                        </w:rPr>
                        <w:t>niach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E80C30" w:rsidRPr="00E31581" w:rsidRDefault="00E80C30" w:rsidP="00634344">
      <w:pPr>
        <w:spacing w:before="0" w:after="0"/>
        <w:rPr>
          <w:rFonts w:cs="Arial"/>
        </w:rPr>
      </w:pPr>
      <w:r w:rsidRPr="00E31581">
        <w:rPr>
          <w:rFonts w:cs="Arial"/>
        </w:rPr>
        <w:t>Wśród grup o znaczącym udziale w sprzedaży detalicznej „ogółem</w:t>
      </w:r>
      <w:r w:rsidR="00E00E46">
        <w:rPr>
          <w:rFonts w:cs="Arial"/>
        </w:rPr>
        <w:t>”</w:t>
      </w:r>
      <w:r w:rsidR="00C20E37">
        <w:rPr>
          <w:rFonts w:cs="Arial"/>
        </w:rPr>
        <w:t xml:space="preserve"> </w:t>
      </w:r>
      <w:r w:rsidR="006C5460">
        <w:rPr>
          <w:rFonts w:cs="Arial"/>
        </w:rPr>
        <w:t>najwyższy</w:t>
      </w:r>
      <w:r w:rsidR="000144A9">
        <w:rPr>
          <w:rFonts w:cs="Arial"/>
        </w:rPr>
        <w:t xml:space="preserve"> </w:t>
      </w:r>
      <w:r w:rsidRPr="00E31581">
        <w:rPr>
          <w:rFonts w:cs="Arial"/>
        </w:rPr>
        <w:t xml:space="preserve">wzrost w </w:t>
      </w:r>
      <w:r w:rsidR="002E34A6">
        <w:rPr>
          <w:rFonts w:cs="Arial"/>
        </w:rPr>
        <w:t>maju</w:t>
      </w:r>
      <w:r w:rsidR="00630E43">
        <w:rPr>
          <w:rFonts w:cs="Arial"/>
        </w:rPr>
        <w:t xml:space="preserve"> </w:t>
      </w:r>
      <w:r w:rsidRPr="0099491E">
        <w:t>2018</w:t>
      </w:r>
      <w:r w:rsidR="00A44540">
        <w:t xml:space="preserve"> </w:t>
      </w:r>
      <w:r w:rsidRPr="0099491E">
        <w:t>r</w:t>
      </w:r>
      <w:r w:rsidRPr="00E31581">
        <w:rPr>
          <w:rFonts w:cs="Arial"/>
        </w:rPr>
        <w:t>. w porównaniu z analogicznym okresem ub. roku</w:t>
      </w:r>
      <w:r w:rsidR="0008767F">
        <w:rPr>
          <w:rFonts w:cs="Arial"/>
        </w:rPr>
        <w:t xml:space="preserve"> (w cenach stałych)</w:t>
      </w:r>
      <w:r w:rsidRPr="00E31581">
        <w:rPr>
          <w:rFonts w:cs="Arial"/>
        </w:rPr>
        <w:t xml:space="preserve"> zaobse</w:t>
      </w:r>
      <w:r w:rsidR="00C943D6">
        <w:rPr>
          <w:rFonts w:cs="Arial"/>
        </w:rPr>
        <w:t>rwowano w</w:t>
      </w:r>
      <w:r w:rsidR="00247BF8">
        <w:rPr>
          <w:rFonts w:cs="Arial"/>
        </w:rPr>
        <w:t> </w:t>
      </w:r>
      <w:r w:rsidR="00427910" w:rsidRPr="00E31581">
        <w:rPr>
          <w:rFonts w:cs="Arial"/>
        </w:rPr>
        <w:t>przedsiębior</w:t>
      </w:r>
      <w:r w:rsidR="00427910">
        <w:rPr>
          <w:rFonts w:cs="Arial"/>
        </w:rPr>
        <w:t xml:space="preserve">stwach </w:t>
      </w:r>
      <w:r w:rsidR="002E34A6">
        <w:rPr>
          <w:rFonts w:cs="Arial"/>
        </w:rPr>
        <w:t xml:space="preserve">handlujących paliwami stałymi, ciekłymi i gazowymi </w:t>
      </w:r>
      <w:r w:rsidR="00427910">
        <w:rPr>
          <w:rFonts w:cs="Arial"/>
        </w:rPr>
        <w:t xml:space="preserve">(o </w:t>
      </w:r>
      <w:r w:rsidR="002E34A6">
        <w:rPr>
          <w:rFonts w:cs="Arial"/>
        </w:rPr>
        <w:t>9</w:t>
      </w:r>
      <w:r w:rsidR="00427910">
        <w:rPr>
          <w:rFonts w:cs="Arial"/>
        </w:rPr>
        <w:t>,</w:t>
      </w:r>
      <w:r w:rsidR="002E34A6">
        <w:rPr>
          <w:rFonts w:cs="Arial"/>
        </w:rPr>
        <w:t>6</w:t>
      </w:r>
      <w:r w:rsidR="00427910">
        <w:rPr>
          <w:rFonts w:cs="Arial"/>
        </w:rPr>
        <w:t xml:space="preserve">% wobec </w:t>
      </w:r>
      <w:r w:rsidR="002E34A6">
        <w:rPr>
          <w:rFonts w:cs="Arial"/>
        </w:rPr>
        <w:t>wzrostu</w:t>
      </w:r>
      <w:r w:rsidR="00630E43">
        <w:rPr>
          <w:rFonts w:cs="Arial"/>
        </w:rPr>
        <w:t xml:space="preserve"> o </w:t>
      </w:r>
      <w:r w:rsidR="002E34A6">
        <w:rPr>
          <w:rFonts w:cs="Arial"/>
        </w:rPr>
        <w:t>8</w:t>
      </w:r>
      <w:r w:rsidR="00427910">
        <w:rPr>
          <w:rFonts w:cs="Arial"/>
        </w:rPr>
        <w:t>,</w:t>
      </w:r>
      <w:r w:rsidR="002E34A6">
        <w:rPr>
          <w:rFonts w:cs="Arial"/>
        </w:rPr>
        <w:t>1</w:t>
      </w:r>
      <w:r w:rsidR="00427910">
        <w:rPr>
          <w:rFonts w:cs="Arial"/>
        </w:rPr>
        <w:t>% przed rokiem)</w:t>
      </w:r>
      <w:r w:rsidRPr="00E31581">
        <w:rPr>
          <w:rFonts w:cs="Arial"/>
        </w:rPr>
        <w:t xml:space="preserve">. Znaczny wzrost sprzedaży odnotowano również w </w:t>
      </w:r>
      <w:r w:rsidR="00A43DCF">
        <w:rPr>
          <w:rFonts w:cs="Arial"/>
        </w:rPr>
        <w:t>jednostkach z</w:t>
      </w:r>
      <w:r w:rsidR="00B2788D">
        <w:rPr>
          <w:rFonts w:cs="Arial"/>
        </w:rPr>
        <w:t xml:space="preserve">aklasyfikowanych do </w:t>
      </w:r>
      <w:r w:rsidR="00A43DCF">
        <w:rPr>
          <w:rFonts w:cs="Arial"/>
        </w:rPr>
        <w:t>grup</w:t>
      </w:r>
      <w:r w:rsidR="00D3526E">
        <w:rPr>
          <w:rFonts w:cs="Arial"/>
        </w:rPr>
        <w:t>y</w:t>
      </w:r>
      <w:r w:rsidR="00A43DCF">
        <w:rPr>
          <w:rFonts w:cs="Arial"/>
        </w:rPr>
        <w:t xml:space="preserve"> „pozostałe”</w:t>
      </w:r>
      <w:r w:rsidR="00D517E0">
        <w:rPr>
          <w:rFonts w:cs="Arial"/>
        </w:rPr>
        <w:t xml:space="preserve"> </w:t>
      </w:r>
      <w:r w:rsidR="00710EF8">
        <w:rPr>
          <w:rFonts w:cs="Arial"/>
        </w:rPr>
        <w:t xml:space="preserve">(o </w:t>
      </w:r>
      <w:r w:rsidR="00A43DCF">
        <w:rPr>
          <w:rFonts w:cs="Arial"/>
        </w:rPr>
        <w:t>8</w:t>
      </w:r>
      <w:r w:rsidR="00710EF8">
        <w:rPr>
          <w:rFonts w:cs="Arial"/>
        </w:rPr>
        <w:t>,</w:t>
      </w:r>
      <w:r w:rsidR="00A43DCF">
        <w:rPr>
          <w:rFonts w:cs="Arial"/>
        </w:rPr>
        <w:t>4</w:t>
      </w:r>
      <w:r w:rsidR="00710EF8">
        <w:rPr>
          <w:rFonts w:cs="Arial"/>
        </w:rPr>
        <w:t>%) oraz</w:t>
      </w:r>
      <w:r w:rsidR="00D36BDE">
        <w:rPr>
          <w:rFonts w:cs="Arial"/>
        </w:rPr>
        <w:t xml:space="preserve"> w przedsiębiorstwach prowadzących</w:t>
      </w:r>
      <w:r w:rsidR="00710EF8">
        <w:rPr>
          <w:rFonts w:cs="Arial"/>
        </w:rPr>
        <w:t xml:space="preserve"> </w:t>
      </w:r>
      <w:r w:rsidR="00D36BDE">
        <w:rPr>
          <w:rFonts w:cs="Arial"/>
        </w:rPr>
        <w:t>pozostałą</w:t>
      </w:r>
      <w:r w:rsidR="00A036C0" w:rsidRPr="00E31581">
        <w:rPr>
          <w:rFonts w:cs="Arial"/>
        </w:rPr>
        <w:t xml:space="preserve"> sprzedaż detaliczn</w:t>
      </w:r>
      <w:r w:rsidR="00D36BDE">
        <w:rPr>
          <w:rFonts w:cs="Arial"/>
        </w:rPr>
        <w:t>ą</w:t>
      </w:r>
      <w:r w:rsidR="00A036C0" w:rsidRPr="00E31581">
        <w:rPr>
          <w:rFonts w:cs="Arial"/>
        </w:rPr>
        <w:t xml:space="preserve"> w</w:t>
      </w:r>
      <w:r w:rsidR="00A036C0">
        <w:rPr>
          <w:rFonts w:cs="Arial"/>
        </w:rPr>
        <w:t xml:space="preserve"> </w:t>
      </w:r>
      <w:r w:rsidR="00A036C0" w:rsidRPr="00E31581">
        <w:rPr>
          <w:rFonts w:cs="Arial"/>
        </w:rPr>
        <w:t>niewyspecjalizowanych sklepach</w:t>
      </w:r>
      <w:r w:rsidR="00A036C0">
        <w:rPr>
          <w:rFonts w:cs="Arial"/>
        </w:rPr>
        <w:t xml:space="preserve"> </w:t>
      </w:r>
      <w:r w:rsidR="00427910">
        <w:rPr>
          <w:rFonts w:cs="Arial"/>
        </w:rPr>
        <w:t xml:space="preserve">(o </w:t>
      </w:r>
      <w:r w:rsidR="00A036C0">
        <w:rPr>
          <w:rFonts w:cs="Arial"/>
        </w:rPr>
        <w:t>7</w:t>
      </w:r>
      <w:r w:rsidR="00427910">
        <w:rPr>
          <w:rFonts w:cs="Arial"/>
        </w:rPr>
        <w:t>,</w:t>
      </w:r>
      <w:r w:rsidR="00A036C0">
        <w:rPr>
          <w:rFonts w:cs="Arial"/>
        </w:rPr>
        <w:t>8</w:t>
      </w:r>
      <w:r w:rsidR="00427910">
        <w:rPr>
          <w:rFonts w:cs="Arial"/>
        </w:rPr>
        <w:t>%)</w:t>
      </w:r>
      <w:r w:rsidR="001A2C7F">
        <w:rPr>
          <w:rFonts w:cs="Arial"/>
        </w:rPr>
        <w:t>.</w:t>
      </w:r>
      <w:r w:rsidR="00B33803">
        <w:rPr>
          <w:rFonts w:cs="Arial"/>
        </w:rPr>
        <w:t xml:space="preserve"> </w:t>
      </w:r>
    </w:p>
    <w:p w:rsidR="0019732B" w:rsidRDefault="00E80C30" w:rsidP="00634344">
      <w:pPr>
        <w:spacing w:before="0" w:after="0"/>
        <w:rPr>
          <w:rFonts w:cs="Arial"/>
        </w:rPr>
      </w:pPr>
      <w:r w:rsidRPr="00E31581">
        <w:rPr>
          <w:rFonts w:cs="Arial"/>
        </w:rPr>
        <w:t>S</w:t>
      </w:r>
      <w:r w:rsidR="00C943D6">
        <w:rPr>
          <w:rFonts w:cs="Arial"/>
        </w:rPr>
        <w:t xml:space="preserve">pośród grup o niższym udziale w </w:t>
      </w:r>
      <w:r w:rsidRPr="00E31581">
        <w:rPr>
          <w:rFonts w:cs="Arial"/>
        </w:rPr>
        <w:t xml:space="preserve">sprzedaży detalicznej „ogółem” </w:t>
      </w:r>
      <w:r w:rsidR="00B2788D">
        <w:rPr>
          <w:rFonts w:cs="Arial"/>
        </w:rPr>
        <w:t>wysoki</w:t>
      </w:r>
      <w:r w:rsidRPr="00E31581">
        <w:rPr>
          <w:rFonts w:cs="Arial"/>
        </w:rPr>
        <w:t xml:space="preserve"> wzrost</w:t>
      </w:r>
      <w:r w:rsidR="00B2788D">
        <w:rPr>
          <w:rFonts w:cs="Arial"/>
        </w:rPr>
        <w:t xml:space="preserve"> </w:t>
      </w:r>
      <w:r w:rsidRPr="00E31581">
        <w:rPr>
          <w:rFonts w:cs="Arial"/>
        </w:rPr>
        <w:t xml:space="preserve">wykazały podmioty </w:t>
      </w:r>
      <w:r w:rsidR="0063751F">
        <w:rPr>
          <w:rFonts w:cs="Arial"/>
        </w:rPr>
        <w:t xml:space="preserve">sprzedające </w:t>
      </w:r>
      <w:r w:rsidR="00901860">
        <w:rPr>
          <w:rFonts w:cs="Arial"/>
        </w:rPr>
        <w:t xml:space="preserve">farmaceutyki, kosmetyki, sprzęt ortopedyczny (o 8,8%); </w:t>
      </w:r>
      <w:r w:rsidR="0063751F">
        <w:rPr>
          <w:rFonts w:cs="Arial"/>
        </w:rPr>
        <w:t>tekstylia, odzież, obuwie</w:t>
      </w:r>
      <w:r w:rsidRPr="00E31581">
        <w:rPr>
          <w:rFonts w:cs="Arial"/>
        </w:rPr>
        <w:t xml:space="preserve"> (</w:t>
      </w:r>
      <w:r w:rsidR="00901860">
        <w:rPr>
          <w:rFonts w:cs="Arial"/>
        </w:rPr>
        <w:t>o 8,6%)</w:t>
      </w:r>
      <w:r w:rsidR="005170C9">
        <w:rPr>
          <w:rFonts w:cs="Arial"/>
        </w:rPr>
        <w:t>,</w:t>
      </w:r>
      <w:r w:rsidR="00901860">
        <w:rPr>
          <w:rFonts w:cs="Arial"/>
        </w:rPr>
        <w:t xml:space="preserve"> jak również meble, rtv, agd (o 6,0%).</w:t>
      </w:r>
    </w:p>
    <w:p w:rsidR="00CF3814" w:rsidRDefault="00CF3814" w:rsidP="00634344">
      <w:pPr>
        <w:spacing w:before="0" w:after="0"/>
        <w:rPr>
          <w:rFonts w:cs="Arial"/>
        </w:rPr>
      </w:pPr>
      <w:r>
        <w:rPr>
          <w:rFonts w:cs="Arial"/>
        </w:rPr>
        <w:t>W okresie styczeń-</w:t>
      </w:r>
      <w:r w:rsidR="00901860">
        <w:rPr>
          <w:rFonts w:cs="Arial"/>
        </w:rPr>
        <w:t>maj</w:t>
      </w:r>
      <w:r w:rsidR="00C90628">
        <w:rPr>
          <w:rStyle w:val="Odwoanieprzypisudolnego"/>
          <w:rFonts w:cs="Arial"/>
        </w:rPr>
        <w:footnoteReference w:id="2"/>
      </w:r>
      <w:r>
        <w:rPr>
          <w:rFonts w:cs="Arial"/>
        </w:rPr>
        <w:t xml:space="preserve"> br.</w:t>
      </w:r>
      <w:r w:rsidR="007222EA">
        <w:rPr>
          <w:rFonts w:cs="Arial"/>
        </w:rPr>
        <w:t xml:space="preserve"> </w:t>
      </w:r>
      <w:r w:rsidR="00C943D6">
        <w:rPr>
          <w:rFonts w:cs="Arial"/>
        </w:rPr>
        <w:t>wzrost</w:t>
      </w:r>
      <w:r>
        <w:rPr>
          <w:rFonts w:cs="Arial"/>
        </w:rPr>
        <w:t xml:space="preserve"> sprzedaż</w:t>
      </w:r>
      <w:r w:rsidR="007222EA">
        <w:rPr>
          <w:rFonts w:cs="Arial"/>
        </w:rPr>
        <w:t>y</w:t>
      </w:r>
      <w:r>
        <w:rPr>
          <w:rFonts w:cs="Arial"/>
        </w:rPr>
        <w:t xml:space="preserve"> detaliczn</w:t>
      </w:r>
      <w:r w:rsidR="007222EA">
        <w:rPr>
          <w:rFonts w:cs="Arial"/>
        </w:rPr>
        <w:t>ej</w:t>
      </w:r>
      <w:r>
        <w:rPr>
          <w:rFonts w:cs="Arial"/>
        </w:rPr>
        <w:t xml:space="preserve"> w porównaniu z analogicznym okr</w:t>
      </w:r>
      <w:r>
        <w:rPr>
          <w:rFonts w:cs="Arial"/>
        </w:rPr>
        <w:t>e</w:t>
      </w:r>
      <w:r>
        <w:rPr>
          <w:rFonts w:cs="Arial"/>
        </w:rPr>
        <w:t>sem ub. roku</w:t>
      </w:r>
      <w:r w:rsidR="00045FF7">
        <w:rPr>
          <w:rFonts w:cs="Arial"/>
        </w:rPr>
        <w:t xml:space="preserve"> </w:t>
      </w:r>
      <w:r w:rsidR="007222EA">
        <w:rPr>
          <w:rFonts w:cs="Arial"/>
        </w:rPr>
        <w:t>wyniósł 6</w:t>
      </w:r>
      <w:r w:rsidR="00F77676">
        <w:rPr>
          <w:rFonts w:cs="Arial"/>
        </w:rPr>
        <w:t>,</w:t>
      </w:r>
      <w:r w:rsidR="00901860">
        <w:rPr>
          <w:rFonts w:cs="Arial"/>
        </w:rPr>
        <w:t>7</w:t>
      </w:r>
      <w:r w:rsidR="001374BF">
        <w:rPr>
          <w:rFonts w:cs="Arial"/>
        </w:rPr>
        <w:t>%</w:t>
      </w:r>
      <w:r w:rsidR="005E0113">
        <w:rPr>
          <w:rFonts w:cs="Arial"/>
        </w:rPr>
        <w:t xml:space="preserve"> (wobec wzrostu o 6,9</w:t>
      </w:r>
      <w:r w:rsidR="0055439E">
        <w:rPr>
          <w:rFonts w:cs="Arial"/>
        </w:rPr>
        <w:t>%</w:t>
      </w:r>
      <w:r w:rsidR="005E0113">
        <w:rPr>
          <w:rFonts w:cs="Arial"/>
        </w:rPr>
        <w:t xml:space="preserve"> w 2017 r.)</w:t>
      </w:r>
      <w:r w:rsidR="007222EA">
        <w:rPr>
          <w:rFonts w:cs="Arial"/>
        </w:rPr>
        <w:t>.</w:t>
      </w:r>
    </w:p>
    <w:p w:rsidR="00E80C30" w:rsidRDefault="00C943D6" w:rsidP="00957ADF">
      <w:pPr>
        <w:pStyle w:val="tytuwykresu"/>
        <w:rPr>
          <w:shd w:val="clear" w:color="auto" w:fill="FFFFFF"/>
        </w:rPr>
      </w:pPr>
      <w:r w:rsidRPr="0095396F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79D63BBB" wp14:editId="2ABE7656">
            <wp:simplePos x="0" y="0"/>
            <wp:positionH relativeFrom="margin">
              <wp:posOffset>0</wp:posOffset>
            </wp:positionH>
            <wp:positionV relativeFrom="margin">
              <wp:posOffset>4798060</wp:posOffset>
            </wp:positionV>
            <wp:extent cx="5048250" cy="2720975"/>
            <wp:effectExtent l="0" t="0" r="0" b="3175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9C6ACB" w:rsidRPr="0095396F" w:rsidRDefault="009C6ACB" w:rsidP="00957ADF">
      <w:pPr>
        <w:pStyle w:val="tytuwykresu"/>
        <w:jc w:val="center"/>
        <w:rPr>
          <w:rFonts w:asciiTheme="majorHAnsi" w:hAnsiTheme="majorHAnsi"/>
          <w:lang w:eastAsia="pl-PL"/>
        </w:rPr>
      </w:pPr>
    </w:p>
    <w:p w:rsidR="003F3D37" w:rsidRPr="001C3D59" w:rsidRDefault="00A2520C" w:rsidP="003F3D37">
      <w:pPr>
        <w:pStyle w:val="Nagwek1"/>
        <w:rPr>
          <w:rFonts w:cs="Arial"/>
          <w:b/>
        </w:rPr>
      </w:pPr>
      <w:r w:rsidRPr="0088559B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377825</wp:posOffset>
                </wp:positionV>
                <wp:extent cx="1746885" cy="1228725"/>
                <wp:effectExtent l="0" t="0" r="0" b="0"/>
                <wp:wrapTight wrapText="bothSides">
                  <wp:wrapPolygon edited="0">
                    <wp:start x="707" y="0"/>
                    <wp:lineTo x="707" y="21098"/>
                    <wp:lineTo x="20728" y="21098"/>
                    <wp:lineTo x="20728" y="0"/>
                    <wp:lineTo x="707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D37" w:rsidRPr="00074DD8" w:rsidRDefault="00831736" w:rsidP="003F3D37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W okresie styczeń</w:t>
                            </w:r>
                            <w:r>
                              <w:t>-</w:t>
                            </w:r>
                            <w:r w:rsidR="00F563B1">
                              <w:t xml:space="preserve">maj </w:t>
                            </w:r>
                            <w:r>
                              <w:t>2018 r. dynamika sprzedaży detalic</w:t>
                            </w:r>
                            <w:r>
                              <w:t>z</w:t>
                            </w:r>
                            <w:r>
                              <w:t xml:space="preserve">nej </w:t>
                            </w:r>
                            <w:r w:rsidR="005B390A">
                              <w:t xml:space="preserve">(w cenach stałych) </w:t>
                            </w:r>
                            <w:r w:rsidR="00F563B1">
                              <w:t xml:space="preserve">w skali </w:t>
                            </w:r>
                            <w:r w:rsidR="00BA6F2C">
                              <w:t>roku</w:t>
                            </w:r>
                            <w:r w:rsidR="00397EE4">
                              <w:t xml:space="preserve"> </w:t>
                            </w:r>
                            <w:r w:rsidR="00F563B1">
                              <w:t>wyniosła 106,7</w:t>
                            </w:r>
                            <w:r w:rsidR="00397EE4">
                              <w:t xml:space="preserve"> </w:t>
                            </w:r>
                            <w:r w:rsidR="00F563B1">
                              <w:t>i była o</w:t>
                            </w:r>
                            <w:r w:rsidR="00837579">
                              <w:t> </w:t>
                            </w:r>
                            <w:r w:rsidR="00F563B1">
                              <w:t xml:space="preserve">0,2 p. proc. niższa niż </w:t>
                            </w:r>
                            <w:r w:rsidR="00397EE4">
                              <w:t>w</w:t>
                            </w:r>
                            <w:r w:rsidR="00837579">
                              <w:t> </w:t>
                            </w:r>
                            <w:r w:rsidR="00397EE4">
                              <w:t xml:space="preserve">analogicznym okresie ub. roku </w:t>
                            </w:r>
                          </w:p>
                          <w:p w:rsidR="003F3D37" w:rsidRPr="00D616D2" w:rsidRDefault="003F3D37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9" type="#_x0000_t202" style="position:absolute;margin-left:416.25pt;margin-top:29.75pt;width:137.55pt;height:96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" filled="f" stroked="f">
                <v:textbox>
                  <w:txbxContent>
                    <w:p w:rsidR="003F3D37" w:rsidRPr="00074DD8" w:rsidRDefault="00831736" w:rsidP="003F3D37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W okresie styczeń</w:t>
                      </w:r>
                      <w:r>
                        <w:t>-</w:t>
                      </w:r>
                      <w:r w:rsidR="00F563B1">
                        <w:t xml:space="preserve">maj </w:t>
                      </w:r>
                      <w:r>
                        <w:t xml:space="preserve">2018 r. dynamika sprzedaży detalicznej </w:t>
                      </w:r>
                      <w:r w:rsidR="005B390A">
                        <w:t xml:space="preserve">(w cenach stałych) </w:t>
                      </w:r>
                      <w:r w:rsidR="00F563B1">
                        <w:t xml:space="preserve">w skali </w:t>
                      </w:r>
                      <w:r w:rsidR="00BA6F2C">
                        <w:t>roku</w:t>
                      </w:r>
                      <w:r w:rsidR="00397EE4">
                        <w:t xml:space="preserve"> </w:t>
                      </w:r>
                      <w:r w:rsidR="00F563B1">
                        <w:t>wyniosła 106,7</w:t>
                      </w:r>
                      <w:r w:rsidR="00397EE4">
                        <w:t xml:space="preserve"> </w:t>
                      </w:r>
                      <w:r w:rsidR="00F563B1">
                        <w:t>i była o</w:t>
                      </w:r>
                      <w:r w:rsidR="00837579">
                        <w:t> </w:t>
                      </w:r>
                      <w:r w:rsidR="00F563B1">
                        <w:t xml:space="preserve">0,2 p. proc. niższa niż </w:t>
                      </w:r>
                      <w:r w:rsidR="00397EE4">
                        <w:t>w</w:t>
                      </w:r>
                      <w:r w:rsidR="00837579">
                        <w:t> </w:t>
                      </w:r>
                      <w:bookmarkStart w:id="1" w:name="_GoBack"/>
                      <w:bookmarkEnd w:id="1"/>
                      <w:r w:rsidR="00397EE4">
                        <w:t xml:space="preserve">analogicznym okresie ub. roku </w:t>
                      </w:r>
                    </w:p>
                    <w:p w:rsidR="003F3D37" w:rsidRPr="00D616D2" w:rsidRDefault="003F3D37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F3D37" w:rsidRPr="0088559B">
        <w:rPr>
          <w:b/>
          <w:color w:val="auto"/>
        </w:rPr>
        <w:t>Tabela 1. Dynamika</w:t>
      </w:r>
      <w:r w:rsidR="003F3D37" w:rsidRPr="0088559B">
        <w:rPr>
          <w:rFonts w:cs="Arial"/>
          <w:b/>
          <w:color w:val="auto"/>
        </w:rPr>
        <w:t xml:space="preserve"> sprzedaży detalicznej (ceny </w:t>
      </w:r>
      <w:r w:rsidR="00954E87" w:rsidRPr="0088559B">
        <w:rPr>
          <w:rFonts w:cs="Arial"/>
          <w:b/>
          <w:color w:val="auto"/>
        </w:rPr>
        <w:t>stałe</w:t>
      </w:r>
      <w:r w:rsidR="003F3D37" w:rsidRPr="0088559B">
        <w:rPr>
          <w:rFonts w:cs="Arial"/>
          <w:b/>
          <w:color w:val="auto"/>
        </w:rPr>
        <w:t>)</w:t>
      </w:r>
      <w:r w:rsidR="0088559B">
        <w:rPr>
          <w:rFonts w:cs="Arial"/>
          <w:b/>
        </w:rPr>
        <w:t>.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3F3D37" w:rsidRPr="00F156AE" w:rsidTr="000714C9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3F3D37" w:rsidRPr="0095396F" w:rsidTr="000714C9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746B6" w:rsidP="00E0736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V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4A59D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 xml:space="preserve">V 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>2018</w:t>
            </w:r>
          </w:p>
        </w:tc>
      </w:tr>
      <w:tr w:rsidR="003F3D37" w:rsidRPr="0095396F" w:rsidTr="000714C9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F3D37" w:rsidRPr="00F156AE" w:rsidRDefault="003F3D37" w:rsidP="000714C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3F3D37" w:rsidP="004A59D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I</w:t>
            </w:r>
            <w:r w:rsidR="004A59D6">
              <w:rPr>
                <w:rFonts w:cs="Arial"/>
                <w:color w:val="000000"/>
                <w:sz w:val="16"/>
                <w:szCs w:val="16"/>
              </w:rPr>
              <w:t>V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4746B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4A59D6" w:rsidP="002308E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4746B6">
              <w:rPr>
                <w:rFonts w:cs="Arial"/>
                <w:color w:val="000000"/>
                <w:sz w:val="16"/>
                <w:szCs w:val="16"/>
              </w:rPr>
              <w:t>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182766" w:rsidP="00A016A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2B731E" w:rsidP="00D77D4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2A3375" w:rsidP="00EC0E1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106,7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182766" w:rsidP="00A016A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B731E" w:rsidP="00CA091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A3375" w:rsidP="007008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182766" w:rsidP="004358A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B731E" w:rsidP="006E760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A3375" w:rsidP="007008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182766" w:rsidP="000714C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B731E" w:rsidP="001B727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A3375" w:rsidP="0021479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102,4</w:t>
            </w:r>
          </w:p>
        </w:tc>
      </w:tr>
      <w:tr w:rsidR="003F3D37" w:rsidRPr="0095396F" w:rsidTr="00825389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182766" w:rsidP="004358A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B731E" w:rsidP="000714C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A3375" w:rsidP="00CE043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182766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B731E" w:rsidP="00304F7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A3375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182766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B731E" w:rsidP="0049024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A3375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110,8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182766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B731E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A3375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</w:tr>
      <w:tr w:rsidR="003F3D37" w:rsidRPr="0095396F" w:rsidTr="00825389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182766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B731E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2A3375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182766" w:rsidP="002D0EF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2B731E" w:rsidP="00FB7B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2A3375" w:rsidP="005A04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109,9</w:t>
            </w:r>
          </w:p>
        </w:tc>
      </w:tr>
    </w:tbl>
    <w:p w:rsidR="003F3D37" w:rsidRDefault="003F3D37" w:rsidP="003F3D37">
      <w:pPr>
        <w:pStyle w:val="tekstnaniebieskimtle"/>
      </w:pPr>
    </w:p>
    <w:p w:rsidR="003F3D37" w:rsidRDefault="003F3D37" w:rsidP="003F3D37">
      <w:pPr>
        <w:pStyle w:val="tekstnaniebieskimtle"/>
      </w:pPr>
    </w:p>
    <w:p w:rsidR="003F3D37" w:rsidRPr="001C3D59" w:rsidRDefault="003F3D37" w:rsidP="003F3D37">
      <w:pPr>
        <w:pStyle w:val="tytuwykresu"/>
        <w:rPr>
          <w:rFonts w:ascii="Fira Sans SemiBold" w:hAnsi="Fira Sans SemiBold"/>
          <w:color w:val="001D77"/>
          <w:sz w:val="19"/>
          <w:szCs w:val="19"/>
        </w:rPr>
      </w:pPr>
      <w:r w:rsidRPr="0088559B">
        <w:rPr>
          <w:rFonts w:ascii="Fira Sans SemiBold" w:hAnsi="Fira Sans SemiBold"/>
          <w:sz w:val="19"/>
          <w:szCs w:val="19"/>
        </w:rPr>
        <w:t>Tabela 2. Dynamika</w:t>
      </w:r>
      <w:r w:rsidRPr="0088559B">
        <w:rPr>
          <w:rFonts w:ascii="Fira Sans SemiBold" w:hAnsi="Fira Sans SemiBold" w:cs="Arial"/>
          <w:sz w:val="19"/>
          <w:szCs w:val="19"/>
        </w:rPr>
        <w:t xml:space="preserve"> sprzedaży detalicznej (ceny </w:t>
      </w:r>
      <w:r w:rsidR="00954E87" w:rsidRPr="0088559B">
        <w:rPr>
          <w:rFonts w:ascii="Fira Sans SemiBold" w:hAnsi="Fira Sans SemiBold" w:cs="Arial"/>
          <w:sz w:val="19"/>
          <w:szCs w:val="19"/>
        </w:rPr>
        <w:t>bieżące</w:t>
      </w:r>
      <w:r w:rsidRPr="0088559B">
        <w:rPr>
          <w:rFonts w:ascii="Fira Sans SemiBold" w:hAnsi="Fira Sans SemiBold" w:cs="Arial"/>
          <w:sz w:val="19"/>
          <w:szCs w:val="19"/>
        </w:rPr>
        <w:t>).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3F3D37" w:rsidRPr="00F156AE" w:rsidTr="000714C9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3F3D37" w:rsidRPr="0095396F" w:rsidTr="000714C9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846013" w:rsidP="000714C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F3D37" w:rsidRPr="00F156AE" w:rsidRDefault="00AE3402" w:rsidP="003C1F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846013">
              <w:rPr>
                <w:rFonts w:cs="Arial"/>
                <w:color w:val="000000"/>
                <w:sz w:val="16"/>
                <w:szCs w:val="16"/>
              </w:rPr>
              <w:t>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F3D37" w:rsidRPr="0095396F" w:rsidTr="000714C9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3F3D37" w:rsidRPr="00F156AE" w:rsidRDefault="003F3D37" w:rsidP="000714C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3C1FA5" w:rsidP="00AE340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I</w:t>
            </w:r>
            <w:r w:rsidR="00AE3402">
              <w:rPr>
                <w:rFonts w:cs="Arial"/>
                <w:color w:val="000000"/>
                <w:sz w:val="16"/>
                <w:szCs w:val="16"/>
              </w:rPr>
              <w:t>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846013" w:rsidP="0084601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AE3402" w:rsidP="000714C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846013">
              <w:rPr>
                <w:rFonts w:cs="Arial"/>
                <w:color w:val="000000"/>
                <w:sz w:val="16"/>
                <w:szCs w:val="16"/>
              </w:rPr>
              <w:t>V</w:t>
            </w:r>
            <w:r w:rsidR="003F3D37" w:rsidRPr="00F156AE">
              <w:rPr>
                <w:rFonts w:cs="Arial"/>
                <w:color w:val="000000"/>
                <w:sz w:val="16"/>
                <w:szCs w:val="16"/>
              </w:rPr>
              <w:t xml:space="preserve"> 2017=100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C93AF0" w:rsidP="003C319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C93AF0" w:rsidP="00F76F4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3F3D37" w:rsidRPr="00F156AE" w:rsidRDefault="004F7082" w:rsidP="004C751F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107,4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6653DF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F76F4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F7082" w:rsidP="008046D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3424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F76F4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F7082" w:rsidP="00813C0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110,9</w:t>
            </w:r>
          </w:p>
        </w:tc>
      </w:tr>
      <w:tr w:rsidR="003F3D37" w:rsidRPr="0095396F" w:rsidTr="00825389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C57B8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80593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F7082" w:rsidP="00D916C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</w:tr>
      <w:tr w:rsidR="003F3D37" w:rsidRPr="0095396F" w:rsidTr="00825389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C57B8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80593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F7082" w:rsidP="000B044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C57B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80593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F7082" w:rsidP="00AC1D06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112,1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C57B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AD388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F7082" w:rsidP="001F29D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C57B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EB0A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F7082" w:rsidP="001F29D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107,4</w:t>
            </w:r>
          </w:p>
        </w:tc>
      </w:tr>
      <w:tr w:rsidR="003F3D37" w:rsidRPr="0095396F" w:rsidTr="00825389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C57B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C93AF0" w:rsidP="00EB0A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3D37" w:rsidRPr="00F156AE" w:rsidRDefault="004F7082" w:rsidP="001F29D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</w:tr>
      <w:tr w:rsidR="003F3D37" w:rsidRPr="0095396F" w:rsidTr="00825389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F3D37" w:rsidRPr="00F156AE" w:rsidRDefault="003F3D37" w:rsidP="000714C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C93AF0" w:rsidP="00C57B8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C93AF0" w:rsidP="00EB0A8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F3D37" w:rsidRPr="00F156AE" w:rsidRDefault="004F7082" w:rsidP="001F29D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110,4</w:t>
            </w:r>
          </w:p>
        </w:tc>
      </w:tr>
    </w:tbl>
    <w:p w:rsidR="003F3D37" w:rsidRDefault="003F3D37" w:rsidP="003F3D37">
      <w:pPr>
        <w:pStyle w:val="tytuwykresu"/>
      </w:pPr>
    </w:p>
    <w:p w:rsidR="003F3D37" w:rsidRDefault="003F3D37" w:rsidP="003F3D37">
      <w:pPr>
        <w:pStyle w:val="tytuwykresu"/>
      </w:pPr>
    </w:p>
    <w:p w:rsidR="00490822" w:rsidRDefault="00490822" w:rsidP="00B25EE8">
      <w:pPr>
        <w:pStyle w:val="tytuwykresu"/>
      </w:pPr>
    </w:p>
    <w:p w:rsidR="00B25EE8" w:rsidRDefault="003F3D37" w:rsidP="00B25EE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443509</wp:posOffset>
            </wp:positionV>
            <wp:extent cx="5127625" cy="3269615"/>
            <wp:effectExtent l="0" t="0" r="0" b="698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B25EE8" w:rsidRPr="00B5309C">
        <w:t xml:space="preserve">Wykres </w:t>
      </w:r>
      <w:r w:rsidR="00B25EE8">
        <w:t>2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</w:t>
      </w:r>
      <w:r w:rsidR="00B25EE8">
        <w:rPr>
          <w:shd w:val="clear" w:color="auto" w:fill="FFFFFF"/>
        </w:rPr>
        <w:t xml:space="preserve">w </w:t>
      </w:r>
      <w:r w:rsidR="00C9245F">
        <w:rPr>
          <w:shd w:val="clear" w:color="auto" w:fill="FFFFFF"/>
        </w:rPr>
        <w:t>maju</w:t>
      </w:r>
      <w:r w:rsidR="00B25EE8">
        <w:rPr>
          <w:shd w:val="clear" w:color="auto" w:fill="FFFFFF"/>
        </w:rPr>
        <w:t xml:space="preserve"> 2018 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iębio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="00B25EE8" w:rsidRPr="00B5309C">
        <w:rPr>
          <w:shd w:val="clear" w:color="auto" w:fill="FFFFFF"/>
        </w:rPr>
        <w:t>ceny stałe) – analogiczny okres roku poprzedniego</w:t>
      </w:r>
      <w:r w:rsidR="00B25EE8">
        <w:rPr>
          <w:shd w:val="clear" w:color="auto" w:fill="FFFFFF"/>
        </w:rPr>
        <w:t>=100</w:t>
      </w:r>
    </w:p>
    <w:p w:rsidR="00E80C30" w:rsidRDefault="00E80C30" w:rsidP="00B25EE8">
      <w:pPr>
        <w:pStyle w:val="tytuwykresu"/>
        <w:rPr>
          <w:rFonts w:asciiTheme="majorHAnsi" w:hAnsiTheme="majorHAnsi"/>
          <w:shd w:val="clear" w:color="auto" w:fill="FFFFFF"/>
        </w:rPr>
      </w:pPr>
    </w:p>
    <w:p w:rsidR="00C20E37" w:rsidRPr="00964F10" w:rsidRDefault="00A2520C" w:rsidP="00C20E37">
      <w:pPr>
        <w:spacing w:before="240" w:line="259" w:lineRule="auto"/>
        <w:rPr>
          <w:rFonts w:cs="Arial"/>
          <w:b/>
          <w:color w:val="002060"/>
          <w:szCs w:val="19"/>
        </w:rPr>
      </w:pPr>
      <w:r>
        <w:rPr>
          <w:rFonts w:asciiTheme="majorHAnsi" w:hAnsiTheme="majorHAnsi"/>
          <w:b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5277917</wp:posOffset>
                </wp:positionH>
                <wp:positionV relativeFrom="paragraph">
                  <wp:posOffset>191465</wp:posOffset>
                </wp:positionV>
                <wp:extent cx="1770278" cy="91440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278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Default="00431F5B" w:rsidP="00C20E37">
                            <w:pPr>
                              <w:pStyle w:val="tytuwykresu"/>
                            </w:pPr>
                            <w:r w:rsidRPr="00E31581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102BA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F14B02">
                              <w:rPr>
                                <w:b w:val="0"/>
                                <w:color w:val="001D77"/>
                              </w:rPr>
                              <w:t xml:space="preserve">maju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2018 r. odnotowano </w:t>
                            </w:r>
                            <w:r w:rsidR="00F14B02">
                              <w:rPr>
                                <w:b w:val="0"/>
                                <w:color w:val="001D77"/>
                              </w:rPr>
                              <w:t xml:space="preserve">wzrost 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BC4DBC">
                              <w:rPr>
                                <w:b w:val="0"/>
                                <w:color w:val="001D77"/>
                              </w:rPr>
                              <w:t xml:space="preserve"> 1,</w:t>
                            </w:r>
                            <w:r w:rsidR="00F14B02">
                              <w:rPr>
                                <w:b w:val="0"/>
                                <w:color w:val="001D77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% </w:t>
                            </w:r>
                            <w:r w:rsidRPr="00E31581">
                              <w:rPr>
                                <w:b w:val="0"/>
                                <w:color w:val="001D77"/>
                              </w:rPr>
                              <w:t>w po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równaniu z</w:t>
                            </w:r>
                            <w:r w:rsidR="00B102BA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F14B02">
                              <w:rPr>
                                <w:b w:val="0"/>
                                <w:color w:val="001D77"/>
                              </w:rPr>
                              <w:t xml:space="preserve">kwietniem </w:t>
                            </w:r>
                            <w:r w:rsidR="00CA0156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415.6pt;margin-top:15.1pt;width:139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" filled="f" stroked="f">
                <v:textbox>
                  <w:txbxContent>
                    <w:p w:rsidR="00431F5B" w:rsidRDefault="00431F5B" w:rsidP="00C20E37">
                      <w:pPr>
                        <w:pStyle w:val="tytuwykresu"/>
                      </w:pPr>
                      <w:r w:rsidRPr="00E31581">
                        <w:rPr>
                          <w:b w:val="0"/>
                          <w:color w:val="001D77"/>
                        </w:rPr>
                        <w:t>W</w:t>
                      </w:r>
                      <w:r w:rsidR="00B102BA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F14B02">
                        <w:rPr>
                          <w:b w:val="0"/>
                          <w:color w:val="001D77"/>
                        </w:rPr>
                        <w:t xml:space="preserve">maju </w:t>
                      </w:r>
                      <w:r>
                        <w:rPr>
                          <w:b w:val="0"/>
                          <w:color w:val="001D77"/>
                        </w:rPr>
                        <w:t xml:space="preserve">2018 r. odnotowano </w:t>
                      </w:r>
                      <w:r w:rsidR="00F14B02">
                        <w:rPr>
                          <w:b w:val="0"/>
                          <w:color w:val="001D77"/>
                        </w:rPr>
                        <w:t xml:space="preserve">wzrost </w:t>
                      </w:r>
                      <w:r w:rsidRPr="00E31581">
                        <w:rPr>
                          <w:b w:val="0"/>
                          <w:color w:val="001D77"/>
                        </w:rPr>
                        <w:t>sprzedaż</w:t>
                      </w:r>
                      <w:r>
                        <w:rPr>
                          <w:b w:val="0"/>
                          <w:color w:val="001D77"/>
                        </w:rPr>
                        <w:t>y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>
                        <w:rPr>
                          <w:b w:val="0"/>
                          <w:color w:val="001D77"/>
                        </w:rPr>
                        <w:t>ej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>
                        <w:rPr>
                          <w:b w:val="0"/>
                          <w:color w:val="001D77"/>
                        </w:rPr>
                        <w:t>ej</w:t>
                      </w:r>
                      <w:r w:rsidRPr="00E31581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>
                        <w:rPr>
                          <w:b w:val="0"/>
                          <w:color w:val="001D77"/>
                        </w:rPr>
                        <w:t>o</w:t>
                      </w:r>
                      <w:r w:rsidR="00BC4DBC">
                        <w:rPr>
                          <w:b w:val="0"/>
                          <w:color w:val="001D77"/>
                        </w:rPr>
                        <w:t xml:space="preserve"> 1,</w:t>
                      </w:r>
                      <w:r w:rsidR="00F14B02">
                        <w:rPr>
                          <w:b w:val="0"/>
                          <w:color w:val="001D77"/>
                        </w:rPr>
                        <w:t>1</w:t>
                      </w:r>
                      <w:r>
                        <w:rPr>
                          <w:b w:val="0"/>
                          <w:color w:val="001D77"/>
                        </w:rPr>
                        <w:t xml:space="preserve">% </w:t>
                      </w:r>
                      <w:r w:rsidRPr="00E31581">
                        <w:rPr>
                          <w:b w:val="0"/>
                          <w:color w:val="001D77"/>
                        </w:rPr>
                        <w:t>w po</w:t>
                      </w:r>
                      <w:r>
                        <w:rPr>
                          <w:b w:val="0"/>
                          <w:color w:val="001D77"/>
                        </w:rPr>
                        <w:t>równaniu z</w:t>
                      </w:r>
                      <w:r w:rsidR="00B102BA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F14B02">
                        <w:rPr>
                          <w:b w:val="0"/>
                          <w:color w:val="001D77"/>
                        </w:rPr>
                        <w:t xml:space="preserve">kwietniem </w:t>
                      </w:r>
                      <w:bookmarkStart w:id="1" w:name="_GoBack"/>
                      <w:bookmarkEnd w:id="1"/>
                      <w:r w:rsidR="00CA0156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</v:shape>
            </w:pict>
          </mc:Fallback>
        </mc:AlternateContent>
      </w:r>
      <w:r w:rsidR="00C20E37" w:rsidRPr="00964F10">
        <w:rPr>
          <w:rFonts w:cs="Arial"/>
          <w:b/>
          <w:color w:val="002060"/>
          <w:szCs w:val="19"/>
        </w:rPr>
        <w:t>Sprzedaż detaliczna wyrównana sezonowo</w:t>
      </w:r>
    </w:p>
    <w:p w:rsidR="000144A9" w:rsidRPr="003D7F37" w:rsidRDefault="000144A9" w:rsidP="000144A9">
      <w:pPr>
        <w:pStyle w:val="tytuwykresu"/>
        <w:spacing w:before="0" w:after="0"/>
        <w:rPr>
          <w:b w:val="0"/>
          <w:sz w:val="19"/>
          <w:szCs w:val="19"/>
          <w:shd w:val="clear" w:color="auto" w:fill="FFFFFF"/>
        </w:rPr>
      </w:pPr>
      <w:r w:rsidRPr="003D7F37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F14B02">
        <w:rPr>
          <w:rFonts w:cs="Arial"/>
          <w:b w:val="0"/>
          <w:sz w:val="19"/>
          <w:szCs w:val="19"/>
        </w:rPr>
        <w:t xml:space="preserve">maju </w:t>
      </w:r>
      <w:r w:rsidR="00EC3EA3">
        <w:rPr>
          <w:rFonts w:cs="Arial"/>
          <w:b w:val="0"/>
          <w:sz w:val="19"/>
          <w:szCs w:val="19"/>
        </w:rPr>
        <w:t>b</w:t>
      </w:r>
      <w:r>
        <w:rPr>
          <w:rFonts w:cs="Arial"/>
          <w:b w:val="0"/>
          <w:sz w:val="19"/>
          <w:szCs w:val="19"/>
        </w:rPr>
        <w:t xml:space="preserve">r. </w:t>
      </w:r>
      <w:r w:rsidR="00A1582C">
        <w:rPr>
          <w:rFonts w:cs="Arial"/>
          <w:b w:val="0"/>
          <w:sz w:val="19"/>
          <w:szCs w:val="19"/>
        </w:rPr>
        <w:t xml:space="preserve">była </w:t>
      </w:r>
      <w:r w:rsidRPr="003D7F37">
        <w:rPr>
          <w:rFonts w:cs="Arial"/>
          <w:b w:val="0"/>
          <w:sz w:val="19"/>
          <w:szCs w:val="19"/>
        </w:rPr>
        <w:t xml:space="preserve">o </w:t>
      </w:r>
      <w:r w:rsidR="00BC4DBC">
        <w:rPr>
          <w:rFonts w:cs="Arial"/>
          <w:b w:val="0"/>
          <w:sz w:val="19"/>
          <w:szCs w:val="19"/>
        </w:rPr>
        <w:t>1,</w:t>
      </w:r>
      <w:r w:rsidR="00F14B02">
        <w:rPr>
          <w:rFonts w:cs="Arial"/>
          <w:b w:val="0"/>
          <w:sz w:val="19"/>
          <w:szCs w:val="19"/>
        </w:rPr>
        <w:t>1</w:t>
      </w:r>
      <w:r w:rsidR="00BC4DBC" w:rsidRPr="00BC4DBC">
        <w:rPr>
          <w:rFonts w:cs="Arial"/>
          <w:b w:val="0"/>
          <w:sz w:val="19"/>
          <w:szCs w:val="19"/>
        </w:rPr>
        <w:t>%</w:t>
      </w:r>
      <w:r w:rsidRPr="00B102BA">
        <w:rPr>
          <w:rFonts w:cs="Arial"/>
          <w:b w:val="0"/>
          <w:color w:val="FF0000"/>
          <w:sz w:val="19"/>
          <w:szCs w:val="19"/>
        </w:rPr>
        <w:t xml:space="preserve"> </w:t>
      </w:r>
      <w:r w:rsidR="00F14B02" w:rsidRPr="00F14B02">
        <w:rPr>
          <w:rFonts w:cs="Arial"/>
          <w:b w:val="0"/>
          <w:sz w:val="19"/>
          <w:szCs w:val="19"/>
        </w:rPr>
        <w:t xml:space="preserve">wyższa </w:t>
      </w:r>
      <w:r w:rsidRPr="003D7F37">
        <w:rPr>
          <w:rFonts w:cs="Arial"/>
          <w:b w:val="0"/>
          <w:sz w:val="19"/>
          <w:szCs w:val="19"/>
        </w:rPr>
        <w:t>w porównaniu z poprzednim miesiącem</w:t>
      </w:r>
      <w:r>
        <w:rPr>
          <w:rFonts w:cs="Arial"/>
          <w:b w:val="0"/>
          <w:sz w:val="19"/>
          <w:szCs w:val="19"/>
        </w:rPr>
        <w:t>.</w:t>
      </w:r>
    </w:p>
    <w:p w:rsidR="000144A9" w:rsidRDefault="000144A9" w:rsidP="00B25EE8">
      <w:pPr>
        <w:pStyle w:val="tytuwykresu"/>
        <w:rPr>
          <w:shd w:val="clear" w:color="auto" w:fill="FFFFFF"/>
        </w:rPr>
      </w:pPr>
    </w:p>
    <w:p w:rsidR="00E80C30" w:rsidRPr="003D7F37" w:rsidRDefault="00E80C30" w:rsidP="00B25EE8">
      <w:pPr>
        <w:pStyle w:val="tytuwykresu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 w:rsidR="00976445"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Sprzedaż detaliczna</w:t>
      </w:r>
      <w:r w:rsidR="00375B9E"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 w:rsidR="00375B9E"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 w:rsidR="00375B9E">
        <w:rPr>
          <w:shd w:val="clear" w:color="auto" w:fill="FFFFFF"/>
        </w:rPr>
        <w:t>e)</w:t>
      </w:r>
      <w:r w:rsidR="00081C7F">
        <w:rPr>
          <w:shd w:val="clear" w:color="auto" w:fill="FFFFFF"/>
        </w:rPr>
        <w:t xml:space="preserve"> – </w:t>
      </w:r>
      <w:r w:rsidRPr="003D7F37">
        <w:rPr>
          <w:shd w:val="clear" w:color="auto" w:fill="FFFFFF"/>
        </w:rPr>
        <w:t>przeciętna miesięczna 2015=100</w:t>
      </w:r>
    </w:p>
    <w:p w:rsidR="00E80C30" w:rsidRDefault="003F3D37" w:rsidP="00B25EE8">
      <w:pPr>
        <w:pStyle w:val="tytuwykresu"/>
        <w:rPr>
          <w:rFonts w:asciiTheme="majorHAnsi" w:hAnsiTheme="majorHAnsi"/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5508625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6A5E06">
        <w:rPr>
          <w:rFonts w:asciiTheme="majorHAnsi" w:hAnsiTheme="majorHAnsi"/>
          <w:noProof/>
          <w:lang w:eastAsia="pl-PL"/>
        </w:rPr>
        <w:t xml:space="preserve"> </w:t>
      </w:r>
    </w:p>
    <w:p w:rsidR="001267F4" w:rsidRDefault="001267F4" w:rsidP="00B25EE8">
      <w:pPr>
        <w:pStyle w:val="tytuwykresu"/>
        <w:rPr>
          <w:rFonts w:asciiTheme="majorHAnsi" w:hAnsiTheme="majorHAnsi"/>
          <w:noProof/>
          <w:lang w:eastAsia="pl-PL"/>
        </w:rPr>
      </w:pPr>
    </w:p>
    <w:p w:rsidR="005B23AA" w:rsidRDefault="005B23AA" w:rsidP="00B25EE8">
      <w:pPr>
        <w:pStyle w:val="tytuwykresu"/>
        <w:rPr>
          <w:rFonts w:asciiTheme="majorHAnsi" w:hAnsiTheme="majorHAnsi"/>
          <w:noProof/>
          <w:lang w:eastAsia="pl-PL"/>
        </w:rPr>
      </w:pPr>
    </w:p>
    <w:p w:rsidR="00B25EE8" w:rsidRPr="00EA46AB" w:rsidRDefault="00B25EE8" w:rsidP="00B25EE8">
      <w:pPr>
        <w:jc w:val="both"/>
        <w:rPr>
          <w:sz w:val="16"/>
          <w:szCs w:val="16"/>
        </w:rPr>
        <w:sectPr w:rsidR="00B25EE8" w:rsidRPr="00EA46AB" w:rsidSect="001448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0470AA" w:rsidRPr="005170C9" w:rsidTr="00E23337">
        <w:trPr>
          <w:trHeight w:val="1912"/>
        </w:trPr>
        <w:tc>
          <w:tcPr>
            <w:tcW w:w="4379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Opracowanie merytoryczne:</w:t>
            </w:r>
          </w:p>
          <w:p w:rsidR="000470AA" w:rsidRPr="0095396F" w:rsidRDefault="000470A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901D58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1" w:history="1">
              <w:r w:rsidR="00017FFE" w:rsidRPr="00901D58">
                <w:rPr>
                  <w:rStyle w:val="Hipercze"/>
                  <w:rFonts w:cstheme="majorBidi"/>
                  <w:lang w:val="de-AT"/>
                </w:rPr>
                <w:t>j</w:t>
              </w:r>
              <w:r w:rsidR="00017FFE" w:rsidRPr="00901D58">
                <w:rPr>
                  <w:rStyle w:val="Hipercze"/>
                  <w:rFonts w:cs="Arial"/>
                  <w:b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Rozpowszechnianie:</w:t>
            </w: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br/>
            </w: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95396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e-mail: </w:t>
            </w:r>
            <w:hyperlink r:id="rId22" w:history="1">
              <w:r w:rsidRPr="00901D5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tel.: </w:t>
            </w:r>
            <w:r w:rsidRPr="0095396F">
              <w:rPr>
                <w:rFonts w:asciiTheme="majorHAnsi" w:hAnsiTheme="majorHAnsi"/>
                <w:sz w:val="20"/>
              </w:rPr>
              <w:t xml:space="preserve">(+48 22) 608 34 91, (+48 22)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20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faks: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(+48 22) 608 38 86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e-mail:</w:t>
            </w:r>
            <w:r w:rsidRPr="00901D58">
              <w:rPr>
                <w:rFonts w:asciiTheme="majorHAnsi" w:hAnsiTheme="majorHAnsi"/>
                <w:sz w:val="20"/>
                <w:lang w:val="de-AT"/>
              </w:rPr>
              <w:t xml:space="preserve"> </w:t>
            </w:r>
            <w:hyperlink r:id="rId23" w:history="1">
              <w:r w:rsidRPr="00901D58">
                <w:rPr>
                  <w:rStyle w:val="Hipercze"/>
                  <w:rFonts w:asciiTheme="majorHAnsi" w:hAnsiTheme="majorHAnsi" w:cstheme="minorBidi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@GlownyUrzadStatystyczny</w:t>
            </w:r>
          </w:p>
        </w:tc>
      </w:tr>
    </w:tbl>
    <w:p w:rsidR="00D261A2" w:rsidRPr="0095396F" w:rsidRDefault="00A2520C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</w:rPr>
                            </w:pPr>
                            <w:r>
                              <w:fldChar w:fldCharType="begin"/>
                            </w:r>
                            <w:r w:rsidR="00431F5B">
                              <w:instrText xml:space="preserve"> HYPERLINK "http://stat.gov.pl/obszary-tematyczne/ceny-handel/handel/rynek-wewnetrzny-w-2016-r-,7,22.html" </w:instrText>
                            </w:r>
                            <w: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</w:rPr>
                              <w:t>Rynek wewnętrzny w 2016 r.</w:t>
                            </w:r>
                          </w:p>
                          <w:p w:rsidR="00431F5B" w:rsidRPr="000B6DA7" w:rsidRDefault="001A4D4B" w:rsidP="00AB6D25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  <w:r>
                              <w:fldChar w:fldCharType="end"/>
                            </w: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"http://swaid.stat.gov.pl/SitePagesDBW/HandelUslugi.aspx"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431F5B" w:rsidRPr="000B6DA7" w:rsidRDefault="001A4D4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1267F4" w:rsidRDefault="001A4D4B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begin"/>
                            </w:r>
                            <w:r w:rsidR="00431F5B">
                              <w:rPr>
                                <w:szCs w:val="24"/>
                              </w:rPr>
                              <w:instrText xml:space="preserve"> HYPERLINK "http://stat.gov.pl/metainformacje/slownik-pojec/pojecia-stosowane-w-statystyce-publicznej/473,pojecie.html" </w:instrText>
                            </w:r>
                            <w:r>
                              <w:rPr>
                                <w:szCs w:val="24"/>
                              </w:rPr>
                              <w:fldChar w:fldCharType="separate"/>
                            </w:r>
                            <w:r w:rsidR="00431F5B" w:rsidRPr="001267F4"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1A4D4B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>
                              <w:rPr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.5pt;margin-top:33.5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hLsEC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</w:rPr>
                      </w:pPr>
                      <w:r>
                        <w:fldChar w:fldCharType="begin"/>
                      </w:r>
                      <w:r w:rsidR="00431F5B">
                        <w:instrText xml:space="preserve"> HYPERLINK "http://stat.gov.pl/obszary-tematyczne/ceny-handel/handel/rynek-wewnetrzny-w-2016-r-,7,22.html" </w:instrText>
                      </w:r>
                      <w: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</w:rPr>
                        <w:t>Rynek wewnętrzny w 2016 r.</w:t>
                      </w:r>
                    </w:p>
                    <w:p w:rsidR="00431F5B" w:rsidRPr="000B6DA7" w:rsidRDefault="001A4D4B" w:rsidP="00AB6D25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  <w:r>
                        <w:fldChar w:fldCharType="end"/>
                      </w:r>
                    </w:p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"http://swaid.stat.gov.pl/SitePagesDBW/HandelUslugi.aspx"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Dziedzinowa Baza Wiedzy-Handel I Usługi</w:t>
                      </w:r>
                    </w:p>
                    <w:p w:rsidR="00431F5B" w:rsidRPr="000B6DA7" w:rsidRDefault="001A4D4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1267F4" w:rsidRDefault="001A4D4B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fldChar w:fldCharType="begin"/>
                      </w:r>
                      <w:r w:rsidR="00431F5B">
                        <w:rPr>
                          <w:szCs w:val="24"/>
                        </w:rPr>
                        <w:instrText xml:space="preserve"> HYPERLINK "http://stat.gov.pl/metainformacje/slownik-pojec/pojecia-stosowane-w-statystyce-publicznej/473,pojecie.html" </w:instrText>
                      </w:r>
                      <w:r>
                        <w:rPr>
                          <w:szCs w:val="24"/>
                        </w:rPr>
                        <w:fldChar w:fldCharType="separate"/>
                      </w:r>
                      <w:r w:rsidR="00431F5B" w:rsidRPr="001267F4">
                        <w:rPr>
                          <w:rStyle w:val="Hipercze"/>
                          <w:rFonts w:cstheme="minorBidi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1A4D4B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>
                        <w:rPr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4A" w:rsidRDefault="00E00C4A" w:rsidP="000662E2">
      <w:pPr>
        <w:spacing w:after="0" w:line="240" w:lineRule="auto"/>
      </w:pPr>
      <w:r>
        <w:separator/>
      </w:r>
    </w:p>
  </w:endnote>
  <w:endnote w:type="continuationSeparator" w:id="0">
    <w:p w:rsidR="00E00C4A" w:rsidRDefault="00E00C4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1A4D4B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645C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1A4D4B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645C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4A" w:rsidRDefault="00E00C4A" w:rsidP="000662E2">
      <w:pPr>
        <w:spacing w:after="0" w:line="240" w:lineRule="auto"/>
      </w:pPr>
      <w:r>
        <w:separator/>
      </w:r>
    </w:p>
  </w:footnote>
  <w:footnote w:type="continuationSeparator" w:id="0">
    <w:p w:rsidR="00E00C4A" w:rsidRDefault="00E00C4A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</w:t>
      </w:r>
      <w:r w:rsidRPr="00EA46AB">
        <w:rPr>
          <w:sz w:val="16"/>
          <w:szCs w:val="16"/>
        </w:rPr>
        <w:t>a</w:t>
      </w:r>
      <w:r w:rsidRPr="00EA46AB">
        <w:rPr>
          <w:sz w:val="16"/>
          <w:szCs w:val="16"/>
        </w:rPr>
        <w:t>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C90628" w:rsidRDefault="00C90628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90628">
        <w:rPr>
          <w:sz w:val="16"/>
          <w:szCs w:val="16"/>
        </w:rPr>
        <w:t>W danych narastających uwzględniono korekty dokonane przez jednostki sprawozdawcze</w:t>
      </w:r>
      <w:r w:rsidR="00E343D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F5B" w:rsidRDefault="00A2520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7F106D9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F5B" w:rsidRDefault="0088559B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FB001C0" wp14:editId="5E40073B">
          <wp:extent cx="2286000" cy="742950"/>
          <wp:effectExtent l="0" t="0" r="0" b="0"/>
          <wp:docPr id="14" name="Obraz 1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20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2520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1A71BE4" id="Prostokąt 10" o:spid="_x0000_s1026" style="position:absolute;margin-left:410.95pt;margin-top:40.3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  <w:p w:rsidR="00431F5B" w:rsidRDefault="00A2520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431F5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948AE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A948AE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431F5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948AE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A948AE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44A9"/>
    <w:rsid w:val="00014BC5"/>
    <w:rsid w:val="000152F5"/>
    <w:rsid w:val="00017FFE"/>
    <w:rsid w:val="00023A16"/>
    <w:rsid w:val="00024A57"/>
    <w:rsid w:val="00027951"/>
    <w:rsid w:val="00030E7A"/>
    <w:rsid w:val="000361A2"/>
    <w:rsid w:val="00036905"/>
    <w:rsid w:val="000419AC"/>
    <w:rsid w:val="00041A97"/>
    <w:rsid w:val="0004582E"/>
    <w:rsid w:val="00045FF7"/>
    <w:rsid w:val="00046397"/>
    <w:rsid w:val="000470AA"/>
    <w:rsid w:val="00053DD8"/>
    <w:rsid w:val="00057CA1"/>
    <w:rsid w:val="000662E2"/>
    <w:rsid w:val="00066883"/>
    <w:rsid w:val="00074DD8"/>
    <w:rsid w:val="00080236"/>
    <w:rsid w:val="000806F7"/>
    <w:rsid w:val="00081C7F"/>
    <w:rsid w:val="0008767F"/>
    <w:rsid w:val="000B0442"/>
    <w:rsid w:val="000B0727"/>
    <w:rsid w:val="000B62AD"/>
    <w:rsid w:val="000B6DA7"/>
    <w:rsid w:val="000C135D"/>
    <w:rsid w:val="000C4971"/>
    <w:rsid w:val="000C62BC"/>
    <w:rsid w:val="000D1D43"/>
    <w:rsid w:val="000D225C"/>
    <w:rsid w:val="000D2A5C"/>
    <w:rsid w:val="000E0918"/>
    <w:rsid w:val="000F6856"/>
    <w:rsid w:val="001011C3"/>
    <w:rsid w:val="00104902"/>
    <w:rsid w:val="00110D87"/>
    <w:rsid w:val="001119E5"/>
    <w:rsid w:val="00114DB9"/>
    <w:rsid w:val="00116087"/>
    <w:rsid w:val="001267F4"/>
    <w:rsid w:val="00130296"/>
    <w:rsid w:val="00135671"/>
    <w:rsid w:val="001374BF"/>
    <w:rsid w:val="001405BA"/>
    <w:rsid w:val="001423B6"/>
    <w:rsid w:val="001448A7"/>
    <w:rsid w:val="00146621"/>
    <w:rsid w:val="00152273"/>
    <w:rsid w:val="00162325"/>
    <w:rsid w:val="001628ED"/>
    <w:rsid w:val="00162EE7"/>
    <w:rsid w:val="00170EBA"/>
    <w:rsid w:val="00176A3D"/>
    <w:rsid w:val="001815B0"/>
    <w:rsid w:val="00182766"/>
    <w:rsid w:val="00186C26"/>
    <w:rsid w:val="00191512"/>
    <w:rsid w:val="00191E3E"/>
    <w:rsid w:val="001951DA"/>
    <w:rsid w:val="0019732B"/>
    <w:rsid w:val="001A2C7F"/>
    <w:rsid w:val="001A480D"/>
    <w:rsid w:val="001A4D4B"/>
    <w:rsid w:val="001A7C31"/>
    <w:rsid w:val="001B4A82"/>
    <w:rsid w:val="001B4D4D"/>
    <w:rsid w:val="001B727B"/>
    <w:rsid w:val="001C00D5"/>
    <w:rsid w:val="001C3269"/>
    <w:rsid w:val="001C40BE"/>
    <w:rsid w:val="001C5DE2"/>
    <w:rsid w:val="001C6976"/>
    <w:rsid w:val="001D1DB4"/>
    <w:rsid w:val="001D3DD3"/>
    <w:rsid w:val="001D76C2"/>
    <w:rsid w:val="001D7E97"/>
    <w:rsid w:val="001E059C"/>
    <w:rsid w:val="001E6704"/>
    <w:rsid w:val="001F1577"/>
    <w:rsid w:val="001F29DE"/>
    <w:rsid w:val="001F43F9"/>
    <w:rsid w:val="001F67FE"/>
    <w:rsid w:val="00205C7E"/>
    <w:rsid w:val="00205CC3"/>
    <w:rsid w:val="00214797"/>
    <w:rsid w:val="0022081C"/>
    <w:rsid w:val="0022580C"/>
    <w:rsid w:val="002308E2"/>
    <w:rsid w:val="002409A5"/>
    <w:rsid w:val="00247BF8"/>
    <w:rsid w:val="00247E0C"/>
    <w:rsid w:val="0025043C"/>
    <w:rsid w:val="00251AE8"/>
    <w:rsid w:val="0025463B"/>
    <w:rsid w:val="002574F9"/>
    <w:rsid w:val="00261B5D"/>
    <w:rsid w:val="00263223"/>
    <w:rsid w:val="0027555D"/>
    <w:rsid w:val="00276811"/>
    <w:rsid w:val="00282699"/>
    <w:rsid w:val="00287CE2"/>
    <w:rsid w:val="002926DF"/>
    <w:rsid w:val="002947BF"/>
    <w:rsid w:val="00296697"/>
    <w:rsid w:val="002A3375"/>
    <w:rsid w:val="002A6115"/>
    <w:rsid w:val="002B0472"/>
    <w:rsid w:val="002B2088"/>
    <w:rsid w:val="002B5380"/>
    <w:rsid w:val="002B6B12"/>
    <w:rsid w:val="002B731E"/>
    <w:rsid w:val="002C0E78"/>
    <w:rsid w:val="002D0EFC"/>
    <w:rsid w:val="002D12AB"/>
    <w:rsid w:val="002D2D15"/>
    <w:rsid w:val="002E34A6"/>
    <w:rsid w:val="002E6140"/>
    <w:rsid w:val="002E6985"/>
    <w:rsid w:val="002E71B6"/>
    <w:rsid w:val="002F77C8"/>
    <w:rsid w:val="00300D95"/>
    <w:rsid w:val="003045F1"/>
    <w:rsid w:val="00304994"/>
    <w:rsid w:val="00304F22"/>
    <w:rsid w:val="00304F73"/>
    <w:rsid w:val="00306C7C"/>
    <w:rsid w:val="0031243A"/>
    <w:rsid w:val="00312BC1"/>
    <w:rsid w:val="003140EB"/>
    <w:rsid w:val="003154FE"/>
    <w:rsid w:val="00320FEE"/>
    <w:rsid w:val="00322EDD"/>
    <w:rsid w:val="00330A52"/>
    <w:rsid w:val="00332320"/>
    <w:rsid w:val="00336650"/>
    <w:rsid w:val="00341A36"/>
    <w:rsid w:val="00342484"/>
    <w:rsid w:val="0034354B"/>
    <w:rsid w:val="00347D72"/>
    <w:rsid w:val="0035675F"/>
    <w:rsid w:val="00357611"/>
    <w:rsid w:val="00367237"/>
    <w:rsid w:val="0037077F"/>
    <w:rsid w:val="003717FF"/>
    <w:rsid w:val="00373882"/>
    <w:rsid w:val="00374327"/>
    <w:rsid w:val="00375B9E"/>
    <w:rsid w:val="00381472"/>
    <w:rsid w:val="003843DB"/>
    <w:rsid w:val="00384426"/>
    <w:rsid w:val="00390102"/>
    <w:rsid w:val="00393761"/>
    <w:rsid w:val="00397D18"/>
    <w:rsid w:val="00397EE4"/>
    <w:rsid w:val="003A1B36"/>
    <w:rsid w:val="003B1454"/>
    <w:rsid w:val="003B348B"/>
    <w:rsid w:val="003B4DDA"/>
    <w:rsid w:val="003C1FA5"/>
    <w:rsid w:val="003C2CAA"/>
    <w:rsid w:val="003C319C"/>
    <w:rsid w:val="003C5768"/>
    <w:rsid w:val="003C59E0"/>
    <w:rsid w:val="003C5E6A"/>
    <w:rsid w:val="003C6C8D"/>
    <w:rsid w:val="003C7234"/>
    <w:rsid w:val="003D4F95"/>
    <w:rsid w:val="003D5F42"/>
    <w:rsid w:val="003D60A9"/>
    <w:rsid w:val="003D7F37"/>
    <w:rsid w:val="003E543E"/>
    <w:rsid w:val="003F025A"/>
    <w:rsid w:val="003F0625"/>
    <w:rsid w:val="003F3D37"/>
    <w:rsid w:val="003F4C97"/>
    <w:rsid w:val="003F7FE6"/>
    <w:rsid w:val="00400193"/>
    <w:rsid w:val="00415861"/>
    <w:rsid w:val="00416D57"/>
    <w:rsid w:val="0041734F"/>
    <w:rsid w:val="004212E7"/>
    <w:rsid w:val="0042446D"/>
    <w:rsid w:val="00427910"/>
    <w:rsid w:val="00427BF8"/>
    <w:rsid w:val="00431C02"/>
    <w:rsid w:val="00431F5B"/>
    <w:rsid w:val="004358A9"/>
    <w:rsid w:val="00437395"/>
    <w:rsid w:val="00445047"/>
    <w:rsid w:val="004571AA"/>
    <w:rsid w:val="00463E39"/>
    <w:rsid w:val="00464756"/>
    <w:rsid w:val="004657FC"/>
    <w:rsid w:val="004733F6"/>
    <w:rsid w:val="004746B6"/>
    <w:rsid w:val="00474E69"/>
    <w:rsid w:val="00475C07"/>
    <w:rsid w:val="00490249"/>
    <w:rsid w:val="00490822"/>
    <w:rsid w:val="00494051"/>
    <w:rsid w:val="0049621B"/>
    <w:rsid w:val="004A12CA"/>
    <w:rsid w:val="004A579E"/>
    <w:rsid w:val="004A59D6"/>
    <w:rsid w:val="004B06B1"/>
    <w:rsid w:val="004B2970"/>
    <w:rsid w:val="004B55C7"/>
    <w:rsid w:val="004C1895"/>
    <w:rsid w:val="004C6D40"/>
    <w:rsid w:val="004C751F"/>
    <w:rsid w:val="004D10CF"/>
    <w:rsid w:val="004D191A"/>
    <w:rsid w:val="004D3499"/>
    <w:rsid w:val="004D4601"/>
    <w:rsid w:val="004E0C12"/>
    <w:rsid w:val="004E2013"/>
    <w:rsid w:val="004E6D72"/>
    <w:rsid w:val="004F0C3C"/>
    <w:rsid w:val="004F63FC"/>
    <w:rsid w:val="004F7082"/>
    <w:rsid w:val="00505A92"/>
    <w:rsid w:val="00511294"/>
    <w:rsid w:val="00511F40"/>
    <w:rsid w:val="005151CB"/>
    <w:rsid w:val="005170C9"/>
    <w:rsid w:val="005203F1"/>
    <w:rsid w:val="00521BC3"/>
    <w:rsid w:val="00523949"/>
    <w:rsid w:val="00531673"/>
    <w:rsid w:val="00533632"/>
    <w:rsid w:val="005367C9"/>
    <w:rsid w:val="0054251F"/>
    <w:rsid w:val="00550618"/>
    <w:rsid w:val="005520D8"/>
    <w:rsid w:val="0055439E"/>
    <w:rsid w:val="0055683B"/>
    <w:rsid w:val="00556CF1"/>
    <w:rsid w:val="005708DB"/>
    <w:rsid w:val="00571878"/>
    <w:rsid w:val="005737E1"/>
    <w:rsid w:val="005762A7"/>
    <w:rsid w:val="0058303B"/>
    <w:rsid w:val="00584889"/>
    <w:rsid w:val="0059097C"/>
    <w:rsid w:val="005916D7"/>
    <w:rsid w:val="00592561"/>
    <w:rsid w:val="00592B0A"/>
    <w:rsid w:val="0059505B"/>
    <w:rsid w:val="00596627"/>
    <w:rsid w:val="005A04D8"/>
    <w:rsid w:val="005A698C"/>
    <w:rsid w:val="005B23AA"/>
    <w:rsid w:val="005B390A"/>
    <w:rsid w:val="005B399D"/>
    <w:rsid w:val="005B6AAA"/>
    <w:rsid w:val="005C08E7"/>
    <w:rsid w:val="005C211C"/>
    <w:rsid w:val="005C5F08"/>
    <w:rsid w:val="005C6163"/>
    <w:rsid w:val="005E0113"/>
    <w:rsid w:val="005E0799"/>
    <w:rsid w:val="005E5B01"/>
    <w:rsid w:val="005F271E"/>
    <w:rsid w:val="005F45A0"/>
    <w:rsid w:val="005F5A80"/>
    <w:rsid w:val="005F6E76"/>
    <w:rsid w:val="00601C27"/>
    <w:rsid w:val="006044FF"/>
    <w:rsid w:val="00607CC5"/>
    <w:rsid w:val="00630E43"/>
    <w:rsid w:val="00633014"/>
    <w:rsid w:val="00634344"/>
    <w:rsid w:val="0063437B"/>
    <w:rsid w:val="0063751F"/>
    <w:rsid w:val="00645CFE"/>
    <w:rsid w:val="006477C5"/>
    <w:rsid w:val="00652748"/>
    <w:rsid w:val="006534EB"/>
    <w:rsid w:val="00655451"/>
    <w:rsid w:val="0065725B"/>
    <w:rsid w:val="006653DF"/>
    <w:rsid w:val="006673CA"/>
    <w:rsid w:val="00673C26"/>
    <w:rsid w:val="00677D27"/>
    <w:rsid w:val="00680FFF"/>
    <w:rsid w:val="006812AE"/>
    <w:rsid w:val="006812AF"/>
    <w:rsid w:val="0068327D"/>
    <w:rsid w:val="00683E97"/>
    <w:rsid w:val="00694AF0"/>
    <w:rsid w:val="006A2E6E"/>
    <w:rsid w:val="006A5E06"/>
    <w:rsid w:val="006B0E9E"/>
    <w:rsid w:val="006B4E41"/>
    <w:rsid w:val="006B5AE4"/>
    <w:rsid w:val="006B7D5F"/>
    <w:rsid w:val="006C5460"/>
    <w:rsid w:val="006C623C"/>
    <w:rsid w:val="006C6B63"/>
    <w:rsid w:val="006D4054"/>
    <w:rsid w:val="006E02EC"/>
    <w:rsid w:val="006E375C"/>
    <w:rsid w:val="006E760C"/>
    <w:rsid w:val="006F27A0"/>
    <w:rsid w:val="006F2ACE"/>
    <w:rsid w:val="0070043C"/>
    <w:rsid w:val="007008C0"/>
    <w:rsid w:val="00710EF8"/>
    <w:rsid w:val="00714FE8"/>
    <w:rsid w:val="007211B1"/>
    <w:rsid w:val="00721B78"/>
    <w:rsid w:val="007222EA"/>
    <w:rsid w:val="007231F7"/>
    <w:rsid w:val="00725B6D"/>
    <w:rsid w:val="007275AD"/>
    <w:rsid w:val="007276BA"/>
    <w:rsid w:val="00736BF5"/>
    <w:rsid w:val="00746187"/>
    <w:rsid w:val="0075382D"/>
    <w:rsid w:val="0076254F"/>
    <w:rsid w:val="00767D0E"/>
    <w:rsid w:val="007744FB"/>
    <w:rsid w:val="00777720"/>
    <w:rsid w:val="007801F5"/>
    <w:rsid w:val="00783CA4"/>
    <w:rsid w:val="007842FB"/>
    <w:rsid w:val="00786124"/>
    <w:rsid w:val="0079514B"/>
    <w:rsid w:val="007A2DC1"/>
    <w:rsid w:val="007A7CE5"/>
    <w:rsid w:val="007B6930"/>
    <w:rsid w:val="007C0ED6"/>
    <w:rsid w:val="007C59C8"/>
    <w:rsid w:val="007C5F7B"/>
    <w:rsid w:val="007C61E6"/>
    <w:rsid w:val="007C70C7"/>
    <w:rsid w:val="007C7266"/>
    <w:rsid w:val="007C7794"/>
    <w:rsid w:val="007D0724"/>
    <w:rsid w:val="007D3319"/>
    <w:rsid w:val="007D335D"/>
    <w:rsid w:val="007D5126"/>
    <w:rsid w:val="007D6054"/>
    <w:rsid w:val="007E3314"/>
    <w:rsid w:val="007E4B03"/>
    <w:rsid w:val="007F324B"/>
    <w:rsid w:val="007F3AFA"/>
    <w:rsid w:val="007F6DE4"/>
    <w:rsid w:val="00803CA5"/>
    <w:rsid w:val="008046D8"/>
    <w:rsid w:val="0080553C"/>
    <w:rsid w:val="0080593C"/>
    <w:rsid w:val="00805B46"/>
    <w:rsid w:val="00813A58"/>
    <w:rsid w:val="00813C08"/>
    <w:rsid w:val="0082299D"/>
    <w:rsid w:val="00825389"/>
    <w:rsid w:val="00825DC2"/>
    <w:rsid w:val="00827172"/>
    <w:rsid w:val="008271F3"/>
    <w:rsid w:val="00831736"/>
    <w:rsid w:val="00834AD3"/>
    <w:rsid w:val="00837579"/>
    <w:rsid w:val="00841284"/>
    <w:rsid w:val="00843795"/>
    <w:rsid w:val="00845B99"/>
    <w:rsid w:val="00846013"/>
    <w:rsid w:val="00847F0F"/>
    <w:rsid w:val="00852448"/>
    <w:rsid w:val="008564CD"/>
    <w:rsid w:val="00864639"/>
    <w:rsid w:val="00864A6F"/>
    <w:rsid w:val="0088258A"/>
    <w:rsid w:val="0088559B"/>
    <w:rsid w:val="00886332"/>
    <w:rsid w:val="008872DA"/>
    <w:rsid w:val="008A26D9"/>
    <w:rsid w:val="008A3CF7"/>
    <w:rsid w:val="008A7E9F"/>
    <w:rsid w:val="008B4E1D"/>
    <w:rsid w:val="008B79E9"/>
    <w:rsid w:val="008C0C29"/>
    <w:rsid w:val="008C5482"/>
    <w:rsid w:val="008D219B"/>
    <w:rsid w:val="008D4BB8"/>
    <w:rsid w:val="008E2346"/>
    <w:rsid w:val="008F3638"/>
    <w:rsid w:val="008F6F31"/>
    <w:rsid w:val="008F74DF"/>
    <w:rsid w:val="008F7AED"/>
    <w:rsid w:val="00901860"/>
    <w:rsid w:val="00901D58"/>
    <w:rsid w:val="00902E2A"/>
    <w:rsid w:val="009127BA"/>
    <w:rsid w:val="00913B37"/>
    <w:rsid w:val="00914B36"/>
    <w:rsid w:val="00921356"/>
    <w:rsid w:val="009227A6"/>
    <w:rsid w:val="00933EC1"/>
    <w:rsid w:val="00942C04"/>
    <w:rsid w:val="00950B93"/>
    <w:rsid w:val="009530DB"/>
    <w:rsid w:val="00953676"/>
    <w:rsid w:val="0095396F"/>
    <w:rsid w:val="00954E87"/>
    <w:rsid w:val="00957ADF"/>
    <w:rsid w:val="00961A2C"/>
    <w:rsid w:val="0096306A"/>
    <w:rsid w:val="009705EE"/>
    <w:rsid w:val="00976445"/>
    <w:rsid w:val="00977927"/>
    <w:rsid w:val="0098135C"/>
    <w:rsid w:val="0098156A"/>
    <w:rsid w:val="00984123"/>
    <w:rsid w:val="00986283"/>
    <w:rsid w:val="00991BAC"/>
    <w:rsid w:val="0099491E"/>
    <w:rsid w:val="009A195F"/>
    <w:rsid w:val="009A6EA0"/>
    <w:rsid w:val="009B18E4"/>
    <w:rsid w:val="009B247E"/>
    <w:rsid w:val="009B7550"/>
    <w:rsid w:val="009B7B99"/>
    <w:rsid w:val="009C0F29"/>
    <w:rsid w:val="009C1335"/>
    <w:rsid w:val="009C1AB2"/>
    <w:rsid w:val="009C6ACB"/>
    <w:rsid w:val="009C7251"/>
    <w:rsid w:val="009E2E91"/>
    <w:rsid w:val="00A016A3"/>
    <w:rsid w:val="00A026C5"/>
    <w:rsid w:val="00A036C0"/>
    <w:rsid w:val="00A139F5"/>
    <w:rsid w:val="00A1582C"/>
    <w:rsid w:val="00A2083E"/>
    <w:rsid w:val="00A24F88"/>
    <w:rsid w:val="00A2520C"/>
    <w:rsid w:val="00A258DA"/>
    <w:rsid w:val="00A30891"/>
    <w:rsid w:val="00A3190C"/>
    <w:rsid w:val="00A365F4"/>
    <w:rsid w:val="00A43DCF"/>
    <w:rsid w:val="00A44540"/>
    <w:rsid w:val="00A463CC"/>
    <w:rsid w:val="00A47D80"/>
    <w:rsid w:val="00A53132"/>
    <w:rsid w:val="00A563F2"/>
    <w:rsid w:val="00A566E8"/>
    <w:rsid w:val="00A770D7"/>
    <w:rsid w:val="00A810F9"/>
    <w:rsid w:val="00A84587"/>
    <w:rsid w:val="00A86ECC"/>
    <w:rsid w:val="00A86FCC"/>
    <w:rsid w:val="00A91253"/>
    <w:rsid w:val="00A92760"/>
    <w:rsid w:val="00A930B2"/>
    <w:rsid w:val="00A94360"/>
    <w:rsid w:val="00A948AE"/>
    <w:rsid w:val="00A96186"/>
    <w:rsid w:val="00A97F4D"/>
    <w:rsid w:val="00AA710D"/>
    <w:rsid w:val="00AB11B1"/>
    <w:rsid w:val="00AB1DC9"/>
    <w:rsid w:val="00AB6D25"/>
    <w:rsid w:val="00AC1D06"/>
    <w:rsid w:val="00AC26E1"/>
    <w:rsid w:val="00AC5132"/>
    <w:rsid w:val="00AC64CB"/>
    <w:rsid w:val="00AC750F"/>
    <w:rsid w:val="00AD3888"/>
    <w:rsid w:val="00AE12A5"/>
    <w:rsid w:val="00AE2D4B"/>
    <w:rsid w:val="00AE3402"/>
    <w:rsid w:val="00AE4F99"/>
    <w:rsid w:val="00AF3882"/>
    <w:rsid w:val="00B00908"/>
    <w:rsid w:val="00B0794F"/>
    <w:rsid w:val="00B102BA"/>
    <w:rsid w:val="00B12909"/>
    <w:rsid w:val="00B14952"/>
    <w:rsid w:val="00B25EE8"/>
    <w:rsid w:val="00B2788D"/>
    <w:rsid w:val="00B31984"/>
    <w:rsid w:val="00B31E5A"/>
    <w:rsid w:val="00B33803"/>
    <w:rsid w:val="00B51213"/>
    <w:rsid w:val="00B5309C"/>
    <w:rsid w:val="00B53859"/>
    <w:rsid w:val="00B653AB"/>
    <w:rsid w:val="00B65F9E"/>
    <w:rsid w:val="00B66B19"/>
    <w:rsid w:val="00B701E8"/>
    <w:rsid w:val="00B76271"/>
    <w:rsid w:val="00B818D9"/>
    <w:rsid w:val="00B9064B"/>
    <w:rsid w:val="00B914E9"/>
    <w:rsid w:val="00B956EE"/>
    <w:rsid w:val="00B97152"/>
    <w:rsid w:val="00BA0BBE"/>
    <w:rsid w:val="00BA2BA1"/>
    <w:rsid w:val="00BA3166"/>
    <w:rsid w:val="00BA38B6"/>
    <w:rsid w:val="00BA4B03"/>
    <w:rsid w:val="00BA4DDF"/>
    <w:rsid w:val="00BA6F2C"/>
    <w:rsid w:val="00BA7650"/>
    <w:rsid w:val="00BB4C69"/>
    <w:rsid w:val="00BB4F09"/>
    <w:rsid w:val="00BC4DBC"/>
    <w:rsid w:val="00BD4E33"/>
    <w:rsid w:val="00BD7EC7"/>
    <w:rsid w:val="00BE1D4B"/>
    <w:rsid w:val="00BE698D"/>
    <w:rsid w:val="00BF0126"/>
    <w:rsid w:val="00C030DE"/>
    <w:rsid w:val="00C05E71"/>
    <w:rsid w:val="00C20E37"/>
    <w:rsid w:val="00C2124E"/>
    <w:rsid w:val="00C22105"/>
    <w:rsid w:val="00C244B6"/>
    <w:rsid w:val="00C27062"/>
    <w:rsid w:val="00C3702F"/>
    <w:rsid w:val="00C41B67"/>
    <w:rsid w:val="00C42B1F"/>
    <w:rsid w:val="00C454F9"/>
    <w:rsid w:val="00C4563B"/>
    <w:rsid w:val="00C4683A"/>
    <w:rsid w:val="00C57B89"/>
    <w:rsid w:val="00C62998"/>
    <w:rsid w:val="00C63ADB"/>
    <w:rsid w:val="00C64A37"/>
    <w:rsid w:val="00C7158E"/>
    <w:rsid w:val="00C7250B"/>
    <w:rsid w:val="00C7342B"/>
    <w:rsid w:val="00C7346B"/>
    <w:rsid w:val="00C742AC"/>
    <w:rsid w:val="00C77C0E"/>
    <w:rsid w:val="00C8142C"/>
    <w:rsid w:val="00C81FC1"/>
    <w:rsid w:val="00C90628"/>
    <w:rsid w:val="00C91687"/>
    <w:rsid w:val="00C9245F"/>
    <w:rsid w:val="00C924A8"/>
    <w:rsid w:val="00C93AF0"/>
    <w:rsid w:val="00C943D6"/>
    <w:rsid w:val="00C945FE"/>
    <w:rsid w:val="00C96FAA"/>
    <w:rsid w:val="00C97A04"/>
    <w:rsid w:val="00CA0156"/>
    <w:rsid w:val="00CA091B"/>
    <w:rsid w:val="00CA107B"/>
    <w:rsid w:val="00CA2B43"/>
    <w:rsid w:val="00CA484D"/>
    <w:rsid w:val="00CB1FA3"/>
    <w:rsid w:val="00CB568E"/>
    <w:rsid w:val="00CB67F3"/>
    <w:rsid w:val="00CC55EA"/>
    <w:rsid w:val="00CC739E"/>
    <w:rsid w:val="00CD0521"/>
    <w:rsid w:val="00CD58B7"/>
    <w:rsid w:val="00CE0430"/>
    <w:rsid w:val="00CE40E1"/>
    <w:rsid w:val="00CF3814"/>
    <w:rsid w:val="00CF4099"/>
    <w:rsid w:val="00CF546A"/>
    <w:rsid w:val="00D00796"/>
    <w:rsid w:val="00D06F44"/>
    <w:rsid w:val="00D13520"/>
    <w:rsid w:val="00D2383E"/>
    <w:rsid w:val="00D249F5"/>
    <w:rsid w:val="00D261A2"/>
    <w:rsid w:val="00D3526E"/>
    <w:rsid w:val="00D36BDE"/>
    <w:rsid w:val="00D46791"/>
    <w:rsid w:val="00D517E0"/>
    <w:rsid w:val="00D52F7F"/>
    <w:rsid w:val="00D53C95"/>
    <w:rsid w:val="00D616D2"/>
    <w:rsid w:val="00D63B4A"/>
    <w:rsid w:val="00D63B5F"/>
    <w:rsid w:val="00D641C9"/>
    <w:rsid w:val="00D67CD7"/>
    <w:rsid w:val="00D70EF7"/>
    <w:rsid w:val="00D72A78"/>
    <w:rsid w:val="00D77D45"/>
    <w:rsid w:val="00D8397C"/>
    <w:rsid w:val="00D90D7A"/>
    <w:rsid w:val="00D916CA"/>
    <w:rsid w:val="00D91C65"/>
    <w:rsid w:val="00D94EED"/>
    <w:rsid w:val="00D96026"/>
    <w:rsid w:val="00D96F41"/>
    <w:rsid w:val="00DA3437"/>
    <w:rsid w:val="00DA7C1C"/>
    <w:rsid w:val="00DB147A"/>
    <w:rsid w:val="00DB1B7A"/>
    <w:rsid w:val="00DB4456"/>
    <w:rsid w:val="00DB562E"/>
    <w:rsid w:val="00DC0650"/>
    <w:rsid w:val="00DC5C14"/>
    <w:rsid w:val="00DC6708"/>
    <w:rsid w:val="00DC6B00"/>
    <w:rsid w:val="00DC7C61"/>
    <w:rsid w:val="00DD075D"/>
    <w:rsid w:val="00DE0069"/>
    <w:rsid w:val="00E00C4A"/>
    <w:rsid w:val="00E00E46"/>
    <w:rsid w:val="00E01436"/>
    <w:rsid w:val="00E03481"/>
    <w:rsid w:val="00E045BD"/>
    <w:rsid w:val="00E04B9B"/>
    <w:rsid w:val="00E07365"/>
    <w:rsid w:val="00E11119"/>
    <w:rsid w:val="00E12E48"/>
    <w:rsid w:val="00E12F35"/>
    <w:rsid w:val="00E17B77"/>
    <w:rsid w:val="00E23337"/>
    <w:rsid w:val="00E24BC3"/>
    <w:rsid w:val="00E259EA"/>
    <w:rsid w:val="00E31581"/>
    <w:rsid w:val="00E32061"/>
    <w:rsid w:val="00E343DD"/>
    <w:rsid w:val="00E401D2"/>
    <w:rsid w:val="00E42FF9"/>
    <w:rsid w:val="00E46ABD"/>
    <w:rsid w:val="00E4714C"/>
    <w:rsid w:val="00E51AEB"/>
    <w:rsid w:val="00E522A7"/>
    <w:rsid w:val="00E54452"/>
    <w:rsid w:val="00E55177"/>
    <w:rsid w:val="00E664C5"/>
    <w:rsid w:val="00E664D8"/>
    <w:rsid w:val="00E671A2"/>
    <w:rsid w:val="00E76D26"/>
    <w:rsid w:val="00E80C30"/>
    <w:rsid w:val="00E9065F"/>
    <w:rsid w:val="00EA2B44"/>
    <w:rsid w:val="00EA7DFB"/>
    <w:rsid w:val="00EB0A84"/>
    <w:rsid w:val="00EB1390"/>
    <w:rsid w:val="00EB2C71"/>
    <w:rsid w:val="00EB34FA"/>
    <w:rsid w:val="00EB4340"/>
    <w:rsid w:val="00EB556D"/>
    <w:rsid w:val="00EB5A7D"/>
    <w:rsid w:val="00EB77B3"/>
    <w:rsid w:val="00EC0E14"/>
    <w:rsid w:val="00EC1B6F"/>
    <w:rsid w:val="00EC2683"/>
    <w:rsid w:val="00EC3EA3"/>
    <w:rsid w:val="00ED25A6"/>
    <w:rsid w:val="00ED55C0"/>
    <w:rsid w:val="00ED682B"/>
    <w:rsid w:val="00EE41D5"/>
    <w:rsid w:val="00EE5667"/>
    <w:rsid w:val="00EE795A"/>
    <w:rsid w:val="00F037A4"/>
    <w:rsid w:val="00F14294"/>
    <w:rsid w:val="00F14B02"/>
    <w:rsid w:val="00F156AE"/>
    <w:rsid w:val="00F15EA9"/>
    <w:rsid w:val="00F23CE5"/>
    <w:rsid w:val="00F27C8F"/>
    <w:rsid w:val="00F315CE"/>
    <w:rsid w:val="00F32749"/>
    <w:rsid w:val="00F37172"/>
    <w:rsid w:val="00F42E6E"/>
    <w:rsid w:val="00F4477E"/>
    <w:rsid w:val="00F4527B"/>
    <w:rsid w:val="00F52024"/>
    <w:rsid w:val="00F53896"/>
    <w:rsid w:val="00F563B1"/>
    <w:rsid w:val="00F67BEC"/>
    <w:rsid w:val="00F67D8F"/>
    <w:rsid w:val="00F76F45"/>
    <w:rsid w:val="00F77676"/>
    <w:rsid w:val="00F802BE"/>
    <w:rsid w:val="00F83B03"/>
    <w:rsid w:val="00F85DC4"/>
    <w:rsid w:val="00F86024"/>
    <w:rsid w:val="00F8611A"/>
    <w:rsid w:val="00F962C5"/>
    <w:rsid w:val="00F969AE"/>
    <w:rsid w:val="00FA5128"/>
    <w:rsid w:val="00FB42D4"/>
    <w:rsid w:val="00FB5906"/>
    <w:rsid w:val="00FB762F"/>
    <w:rsid w:val="00FB7B25"/>
    <w:rsid w:val="00FC093D"/>
    <w:rsid w:val="00FC1C4D"/>
    <w:rsid w:val="00FC2AED"/>
    <w:rsid w:val="00FD1BBD"/>
    <w:rsid w:val="00FD2E71"/>
    <w:rsid w:val="00FD3E31"/>
    <w:rsid w:val="00FD5EA7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j.biernat@stat.gov.p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mailto:rzecznik@stat.gov.pl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274029408119E-2"/>
          <c:y val="1.9076923076923082E-2"/>
          <c:w val="0.93325015595757954"/>
          <c:h val="0.757950907545010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Arkusz1!$B$53:$C$93</c:f>
              <c:multiLvlStrCache>
                <c:ptCount val="41"/>
                <c:lvl>
                  <c:pt idx="0">
                    <c:v>  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</c:lvl>
              </c:multiLvlStrCache>
            </c:multiLvlStrRef>
          </c:cat>
          <c:val>
            <c:numRef>
              <c:f>Arkusz1!$D$53:$D$93</c:f>
              <c:numCache>
                <c:formatCode>0.0</c:formatCode>
                <c:ptCount val="41"/>
                <c:pt idx="0">
                  <c:v>103.6</c:v>
                </c:pt>
                <c:pt idx="1">
                  <c:v>102.4</c:v>
                </c:pt>
                <c:pt idx="2">
                  <c:v>106.6</c:v>
                </c:pt>
                <c:pt idx="3">
                  <c:v>101.5</c:v>
                </c:pt>
                <c:pt idx="4">
                  <c:v>104.7</c:v>
                </c:pt>
                <c:pt idx="5">
                  <c:v>106.6</c:v>
                </c:pt>
                <c:pt idx="6">
                  <c:v>103.5</c:v>
                </c:pt>
                <c:pt idx="7">
                  <c:v>102</c:v>
                </c:pt>
                <c:pt idx="8">
                  <c:v>102.9</c:v>
                </c:pt>
                <c:pt idx="9">
                  <c:v>103.6</c:v>
                </c:pt>
                <c:pt idx="10">
                  <c:v>105.7</c:v>
                </c:pt>
                <c:pt idx="11">
                  <c:v>107</c:v>
                </c:pt>
                <c:pt idx="12">
                  <c:v>103.2</c:v>
                </c:pt>
                <c:pt idx="13" formatCode="General">
                  <c:v>106.2</c:v>
                </c:pt>
                <c:pt idx="14" formatCode="General">
                  <c:v>103</c:v>
                </c:pt>
                <c:pt idx="15" formatCode="General">
                  <c:v>105.5</c:v>
                </c:pt>
                <c:pt idx="16" formatCode="General">
                  <c:v>104.3</c:v>
                </c:pt>
                <c:pt idx="17" formatCode="General">
                  <c:v>106.5</c:v>
                </c:pt>
                <c:pt idx="18" formatCode="General">
                  <c:v>104.4</c:v>
                </c:pt>
                <c:pt idx="19" formatCode="General">
                  <c:v>107.8</c:v>
                </c:pt>
                <c:pt idx="20" formatCode="General">
                  <c:v>106.3</c:v>
                </c:pt>
                <c:pt idx="21" formatCode="General">
                  <c:v>104.6</c:v>
                </c:pt>
                <c:pt idx="22" formatCode="General">
                  <c:v>107.4</c:v>
                </c:pt>
                <c:pt idx="23" formatCode="General">
                  <c:v>106.1</c:v>
                </c:pt>
                <c:pt idx="24" formatCode="General">
                  <c:v>109.5</c:v>
                </c:pt>
                <c:pt idx="25" formatCode="General">
                  <c:v>105.2</c:v>
                </c:pt>
                <c:pt idx="26" formatCode="General">
                  <c:v>107.9</c:v>
                </c:pt>
                <c:pt idx="27" formatCode="General">
                  <c:v>106.7</c:v>
                </c:pt>
                <c:pt idx="28" formatCode="General">
                  <c:v>107.4</c:v>
                </c:pt>
                <c:pt idx="29" formatCode="General">
                  <c:v>105.8</c:v>
                </c:pt>
                <c:pt idx="30" formatCode="General">
                  <c:v>106.8</c:v>
                </c:pt>
                <c:pt idx="31" formatCode="General">
                  <c:v>106.9</c:v>
                </c:pt>
                <c:pt idx="32" formatCode="General">
                  <c:v>107.5</c:v>
                </c:pt>
                <c:pt idx="33" formatCode="General">
                  <c:v>107.1</c:v>
                </c:pt>
                <c:pt idx="34" formatCode="General">
                  <c:v>108.8</c:v>
                </c:pt>
                <c:pt idx="35" formatCode="General">
                  <c:v>105.2</c:v>
                </c:pt>
                <c:pt idx="36" formatCode="General">
                  <c:v>107.7</c:v>
                </c:pt>
                <c:pt idx="37" formatCode="General">
                  <c:v>107.7</c:v>
                </c:pt>
                <c:pt idx="38" formatCode="General">
                  <c:v>108.8</c:v>
                </c:pt>
                <c:pt idx="39" formatCode="General">
                  <c:v>104</c:v>
                </c:pt>
                <c:pt idx="40" formatCode="General">
                  <c:v>106.1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362216064"/>
        <c:axId val="324411776"/>
      </c:barChart>
      <c:catAx>
        <c:axId val="36221606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32441177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324411776"/>
        <c:scaling>
          <c:orientation val="minMax"/>
          <c:max val="11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36221606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722727383535264E-2"/>
          <c:y val="6.1951636507662215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103,3</a:t>
                    </a:r>
                    <a:endParaRPr lang="en-US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rodz_dział_miesiąc!$AX$4:$AX$12</c:f>
              <c:numCache>
                <c:formatCode>0.0</c:formatCode>
                <c:ptCount val="9"/>
                <c:pt idx="0">
                  <c:v>103.3</c:v>
                </c:pt>
                <c:pt idx="1">
                  <c:v>109.6</c:v>
                </c:pt>
                <c:pt idx="2">
                  <c:v>102.8</c:v>
                </c:pt>
                <c:pt idx="3">
                  <c:v>107.8</c:v>
                </c:pt>
                <c:pt idx="4">
                  <c:v>108.8</c:v>
                </c:pt>
                <c:pt idx="5">
                  <c:v>108.6</c:v>
                </c:pt>
                <c:pt idx="6">
                  <c:v>106</c:v>
                </c:pt>
                <c:pt idx="7">
                  <c:v>100.3</c:v>
                </c:pt>
                <c:pt idx="8">
                  <c:v>108.4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24457600"/>
        <c:axId val="324459136"/>
      </c:barChart>
      <c:catAx>
        <c:axId val="32445760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324459136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324459136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32445760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65519482991353E-2"/>
          <c:y val="5.6628056628056631E-2"/>
          <c:w val="0.90120672439187943"/>
          <c:h val="0.73350155554879959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100"/>
              <c:layout>
                <c:manualLayout>
                  <c:x val="-2.2313127556712532E-2"/>
                  <c:y val="1.801801801801796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E985D2C1-1A92-467E-8262-9786EB758FAF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>
                        <a:defRPr/>
                      </a:pPr>
                      <a:t>[WARTOŚĆ]</a:t>
                    </a:fld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,0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245072517664555E-2"/>
                      <c:h val="7.6190476190476197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Wykresy!$B$2:$B$109</c:f>
              <c:numCache>
                <c:formatCode>General</c:formatCode>
                <c:ptCount val="108"/>
                <c:pt idx="0">
                  <c:v>71</c:v>
                </c:pt>
                <c:pt idx="1">
                  <c:v>68.099999999999994</c:v>
                </c:pt>
                <c:pt idx="2">
                  <c:v>82.5</c:v>
                </c:pt>
                <c:pt idx="3">
                  <c:v>77.599999999999994</c:v>
                </c:pt>
                <c:pt idx="4">
                  <c:v>79.5</c:v>
                </c:pt>
                <c:pt idx="5">
                  <c:v>82.6</c:v>
                </c:pt>
                <c:pt idx="6">
                  <c:v>85.6</c:v>
                </c:pt>
                <c:pt idx="7">
                  <c:v>84.8</c:v>
                </c:pt>
                <c:pt idx="8">
                  <c:v>85</c:v>
                </c:pt>
                <c:pt idx="9">
                  <c:v>87.9</c:v>
                </c:pt>
                <c:pt idx="10">
                  <c:v>81.900000000000006</c:v>
                </c:pt>
                <c:pt idx="11">
                  <c:v>102.1</c:v>
                </c:pt>
                <c:pt idx="12">
                  <c:v>72.2</c:v>
                </c:pt>
                <c:pt idx="13">
                  <c:v>73.5</c:v>
                </c:pt>
                <c:pt idx="14">
                  <c:v>86.2</c:v>
                </c:pt>
                <c:pt idx="15">
                  <c:v>87.6</c:v>
                </c:pt>
                <c:pt idx="16">
                  <c:v>86.1</c:v>
                </c:pt>
                <c:pt idx="17">
                  <c:v>87.7</c:v>
                </c:pt>
                <c:pt idx="18">
                  <c:v>88.9</c:v>
                </c:pt>
                <c:pt idx="19">
                  <c:v>90.2</c:v>
                </c:pt>
                <c:pt idx="20">
                  <c:v>91.4</c:v>
                </c:pt>
                <c:pt idx="21">
                  <c:v>93.7</c:v>
                </c:pt>
                <c:pt idx="22">
                  <c:v>87.8</c:v>
                </c:pt>
                <c:pt idx="23">
                  <c:v>106</c:v>
                </c:pt>
                <c:pt idx="24">
                  <c:v>79.2</c:v>
                </c:pt>
                <c:pt idx="25">
                  <c:v>79.900000000000006</c:v>
                </c:pt>
                <c:pt idx="26">
                  <c:v>92</c:v>
                </c:pt>
                <c:pt idx="27">
                  <c:v>89.1</c:v>
                </c:pt>
                <c:pt idx="28">
                  <c:v>89.8</c:v>
                </c:pt>
                <c:pt idx="29">
                  <c:v>90</c:v>
                </c:pt>
                <c:pt idx="30">
                  <c:v>91.9</c:v>
                </c:pt>
                <c:pt idx="31">
                  <c:v>92.3</c:v>
                </c:pt>
                <c:pt idx="32">
                  <c:v>90.8</c:v>
                </c:pt>
                <c:pt idx="33">
                  <c:v>94.1</c:v>
                </c:pt>
                <c:pt idx="34">
                  <c:v>88.4</c:v>
                </c:pt>
                <c:pt idx="35">
                  <c:v>102.1</c:v>
                </c:pt>
                <c:pt idx="36">
                  <c:v>80.900000000000006</c:v>
                </c:pt>
                <c:pt idx="37">
                  <c:v>78.900000000000006</c:v>
                </c:pt>
                <c:pt idx="38">
                  <c:v>92.1</c:v>
                </c:pt>
                <c:pt idx="39">
                  <c:v>89.1</c:v>
                </c:pt>
                <c:pt idx="40">
                  <c:v>90.8</c:v>
                </c:pt>
                <c:pt idx="41">
                  <c:v>92.3</c:v>
                </c:pt>
                <c:pt idx="42">
                  <c:v>95.7</c:v>
                </c:pt>
                <c:pt idx="43">
                  <c:v>95.5</c:v>
                </c:pt>
                <c:pt idx="44">
                  <c:v>94.4</c:v>
                </c:pt>
                <c:pt idx="45">
                  <c:v>97.5</c:v>
                </c:pt>
                <c:pt idx="46">
                  <c:v>91.9</c:v>
                </c:pt>
                <c:pt idx="47">
                  <c:v>108</c:v>
                </c:pt>
                <c:pt idx="48">
                  <c:v>84.9</c:v>
                </c:pt>
                <c:pt idx="49">
                  <c:v>84.5</c:v>
                </c:pt>
                <c:pt idx="50">
                  <c:v>95</c:v>
                </c:pt>
                <c:pt idx="51">
                  <c:v>97.2</c:v>
                </c:pt>
                <c:pt idx="52">
                  <c:v>94.7</c:v>
                </c:pt>
                <c:pt idx="53">
                  <c:v>94</c:v>
                </c:pt>
                <c:pt idx="54">
                  <c:v>98.9</c:v>
                </c:pt>
                <c:pt idx="55">
                  <c:v>98.5</c:v>
                </c:pt>
                <c:pt idx="56">
                  <c:v>97.5</c:v>
                </c:pt>
                <c:pt idx="57">
                  <c:v>101.4</c:v>
                </c:pt>
                <c:pt idx="58">
                  <c:v>93.5</c:v>
                </c:pt>
                <c:pt idx="59">
                  <c:v>112.7</c:v>
                </c:pt>
                <c:pt idx="60">
                  <c:v>87.8</c:v>
                </c:pt>
                <c:pt idx="61">
                  <c:v>86.4</c:v>
                </c:pt>
                <c:pt idx="62">
                  <c:v>101.1</c:v>
                </c:pt>
                <c:pt idx="63">
                  <c:v>98.5</c:v>
                </c:pt>
                <c:pt idx="64">
                  <c:v>99</c:v>
                </c:pt>
                <c:pt idx="65">
                  <c:v>100</c:v>
                </c:pt>
                <c:pt idx="66">
                  <c:v>102.3</c:v>
                </c:pt>
                <c:pt idx="67">
                  <c:v>100.4</c:v>
                </c:pt>
                <c:pt idx="68">
                  <c:v>100.3</c:v>
                </c:pt>
                <c:pt idx="69">
                  <c:v>105</c:v>
                </c:pt>
                <c:pt idx="70">
                  <c:v>98.8</c:v>
                </c:pt>
                <c:pt idx="71">
                  <c:v>120.6</c:v>
                </c:pt>
                <c:pt idx="72">
                  <c:v>90.6</c:v>
                </c:pt>
                <c:pt idx="73">
                  <c:v>91.7</c:v>
                </c:pt>
                <c:pt idx="74">
                  <c:v>104.1</c:v>
                </c:pt>
                <c:pt idx="75">
                  <c:v>103.9</c:v>
                </c:pt>
                <c:pt idx="76">
                  <c:v>103.2</c:v>
                </c:pt>
                <c:pt idx="77">
                  <c:v>106.4</c:v>
                </c:pt>
                <c:pt idx="78">
                  <c:v>106.7</c:v>
                </c:pt>
                <c:pt idx="79">
                  <c:v>108.1</c:v>
                </c:pt>
                <c:pt idx="80">
                  <c:v>106.6</c:v>
                </c:pt>
                <c:pt idx="81">
                  <c:v>109.8</c:v>
                </c:pt>
                <c:pt idx="82">
                  <c:v>106.1</c:v>
                </c:pt>
                <c:pt idx="83">
                  <c:v>127.7</c:v>
                </c:pt>
                <c:pt idx="84">
                  <c:v>99.3</c:v>
                </c:pt>
                <c:pt idx="85">
                  <c:v>96.5</c:v>
                </c:pt>
                <c:pt idx="86">
                  <c:v>112.5</c:v>
                </c:pt>
                <c:pt idx="87">
                  <c:v>110.9</c:v>
                </c:pt>
                <c:pt idx="88">
                  <c:v>111</c:v>
                </c:pt>
                <c:pt idx="89">
                  <c:v>112.8</c:v>
                </c:pt>
                <c:pt idx="90">
                  <c:v>114.1</c:v>
                </c:pt>
                <c:pt idx="91">
                  <c:v>115.8</c:v>
                </c:pt>
                <c:pt idx="92">
                  <c:v>114.8</c:v>
                </c:pt>
                <c:pt idx="93">
                  <c:v>117.8</c:v>
                </c:pt>
                <c:pt idx="94">
                  <c:v>115.7</c:v>
                </c:pt>
                <c:pt idx="95">
                  <c:v>134.80000000000001</c:v>
                </c:pt>
                <c:pt idx="96">
                  <c:v>107.2</c:v>
                </c:pt>
                <c:pt idx="97">
                  <c:v>104.1</c:v>
                </c:pt>
                <c:pt idx="98">
                  <c:v>122.6</c:v>
                </c:pt>
                <c:pt idx="99">
                  <c:v>115.7</c:v>
                </c:pt>
                <c:pt idx="100">
                  <c:v>118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69BE28"/>
              </a:solidFill>
              <a:round/>
            </a:ln>
            <a:effectLst/>
          </c:spPr>
          <c:marker>
            <c:symbol val="none"/>
          </c:marker>
          <c:dLbls>
            <c:dLbl>
              <c:idx val="100"/>
              <c:layout>
                <c:manualLayout>
                  <c:x val="-2.2313127556712532E-2"/>
                  <c:y val="-4.6332046332046357E-2"/>
                </c:manualLayout>
              </c:layout>
              <c:tx>
                <c:rich>
                  <a:bodyPr/>
                  <a:lstStyle/>
                  <a:p>
                    <a:fld id="{CB4E5690-F205-4614-8255-C499A7E6920B}" type="VALUE">
                      <a:rPr lang="en-US" sz="800" baseline="0">
                        <a:solidFill>
                          <a:srgbClr val="69BE28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Wykresy!$A$2:$A$109</c:f>
              <c:numCache>
                <c:formatCode>General</c:formatCode>
                <c:ptCount val="108"/>
                <c:pt idx="6" formatCode="0">
                  <c:v>2010</c:v>
                </c:pt>
                <c:pt idx="18" formatCode="0">
                  <c:v>2011</c:v>
                </c:pt>
                <c:pt idx="30" formatCode="0">
                  <c:v>2012</c:v>
                </c:pt>
                <c:pt idx="42" formatCode="0">
                  <c:v>2013</c:v>
                </c:pt>
                <c:pt idx="54" formatCode="0">
                  <c:v>2014</c:v>
                </c:pt>
                <c:pt idx="66" formatCode="0">
                  <c:v>2015</c:v>
                </c:pt>
                <c:pt idx="78" formatCode="0">
                  <c:v>2016</c:v>
                </c:pt>
                <c:pt idx="90" formatCode="0">
                  <c:v>2017</c:v>
                </c:pt>
                <c:pt idx="102" formatCode="0">
                  <c:v>2018</c:v>
                </c:pt>
              </c:numCache>
            </c:numRef>
          </c:cat>
          <c:val>
            <c:numRef>
              <c:f>Wykresy!$C$2:$C$109</c:f>
              <c:numCache>
                <c:formatCode>General</c:formatCode>
                <c:ptCount val="108"/>
                <c:pt idx="0">
                  <c:v>80.3</c:v>
                </c:pt>
                <c:pt idx="1">
                  <c:v>78.900000000000006</c:v>
                </c:pt>
                <c:pt idx="2">
                  <c:v>81.7</c:v>
                </c:pt>
                <c:pt idx="3">
                  <c:v>76.900000000000006</c:v>
                </c:pt>
                <c:pt idx="4">
                  <c:v>81</c:v>
                </c:pt>
                <c:pt idx="5">
                  <c:v>82.1</c:v>
                </c:pt>
                <c:pt idx="6">
                  <c:v>82.9</c:v>
                </c:pt>
                <c:pt idx="7">
                  <c:v>83.1</c:v>
                </c:pt>
                <c:pt idx="8">
                  <c:v>83.7</c:v>
                </c:pt>
                <c:pt idx="9">
                  <c:v>84.7</c:v>
                </c:pt>
                <c:pt idx="10">
                  <c:v>84.2</c:v>
                </c:pt>
                <c:pt idx="11">
                  <c:v>85.8</c:v>
                </c:pt>
                <c:pt idx="12">
                  <c:v>81.7</c:v>
                </c:pt>
                <c:pt idx="13">
                  <c:v>85.1</c:v>
                </c:pt>
                <c:pt idx="14">
                  <c:v>85.6</c:v>
                </c:pt>
                <c:pt idx="15">
                  <c:v>86.6</c:v>
                </c:pt>
                <c:pt idx="16">
                  <c:v>87</c:v>
                </c:pt>
                <c:pt idx="17">
                  <c:v>87.3</c:v>
                </c:pt>
                <c:pt idx="18">
                  <c:v>87</c:v>
                </c:pt>
                <c:pt idx="19">
                  <c:v>88</c:v>
                </c:pt>
                <c:pt idx="20">
                  <c:v>89.8</c:v>
                </c:pt>
                <c:pt idx="21">
                  <c:v>90.8</c:v>
                </c:pt>
                <c:pt idx="22">
                  <c:v>90.3</c:v>
                </c:pt>
                <c:pt idx="23">
                  <c:v>89.7</c:v>
                </c:pt>
                <c:pt idx="24">
                  <c:v>89.3</c:v>
                </c:pt>
                <c:pt idx="25">
                  <c:v>89.1</c:v>
                </c:pt>
                <c:pt idx="26">
                  <c:v>91.2</c:v>
                </c:pt>
                <c:pt idx="27">
                  <c:v>89.6</c:v>
                </c:pt>
                <c:pt idx="28">
                  <c:v>90.2</c:v>
                </c:pt>
                <c:pt idx="29">
                  <c:v>89.7</c:v>
                </c:pt>
                <c:pt idx="30">
                  <c:v>90.5</c:v>
                </c:pt>
                <c:pt idx="31">
                  <c:v>90</c:v>
                </c:pt>
                <c:pt idx="32">
                  <c:v>90.7</c:v>
                </c:pt>
                <c:pt idx="33">
                  <c:v>90</c:v>
                </c:pt>
                <c:pt idx="34">
                  <c:v>89.4</c:v>
                </c:pt>
                <c:pt idx="35">
                  <c:v>89.3</c:v>
                </c:pt>
                <c:pt idx="36">
                  <c:v>89.5</c:v>
                </c:pt>
                <c:pt idx="37">
                  <c:v>90.8</c:v>
                </c:pt>
                <c:pt idx="38">
                  <c:v>90.8</c:v>
                </c:pt>
                <c:pt idx="39">
                  <c:v>90</c:v>
                </c:pt>
                <c:pt idx="40">
                  <c:v>92.3</c:v>
                </c:pt>
                <c:pt idx="41">
                  <c:v>92.5</c:v>
                </c:pt>
                <c:pt idx="42">
                  <c:v>93.1</c:v>
                </c:pt>
                <c:pt idx="43">
                  <c:v>93.2</c:v>
                </c:pt>
                <c:pt idx="44">
                  <c:v>94.5</c:v>
                </c:pt>
                <c:pt idx="45">
                  <c:v>93.3</c:v>
                </c:pt>
                <c:pt idx="46">
                  <c:v>94.2</c:v>
                </c:pt>
                <c:pt idx="47">
                  <c:v>94.2</c:v>
                </c:pt>
                <c:pt idx="48">
                  <c:v>94.3</c:v>
                </c:pt>
                <c:pt idx="49">
                  <c:v>96.9</c:v>
                </c:pt>
                <c:pt idx="50">
                  <c:v>95.4</c:v>
                </c:pt>
                <c:pt idx="51">
                  <c:v>96.3</c:v>
                </c:pt>
                <c:pt idx="52">
                  <c:v>94.9</c:v>
                </c:pt>
                <c:pt idx="53">
                  <c:v>95.1</c:v>
                </c:pt>
                <c:pt idx="54">
                  <c:v>96.2</c:v>
                </c:pt>
                <c:pt idx="55">
                  <c:v>97.6</c:v>
                </c:pt>
                <c:pt idx="56">
                  <c:v>97</c:v>
                </c:pt>
                <c:pt idx="57">
                  <c:v>96.8</c:v>
                </c:pt>
                <c:pt idx="58">
                  <c:v>96.6</c:v>
                </c:pt>
                <c:pt idx="59">
                  <c:v>97.1</c:v>
                </c:pt>
                <c:pt idx="60">
                  <c:v>97.6</c:v>
                </c:pt>
                <c:pt idx="61">
                  <c:v>99</c:v>
                </c:pt>
                <c:pt idx="62">
                  <c:v>100.8</c:v>
                </c:pt>
                <c:pt idx="63">
                  <c:v>98</c:v>
                </c:pt>
                <c:pt idx="64">
                  <c:v>99.8</c:v>
                </c:pt>
                <c:pt idx="65">
                  <c:v>100.2</c:v>
                </c:pt>
                <c:pt idx="66">
                  <c:v>99.2</c:v>
                </c:pt>
                <c:pt idx="67">
                  <c:v>99.7</c:v>
                </c:pt>
                <c:pt idx="68">
                  <c:v>99.5</c:v>
                </c:pt>
                <c:pt idx="69">
                  <c:v>100.9</c:v>
                </c:pt>
                <c:pt idx="70">
                  <c:v>101.5</c:v>
                </c:pt>
                <c:pt idx="71">
                  <c:v>103.5</c:v>
                </c:pt>
                <c:pt idx="72">
                  <c:v>102.3</c:v>
                </c:pt>
                <c:pt idx="73">
                  <c:v>102</c:v>
                </c:pt>
                <c:pt idx="74">
                  <c:v>101.6</c:v>
                </c:pt>
                <c:pt idx="75">
                  <c:v>104.3</c:v>
                </c:pt>
                <c:pt idx="76">
                  <c:v>104.9</c:v>
                </c:pt>
                <c:pt idx="77">
                  <c:v>105.1</c:v>
                </c:pt>
                <c:pt idx="78">
                  <c:v>105.1</c:v>
                </c:pt>
                <c:pt idx="79">
                  <c:v>105.8</c:v>
                </c:pt>
                <c:pt idx="80">
                  <c:v>105.9</c:v>
                </c:pt>
                <c:pt idx="81">
                  <c:v>107.3</c:v>
                </c:pt>
                <c:pt idx="82">
                  <c:v>108.3</c:v>
                </c:pt>
                <c:pt idx="83">
                  <c:v>108.2</c:v>
                </c:pt>
                <c:pt idx="84">
                  <c:v>111</c:v>
                </c:pt>
                <c:pt idx="85">
                  <c:v>110.4</c:v>
                </c:pt>
                <c:pt idx="86">
                  <c:v>110.6</c:v>
                </c:pt>
                <c:pt idx="87">
                  <c:v>111.4</c:v>
                </c:pt>
                <c:pt idx="88">
                  <c:v>111.6</c:v>
                </c:pt>
                <c:pt idx="89">
                  <c:v>112.3</c:v>
                </c:pt>
                <c:pt idx="90">
                  <c:v>113.2</c:v>
                </c:pt>
                <c:pt idx="91">
                  <c:v>113.5</c:v>
                </c:pt>
                <c:pt idx="92">
                  <c:v>114.3</c:v>
                </c:pt>
                <c:pt idx="93">
                  <c:v>114.9</c:v>
                </c:pt>
                <c:pt idx="94">
                  <c:v>117.6</c:v>
                </c:pt>
                <c:pt idx="95">
                  <c:v>116.4</c:v>
                </c:pt>
                <c:pt idx="96">
                  <c:v>118.1</c:v>
                </c:pt>
                <c:pt idx="97">
                  <c:v>119</c:v>
                </c:pt>
                <c:pt idx="98">
                  <c:v>119.6</c:v>
                </c:pt>
                <c:pt idx="99">
                  <c:v>118.1</c:v>
                </c:pt>
                <c:pt idx="100">
                  <c:v>119.4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4417792"/>
        <c:axId val="324431872"/>
      </c:lineChart>
      <c:catAx>
        <c:axId val="324417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324431872"/>
        <c:crosses val="autoZero"/>
        <c:auto val="1"/>
        <c:lblAlgn val="ctr"/>
        <c:lblOffset val="100"/>
        <c:tickMarkSkip val="12"/>
        <c:noMultiLvlLbl val="0"/>
      </c:catAx>
      <c:valAx>
        <c:axId val="324431872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324417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0.32986</cdr:x>
      <cdr:y>0.14543</cdr:y>
    </cdr:from>
    <cdr:to>
      <cdr:x>0.48077</cdr:x>
      <cdr:y>0.24387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691398" y="475489"/>
          <a:ext cx="773824" cy="3218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69BE28"/>
              </a:solidFill>
              <a:latin typeface="Fira Sans" pitchFamily="34" charset="0"/>
              <a:ea typeface="Fira Sans" pitchFamily="34" charset="0"/>
              <a:cs typeface="Arial CE"/>
            </a:rPr>
            <a:t>Ogółem 106,1</a:t>
          </a:r>
        </a:p>
      </cdr:txBody>
    </cdr:sp>
  </cdr:relSizeAnchor>
  <cdr:relSizeAnchor xmlns:cdr="http://schemas.openxmlformats.org/drawingml/2006/chartDrawing">
    <cdr:from>
      <cdr:x>0.30509</cdr:x>
      <cdr:y>0.22551</cdr:y>
    </cdr:from>
    <cdr:to>
      <cdr:x>0.40131</cdr:x>
      <cdr:y>0.35604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564375" y="737322"/>
          <a:ext cx="493380" cy="42678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0.06449</cdr:x>
      <cdr:y>0.36383</cdr:y>
    </cdr:from>
    <cdr:to>
      <cdr:x>0.99715</cdr:x>
      <cdr:y>0.36779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30693" y="1189583"/>
          <a:ext cx="4782331" cy="1294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69BE2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CD96DA-9026-456A-A1A3-2405F738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 maju 2018 roku</dc:title>
  <dc:subject>Dynamika sprzedaży detalicznej w maju 2018 roku</dc:subject>
  <dc:creator>Zawistowska Beata</dc:creator>
  <cp:keywords>sprzedaż detaliczna; dynamika sprzedaży detalicznej; pojazdy samochodowe; motocykle części; paliwa stałe; paliwa ciekłe i gazowe; żywność napoje i wyroby tytoniowe; pozostała sprzedaż detaliczna w niewyspecjalizowanych sklepach; farmaceutyki kosmetyki; sprzęt ortopedyczny; tekstylia odzież obuwie; meble rtv agd; prasa książki; pozostała sprzedaż w wyspecjalizowanych sklepach</cp:keywords>
  <dc:description>Dynamika sprzedaży detalicznej w maju 2018 roku</dc:description>
  <cp:lastModifiedBy>Dariusz Mazurek</cp:lastModifiedBy>
  <cp:revision>2</cp:revision>
  <cp:lastPrinted>2018-05-19T13:45:00Z</cp:lastPrinted>
  <dcterms:created xsi:type="dcterms:W3CDTF">2018-06-20T11:53:00Z</dcterms:created>
  <dcterms:modified xsi:type="dcterms:W3CDTF">2018-06-20T11:53:00Z</dcterms:modified>
  <cp:category>Dynamika sprzedaży detalicznej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