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98D86" w14:textId="77777777" w:rsidR="00E56FD7" w:rsidRPr="00E56FD7" w:rsidRDefault="00E56FD7" w:rsidP="00E56FD7">
      <w:pPr>
        <w:spacing w:after="0" w:line="240" w:lineRule="auto"/>
        <w:jc w:val="both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E56FD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Wskaźniki cen produkcji sprzedanej przemysłu oraz produkcji budowlano-montażowej we wrześniu</w:t>
      </w:r>
      <w:r w:rsidRPr="00E56FD7">
        <w:rPr>
          <w:rFonts w:ascii="Fira Sans Extra Condensed SemiB" w:hAnsi="Fira Sans Extra Condensed SemiB"/>
          <w:sz w:val="40"/>
          <w:szCs w:val="26"/>
          <w:shd w:val="clear" w:color="auto" w:fill="FFFFFF"/>
        </w:rPr>
        <w:t xml:space="preserve"> </w:t>
      </w:r>
      <w:r w:rsidRPr="00E56FD7">
        <w:rPr>
          <w:rFonts w:ascii="Fira Sans Extra Condensed SemiB" w:hAnsi="Fira Sans Extra Condensed SemiB"/>
          <w:sz w:val="40"/>
          <w:szCs w:val="40"/>
          <w:shd w:val="clear" w:color="auto" w:fill="FFFFFF"/>
        </w:rPr>
        <w:t>2018 r.</w:t>
      </w:r>
    </w:p>
    <w:p w14:paraId="62772EEF" w14:textId="77777777" w:rsidR="00E56FD7" w:rsidRPr="00E56FD7" w:rsidRDefault="00E56FD7" w:rsidP="00E56FD7">
      <w:pPr>
        <w:spacing w:after="0" w:line="240" w:lineRule="auto"/>
        <w:jc w:val="both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E56FD7">
        <w:rPr>
          <w:rFonts w:ascii="Fira Sans Extra Condensed SemiB" w:hAnsi="Fira Sans Extra Condensed SemiB"/>
          <w:b/>
          <w:noProof/>
          <w:color w:val="212492"/>
          <w:spacing w:val="-2"/>
          <w:sz w:val="4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0DB0CF78" wp14:editId="5313DE66">
                <wp:simplePos x="0" y="0"/>
                <wp:positionH relativeFrom="column">
                  <wp:posOffset>5256530</wp:posOffset>
                </wp:positionH>
                <wp:positionV relativeFrom="paragraph">
                  <wp:posOffset>284480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0AB3C" w14:textId="77777777" w:rsidR="00E56FD7" w:rsidRPr="00074DD8" w:rsidRDefault="00E56FD7" w:rsidP="00E56FD7">
                            <w:pPr>
                              <w:pStyle w:val="tekstzboku"/>
                            </w:pPr>
                            <w:r>
                              <w:t>17.10.2018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0CF7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3.9pt;margin-top:22.4pt;width:136.6pt;height:73.5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spDAIAAPcDAAAOAAAAZHJzL2Uyb0RvYy54bWysU9tu2zAMfR+wfxD0vjjXNTXiFF27DgO6&#10;rUC3D2BkORYqiZqkxM6+fpScpsH2VtQPAmWShzyH1OqqN5rtpQ8KbcUnozFn0gqsld1W/NfPuw9L&#10;zkIEW4NGKyt+kIFfrd+/W3WulFNsUdfSMwKxoexcxdsYXVkUQbTSQBihk5acDXoDka5+W9QeOkI3&#10;upiOxx+LDn3tPAoZAv29HZx8nfGbRor4o2mCjExXnHqL+fT53KSzWK+g3HpwrRLHNuAVXRhQloqe&#10;oG4hAtt59R+UUcJjwCaOBJoCm0YJmTkQm8n4HzaPLTiZuZA4wZ1kCm8HK77vHzxTdcUXnFkwNKIH&#10;1JJF+RQidpJNk0SdCyVFPjqKjf0n7GnUmW5w9yieArN404LdymvvsWsl1NTiJGUWZ6kDTkggm+4b&#10;1lQLdhEzUN94k/QjRRih06gOp/HIPjKRSl7M5sspuQT5Lmez+SLPr4DyOdv5EL9INCwZFfc0/owO&#10;+/sQUzdQPoekYhbvlNZ5BbRlHYEupouccOYxKtKGamUqvhynb9iZRPKzrXNyBKUHmwpoe2SdiA6U&#10;Y7/pKTBJscH6QPw9DptIL4eMFv0fzjrawoqH3zvwkjP91ZKGl5P5PK1tvswXF4m9P/dszj1gBUFV&#10;PHI2mDcxr/rA9Zq0blSW4aWTY6+0XVmd40tI63t+z1Ev73X9FwAA//8DAFBLAwQUAAYACAAAACEA&#10;c8xlUd8AAAALAQAADwAAAGRycy9kb3ducmV2LnhtbEyPzU7DMBCE70h9B2uReqN2qgBpGqeqQL2C&#10;KD9Sb268TSLidRS7TXh7tic47a5mNPtNsZlcJy44hNaThmShQCBV3rZUa/h4391lIEI0ZE3nCTX8&#10;YIBNObspTG79SG942cdacAiF3GhoYuxzKUPVoDNh4Xsk1k5+cCbyOdTSDmbkcNfJpVIP0pmW+ENj&#10;enxqsPren52Gz5fT4StVr/Wzu+9HPylJbiW1nt9O2zWIiFP8M8MVn9GhZKajP5MNotOQLR8ZPWpI&#10;U55XQ6ISbnfkbZVkIMtC/u9Q/gIAAP//AwBQSwECLQAUAAYACAAAACEAtoM4kv4AAADhAQAAEwAA&#10;AAAAAAAAAAAAAAAAAAAAW0NvbnRlbnRfVHlwZXNdLnhtbFBLAQItABQABgAIAAAAIQA4/SH/1gAA&#10;AJQBAAALAAAAAAAAAAAAAAAAAC8BAABfcmVscy8ucmVsc1BLAQItABQABgAIAAAAIQAfsxspDAIA&#10;APcDAAAOAAAAAAAAAAAAAAAAAC4CAABkcnMvZTJvRG9jLnhtbFBLAQItABQABgAIAAAAIQBzzGVR&#10;3wAAAAsBAAAPAAAAAAAAAAAAAAAAAGYEAABkcnMvZG93bnJldi54bWxQSwUGAAAAAAQABADzAAAA&#10;cgUAAAAA&#10;" filled="f" stroked="f">
                <v:textbox>
                  <w:txbxContent>
                    <w:p w14:paraId="7310AB3C" w14:textId="77777777" w:rsidR="00E56FD7" w:rsidRPr="00074DD8" w:rsidRDefault="00E56FD7" w:rsidP="00E56FD7">
                      <w:pPr>
                        <w:pStyle w:val="tekstzboku"/>
                      </w:pPr>
                      <w:r>
                        <w:t>17.10.2018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507E30" w14:textId="77777777" w:rsidR="00E56FD7" w:rsidRPr="00E56FD7" w:rsidRDefault="00E56FD7" w:rsidP="00E56FD7">
      <w:pPr>
        <w:spacing w:after="0" w:line="240" w:lineRule="auto"/>
        <w:jc w:val="both"/>
        <w:rPr>
          <w:rFonts w:ascii="Fira Sans Extra Condensed SemiB" w:hAnsi="Fira Sans Extra Condensed SemiB"/>
          <w:color w:val="000000" w:themeColor="text1"/>
          <w:sz w:val="40"/>
          <w:szCs w:val="26"/>
        </w:rPr>
      </w:pPr>
      <w:r w:rsidRPr="00E56FD7">
        <w:rPr>
          <w:rFonts w:ascii="Fira Sans Extra Condensed SemiB" w:hAnsi="Fira Sans Extra Condensed SemiB"/>
          <w:noProof/>
          <w:color w:val="000000" w:themeColor="text1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C47C48C" wp14:editId="284C125E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82880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60997" w14:textId="77777777" w:rsidR="00E56FD7" w:rsidRPr="00B66B19" w:rsidRDefault="00E56FD7" w:rsidP="00E56FD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53EA83D" wp14:editId="1FC8D6F2">
                                  <wp:extent cx="323850" cy="381635"/>
                                  <wp:effectExtent l="0" t="0" r="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049" cy="384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       </w:t>
                            </w:r>
                            <w:r w:rsidRPr="009578B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0,4%</w:t>
                            </w:r>
                          </w:p>
                          <w:p w14:paraId="6E2ADC2A" w14:textId="77777777" w:rsidR="00E56FD7" w:rsidRPr="00EB6683" w:rsidRDefault="00E56FD7" w:rsidP="00E56FD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w przemyśle i w budownictwie  w porównaniu z poprzednim miesiącem</w:t>
                            </w:r>
                          </w:p>
                          <w:p w14:paraId="7D4D3030" w14:textId="77777777" w:rsidR="00E56FD7" w:rsidRPr="00EB6683" w:rsidRDefault="00E56FD7" w:rsidP="00E56FD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7C48C" id="_x0000_s1027" type="#_x0000_t202" style="position:absolute;left:0;text-align:left;margin-left:0;margin-top:1.4pt;width:2in;height:10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0aKQIAACoEAAAOAAAAZHJzL2Uyb0RvYy54bWysU81u2zAMvg/YOwi6L/5JsqRGnKJL1mFA&#10;txXo9gCKLMdCJVGTlNjd05eS0zTbbsN8EEiT/Eh+JFfXg1bkKJyXYGpaTHJKhOHQSLOv6Y/vt++W&#10;lPjATMMUGFHTJ+Hp9frtm1VvK1FCB6oRjiCI8VVva9qFYKss87wTmvkJWGHQ2ILTLKDq9lnjWI/o&#10;WmVlnr/PenCNdcCF9/h3OxrpOuG3reDhW9t6EYiqKdYW0uvSu4tvtl6xau+Y7SQ/lcH+oQrNpMGk&#10;Z6gtC4wcnPwLSkvuwEMbJhx0Bm0ruUg9YDdF/kc3Dx2zIvWC5Hh7psn/P1j+9XjviGxqWhYLSgzT&#10;OKR7UIIE8egD9IKUkaTe+gp9Hyx6h+EDDDjs1LC3d8AfPTGw6ZjZixvnoO8Ea7DIIkZmF6Ejjo8g&#10;u/4LNJiLHQIkoKF1OjKInBBEx2E9nQckhkB4TLksl8scTRxtxXQ6naMSc7DqJdw6Hz4J0CQKNXW4&#10;AQmeHe98GF1fXGI2D0o2t1KppLj9bqMcObK4LXmxXSxO6L+5KUP6ml7Ny3lCNhDjEZpVWgbcZiV1&#10;TbFM/GI4qyIdH02T5MCkGmUsWpkTP5GSkZww7IY0j0Re5G4HzRMS5mBcXjw2FDpwvyjpcXFr6n8e&#10;mBOUqM8GSb8qZrO46UmZzRclKu7Ssru0MMMRqqaBklHchHQdsWwDNzicVibaXis5lYwLmYg/HU/c&#10;+Es9eb2e+PoZAAD//wMAUEsDBBQABgAIAAAAIQDlrMML2gAAAAYBAAAPAAAAZHJzL2Rvd25yZXYu&#10;eG1sTI9BT8MwDIXvSPyHyEjcWNoKoao0ndBQD4CGYOPCzWtMW61xqibbun+PObGbn5/1/L1yObtB&#10;HWkKvWcD6SIBRdx423Nr4Gtb3+WgQkS2OHgmA2cKsKyur0osrD/xJx03sVUSwqFAA12MY6F1aDpy&#10;GBZ+JBbvx08Oo8ip1XbCk4S7QWdJ8qAd9iwfOhxp1VGz3xycgfv0vck/wveW/brO6rdndC/h1Zjb&#10;m/npEVSkOf4fwx++oEMlTDt/YBvUYECKRAOZ4IuZ5bnonQypbHRV6kv86hcAAP//AwBQSwECLQAU&#10;AAYACAAAACEAtoM4kv4AAADhAQAAEwAAAAAAAAAAAAAAAAAAAAAAW0NvbnRlbnRfVHlwZXNdLnht&#10;bFBLAQItABQABgAIAAAAIQA4/SH/1gAAAJQBAAALAAAAAAAAAAAAAAAAAC8BAABfcmVscy8ucmVs&#10;c1BLAQItABQABgAIAAAAIQBHrO0aKQIAACoEAAAOAAAAAAAAAAAAAAAAAC4CAABkcnMvZTJvRG9j&#10;LnhtbFBLAQItABQABgAIAAAAIQDlrMML2gAAAAYBAAAPAAAAAAAAAAAAAAAAAIMEAABkcnMvZG93&#10;bnJldi54bWxQSwUGAAAAAAQABADzAAAAigUAAAAA&#10;" fillcolor="#001d77" stroked="f">
                <v:textbox>
                  <w:txbxContent>
                    <w:p w14:paraId="61860997" w14:textId="77777777" w:rsidR="00E56FD7" w:rsidRPr="00B66B19" w:rsidRDefault="00E56FD7" w:rsidP="00E56FD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53EA83D" wp14:editId="1FC8D6F2">
                            <wp:extent cx="323850" cy="381635"/>
                            <wp:effectExtent l="0" t="0" r="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049" cy="3842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       </w:t>
                      </w:r>
                      <w:r w:rsidRPr="009578B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0,4%</w:t>
                      </w:r>
                    </w:p>
                    <w:p w14:paraId="6E2ADC2A" w14:textId="77777777" w:rsidR="00E56FD7" w:rsidRPr="00EB6683" w:rsidRDefault="00E56FD7" w:rsidP="00E56FD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w przemyśle i w budownictwie  w porównaniu z poprzednim miesiącem</w:t>
                      </w:r>
                    </w:p>
                    <w:p w14:paraId="7D4D3030" w14:textId="77777777" w:rsidR="00E56FD7" w:rsidRPr="00EB6683" w:rsidRDefault="00E56FD7" w:rsidP="00E56FD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56FD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Według wstępnych danych we  wrześniu  2018</w:t>
      </w:r>
      <w:r w:rsidRPr="00E56FD7">
        <w:rPr>
          <w:rFonts w:ascii="Fira Sans Extra Condensed SemiB" w:eastAsia="Times New Roman" w:hAnsi="Fira Sans Extra Condensed SemiB" w:cs="Times New Roman"/>
          <w:bCs/>
          <w:color w:val="FF0000"/>
          <w:szCs w:val="19"/>
        </w:rPr>
        <w:t xml:space="preserve"> </w:t>
      </w:r>
      <w:r w:rsidRPr="00E56FD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r. ceny produkcji sprzedanej przemysłu jak i produkcji budowlano-montażowej  były wyższe w porównaniu z sierpniem 2018 r.  o 0,4%</w:t>
      </w:r>
      <w:r w:rsidRPr="00E56FD7">
        <w:rPr>
          <w:rFonts w:ascii="Fira Sans Extra Condensed SemiB" w:eastAsia="Times New Roman" w:hAnsi="Fira Sans Extra Condensed SemiB" w:cs="Times New Roman"/>
          <w:bCs/>
          <w:color w:val="001D77"/>
          <w:sz w:val="18"/>
          <w:szCs w:val="18"/>
        </w:rPr>
        <w:t>.</w:t>
      </w:r>
    </w:p>
    <w:p w14:paraId="5805B879" w14:textId="533D1732" w:rsidR="00E56FD7" w:rsidRPr="00E56FD7" w:rsidRDefault="00533C02" w:rsidP="00533C02">
      <w:pPr>
        <w:tabs>
          <w:tab w:val="left" w:pos="1380"/>
        </w:tabs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</w:p>
    <w:p w14:paraId="6E82ED45" w14:textId="77777777" w:rsidR="00E56FD7" w:rsidRPr="00E56FD7" w:rsidRDefault="00E56FD7" w:rsidP="00E56FD7">
      <w:pPr>
        <w:rPr>
          <w:lang w:eastAsia="pl-PL"/>
        </w:rPr>
      </w:pPr>
      <w:r w:rsidRPr="00E56FD7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9695C05" wp14:editId="29FBE450">
                <wp:simplePos x="0" y="0"/>
                <wp:positionH relativeFrom="column">
                  <wp:posOffset>5256530</wp:posOffset>
                </wp:positionH>
                <wp:positionV relativeFrom="paragraph">
                  <wp:posOffset>83185</wp:posOffset>
                </wp:positionV>
                <wp:extent cx="1735200" cy="810000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200" cy="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AD0E3" w14:textId="77777777" w:rsidR="00E56FD7" w:rsidRPr="00E85E76" w:rsidRDefault="00E56FD7" w:rsidP="00E56FD7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E85E76">
                              <w:rPr>
                                <w:bCs w:val="0"/>
                                <w:color w:val="002060"/>
                              </w:rPr>
                              <w:t>Ceny w przemyśle we wrześniu 2018 r. w skali roku wzrosły o 2,9%, a w budownictwie - o 3,3%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95C05" id="_x0000_s1028" type="#_x0000_t202" style="position:absolute;margin-left:413.9pt;margin-top:6.55pt;width:136.65pt;height:63.8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+w5DgIAAP8DAAAOAAAAZHJzL2Uyb0RvYy54bWysU1Fv0zAQfkfiP1h+p0lKy7ao6TQ2hpAG&#10;TBr8gKvjNNZsn7HdJuXXc3a6UsEbIg+WL3f33X3fnVfXo9FsL31QaBtezUrOpBXYKrtt+Pdv928u&#10;OQsRbAsarWz4QQZ+vX79ajW4Ws6xR91KzwjEhnpwDe9jdHVRBNFLA2GGTlpydugNRDL9tmg9DIRu&#10;dDEvy3fFgL51HoUMgf7eTU6+zvhdJ0X82nVBRqYbTr3FfPp8btJZrFdQbz24XoljG/APXRhQloqe&#10;oO4gAtt59ReUUcJjwC7OBJoCu04JmTkQm6r8g81TD05mLiROcCeZwv+DFV/2j56plmZXcWbB0Iwe&#10;UUsW5XOIOEg2TxoNLtQU+uQoOI7vcaT4zDe4BxTPgVm87cFu5Y33OPQSWuqxSpnFWeqEExLIZviM&#10;LdWCXcQMNHbeJAFJEkboNKvDaT5yjEykkhdvlzR0zgT5LquSvlwC6pds50P8KNGwdGm4p/lndNg/&#10;hJi6gfolJBWzeK+0zjugLRsafrWcL3PCmceoSCuqlaGaqeRxaRLJD7bNyRGUnu5UQNsj60R0ohzH&#10;zZhFPom5wfZAMnicNpJeEF169D85G2gbGx5+7MBLzvQnS1JeVYtFWt9sLJYXczL8uWdz7gErCKrh&#10;kbPpehvzyk+Ub0jyTmU10mymTo4t05ZlkY4vIq3xuZ2jfr/b9S8AAAD//wMAUEsDBBQABgAIAAAA&#10;IQBH8Bup3gAAAAsBAAAPAAAAZHJzL2Rvd25yZXYueG1sTI/NTsMwEITvSLyDtUjcqJ1SaAlxKgTi&#10;Cmr5kbht420SEa+j2G3C27M9wW1WM5r9plhPvlNHGmIb2EI2M6CIq+Bari28vz1frUDFhOywC0wW&#10;fijCujw/KzB3YeQNHbepVlLCMUcLTUp9rnWsGvIYZ6EnFm8fBo9JzqHWbsBRyn2n58bcao8ty4cG&#10;e3psqPreHryFj5f91+fCvNZP/qYfw2Q0+ztt7eXF9HAPKtGU/sJwwhd0KIVpFw7souosrOZLQU9i&#10;XGegToHMZKJ2ohZmCbos9P8N5S8AAAD//wMAUEsBAi0AFAAGAAgAAAAhALaDOJL+AAAA4QEAABMA&#10;AAAAAAAAAAAAAAAAAAAAAFtDb250ZW50X1R5cGVzXS54bWxQSwECLQAUAAYACAAAACEAOP0h/9YA&#10;AACUAQAACwAAAAAAAAAAAAAAAAAvAQAAX3JlbHMvLnJlbHNQSwECLQAUAAYACAAAACEAx+PsOQ4C&#10;AAD/AwAADgAAAAAAAAAAAAAAAAAuAgAAZHJzL2Uyb0RvYy54bWxQSwECLQAUAAYACAAAACEAR/Ab&#10;qd4AAAALAQAADwAAAAAAAAAAAAAAAABoBAAAZHJzL2Rvd25yZXYueG1sUEsFBgAAAAAEAAQA8wAA&#10;AHMFAAAAAA==&#10;" filled="f" stroked="f">
                <v:textbox>
                  <w:txbxContent>
                    <w:p w14:paraId="76EAD0E3" w14:textId="77777777" w:rsidR="00E56FD7" w:rsidRPr="00E85E76" w:rsidRDefault="00E56FD7" w:rsidP="00E56FD7">
                      <w:pPr>
                        <w:pStyle w:val="tekstzboku"/>
                        <w:rPr>
                          <w:color w:val="002060"/>
                        </w:rPr>
                      </w:pPr>
                      <w:r w:rsidRPr="00E85E76">
                        <w:rPr>
                          <w:bCs w:val="0"/>
                          <w:color w:val="002060"/>
                        </w:rPr>
                        <w:t>Ceny w przemyśle we wrześniu 2018 r. w skali roku wzrosły o 2,9%, a w budownictwie - o 3,3%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FD55ED0" w14:textId="77777777" w:rsidR="00E56FD7" w:rsidRPr="00E56FD7" w:rsidRDefault="00E56FD7" w:rsidP="00E56FD7">
      <w:pPr>
        <w:jc w:val="both"/>
        <w:rPr>
          <w:shd w:val="clear" w:color="auto" w:fill="FFFFFF"/>
        </w:rPr>
      </w:pPr>
      <w:r w:rsidRPr="00E56FD7">
        <w:rPr>
          <w:shd w:val="clear" w:color="auto" w:fill="FFFFFF"/>
        </w:rPr>
        <w:t>Według wstępnych danych we  wrześniu 2018 r. ceny produkcji sprzedanej przemysłu były wyższe o 2,9% w porównaniu z wrześniem  2017 r. Wzrost cen odnotowano także   w produkcji budowlano-montażowej –   o 3,3%. W okresie styczeń–wrzesień  2018 r. ceny produkcji sprzedanej przemysłu były  o 1,9% wyższe  w porównaniu z analogicznym okresem        2017 r. (kiedy notowano wzrost o 3,3%), a ceny produkcji budowlano-montażowej wzrosły             o 2,4% (wzrost w ub. roku  o 0,4%).</w:t>
      </w:r>
    </w:p>
    <w:p w14:paraId="27A31706" w14:textId="77777777" w:rsidR="00E56FD7" w:rsidRPr="00E56FD7" w:rsidRDefault="00E56FD7" w:rsidP="00E56FD7">
      <w:pPr>
        <w:jc w:val="both"/>
        <w:rPr>
          <w:shd w:val="clear" w:color="auto" w:fill="FFFFFF"/>
        </w:rPr>
      </w:pPr>
      <w:r w:rsidRPr="00E56F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72A941" wp14:editId="2CD3F470">
                <wp:simplePos x="0" y="0"/>
                <wp:positionH relativeFrom="column">
                  <wp:posOffset>5257800</wp:posOffset>
                </wp:positionH>
                <wp:positionV relativeFrom="paragraph">
                  <wp:posOffset>393064</wp:posOffset>
                </wp:positionV>
                <wp:extent cx="1753200" cy="2600325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600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5C7F8A" w14:textId="77777777" w:rsidR="00E56FD7" w:rsidRPr="002B051D" w:rsidRDefault="00E56FD7" w:rsidP="00E56FD7">
                            <w:pPr>
                              <w:pStyle w:val="tekstzboku"/>
                              <w:jc w:val="both"/>
                              <w:rPr>
                                <w:color w:val="002060"/>
                              </w:rPr>
                            </w:pPr>
                            <w:r w:rsidRPr="002B051D">
                              <w:rPr>
                                <w:bCs w:val="0"/>
                                <w:color w:val="002060"/>
                              </w:rPr>
                              <w:t xml:space="preserve">We wrześniu  2018 r. w porównaniu z poprzednim miesiącem br.  wzrosły ceny w sekcjach: przetwórstwo przemysłowe, wytwarzanie i zaopatrywanie w energię elektryczną, gaz, parę wodną i gorącą wodę, dostawa wody; gospodarowanie ściekami i odpadami; rekultywacja. Spadły ceny w sekcji  górnictwo i wydobywanie. W porównaniu  z analogicznym miesiącem ub. roku wzrost cen zanotowano we wszystkich sekcjach przemysłu.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2A941" id="Pole tekstowe 13" o:spid="_x0000_s1029" type="#_x0000_t202" style="position:absolute;left:0;text-align:left;margin-left:414pt;margin-top:30.95pt;width:138.05pt;height:20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XaOgIAAG4EAAAOAAAAZHJzL2Uyb0RvYy54bWysVEtv2zAMvg/YfxB0X+w82xlxiqxFhgFF&#10;GyAdelZkKTYmiZqkxM5+/Sg5SYNup2EXmRQpPr6P9Pyu04ochPMNmJIOBzklwnCoGrMr6feX1adb&#10;SnxgpmIKjCjpUXh6t/j4Yd7aQoygBlUJRzCI8UVrS1qHYIss87wWmvkBWGHQKMFpFlB1u6xyrMXo&#10;WmWjPJ9lLbjKOuDCe7x96I10keJLKXh4ltKLQFRJsbaQTpfObTyzxZwVO8ds3fBTGewfqtCsMZj0&#10;EuqBBUb2rvkjlG64Aw8yDDjoDKRsuEg9YDfD/F03m5pZkXpBcLy9wOT/X1j+dFg70lTI3ZgSwzRy&#10;tAYlSBA/fIBWELxHkFrrC/TdWPQO3Rfo8MH53uNl7L2TTscvdkXQjnAfLxCLLhAeH91Mx8gbJRxt&#10;o1mej0fTGCd7e26dD18FaBKFkjrkMEHLDo8+9K5nl5jNwKpRKvGoDGlLOhtP8/TgYsHgykRfkSbi&#10;FCa21JcepdBtu4TDpd0tVEfs1kE/NN7yVYMVPTIf1szhlGAXOPnhGQ+pADPDSaKkBvfrb/fRH8lD&#10;KyUtTl1J/c89c4IS9c0grZ+Hk0kc06RMpjcjVNy1ZXttMXt9DzjYQ9wxy5MY/YM6i9KBfsUFWcas&#10;aGKGY+6ShrN4H/pdwAXjYrlMTjiYloVHs7E8ho64Rbxfulfm7ImUgHw+wXk+WfGOm963Z2e5DyCb&#10;RFzEuUcVCY8KDnWi/rSAcWuu9eT19ptY/AYAAP//AwBQSwMEFAAGAAgAAAAhAMWE4VXiAAAACwEA&#10;AA8AAABkcnMvZG93bnJldi54bWxMjzFPwzAUhHck/oP1kNio4yiUEOJUVaQKCcHQ0oXtJXaTCPs5&#10;xG4b+PW4E4ynO919V65ma9hJT35wJEEsEmCaWqcG6iTs3zd3OTAfkBQaR1rCt/awqq6vSiyUO9NW&#10;n3ahY7GEfIES+hDGgnPf9tqiX7hRU/QObrIYopw6riY8x3JreJokS25xoLjQ46jrXrefu6OV8FJv&#10;3nDbpDb/MfXz62E9fu0/7qW8vZnXT8CCnsNfGC74ER2qyNS4IynPjIQ8zeOXIGEpHoFdAiLJBLBG&#10;QvYgMuBVyf9/qH4BAAD//wMAUEsBAi0AFAAGAAgAAAAhALaDOJL+AAAA4QEAABMAAAAAAAAAAAAA&#10;AAAAAAAAAFtDb250ZW50X1R5cGVzXS54bWxQSwECLQAUAAYACAAAACEAOP0h/9YAAACUAQAACwAA&#10;AAAAAAAAAAAAAAAvAQAAX3JlbHMvLnJlbHNQSwECLQAUAAYACAAAACEAc7vF2joCAABuBAAADgAA&#10;AAAAAAAAAAAAAAAuAgAAZHJzL2Uyb0RvYy54bWxQSwECLQAUAAYACAAAACEAxYThVeIAAAALAQAA&#10;DwAAAAAAAAAAAAAAAACUBAAAZHJzL2Rvd25yZXYueG1sUEsFBgAAAAAEAAQA8wAAAKMFAAAAAA==&#10;" filled="f" stroked="f" strokeweight=".5pt">
                <v:textbox>
                  <w:txbxContent>
                    <w:p w14:paraId="295C7F8A" w14:textId="77777777" w:rsidR="00E56FD7" w:rsidRPr="002B051D" w:rsidRDefault="00E56FD7" w:rsidP="00E56FD7">
                      <w:pPr>
                        <w:pStyle w:val="tekstzboku"/>
                        <w:jc w:val="both"/>
                        <w:rPr>
                          <w:color w:val="002060"/>
                        </w:rPr>
                      </w:pPr>
                      <w:r w:rsidRPr="002B051D">
                        <w:rPr>
                          <w:bCs w:val="0"/>
                          <w:color w:val="002060"/>
                        </w:rPr>
                        <w:t xml:space="preserve">We wrześniu  2018 r. w porównaniu z poprzednim miesiącem br.  wzrosły ceny w sekcjach: przetwórstwo przemysłowe, wytwarzanie i zaopatrywanie w energię elektryczną, gaz, parę wodną i gorącą wodę, dostawa wody; gospodarowanie ściekami i odpadami; rekultywacja. Spadły ceny w sekcji  górnictwo i wydobywanie. W porównaniu  z analogicznym miesiącem ub. roku wzrost cen zanotowano we wszystkich sekcjach przemysłu.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E56FD7" w:rsidRPr="00E56FD7" w14:paraId="1DA5B0D0" w14:textId="77777777" w:rsidTr="000349E6">
        <w:tc>
          <w:tcPr>
            <w:tcW w:w="2194" w:type="dxa"/>
            <w:tcBorders>
              <w:bottom w:val="single" w:sz="4" w:space="0" w:color="001D77"/>
            </w:tcBorders>
          </w:tcPr>
          <w:p w14:paraId="36B70344" w14:textId="77777777" w:rsidR="00E56FD7" w:rsidRPr="00E56FD7" w:rsidRDefault="00E56FD7" w:rsidP="00E56FD7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  <w:tcBorders>
              <w:bottom w:val="single" w:sz="4" w:space="0" w:color="001D77"/>
            </w:tcBorders>
          </w:tcPr>
          <w:p w14:paraId="2605297D" w14:textId="77777777" w:rsidR="00E56FD7" w:rsidRPr="00E56FD7" w:rsidRDefault="00E56FD7" w:rsidP="00E56FD7">
            <w:pPr>
              <w:jc w:val="center"/>
              <w:rPr>
                <w:shd w:val="clear" w:color="auto" w:fill="FFFFFF"/>
              </w:rPr>
            </w:pPr>
            <w:r w:rsidRPr="00E56FD7">
              <w:rPr>
                <w:sz w:val="16"/>
                <w:szCs w:val="16"/>
              </w:rPr>
              <w:t>VIII 2018</w:t>
            </w:r>
          </w:p>
        </w:tc>
        <w:tc>
          <w:tcPr>
            <w:tcW w:w="2859" w:type="dxa"/>
            <w:gridSpan w:val="3"/>
            <w:tcBorders>
              <w:bottom w:val="single" w:sz="4" w:space="0" w:color="001D77"/>
            </w:tcBorders>
          </w:tcPr>
          <w:p w14:paraId="2F155576" w14:textId="77777777" w:rsidR="00E56FD7" w:rsidRPr="00E56FD7" w:rsidRDefault="00E56FD7" w:rsidP="00E56FD7">
            <w:pPr>
              <w:jc w:val="center"/>
              <w:rPr>
                <w:shd w:val="clear" w:color="auto" w:fill="FFFFFF"/>
              </w:rPr>
            </w:pPr>
            <w:r w:rsidRPr="00E56FD7">
              <w:rPr>
                <w:sz w:val="16"/>
                <w:szCs w:val="16"/>
              </w:rPr>
              <w:t>IX 2018</w:t>
            </w:r>
          </w:p>
        </w:tc>
        <w:tc>
          <w:tcPr>
            <w:tcW w:w="953" w:type="dxa"/>
            <w:tcBorders>
              <w:bottom w:val="single" w:sz="4" w:space="0" w:color="001D77"/>
            </w:tcBorders>
          </w:tcPr>
          <w:p w14:paraId="607C5A6B" w14:textId="77777777" w:rsidR="00E56FD7" w:rsidRPr="00E56FD7" w:rsidRDefault="00E56FD7" w:rsidP="00E56FD7">
            <w:pPr>
              <w:jc w:val="center"/>
              <w:rPr>
                <w:sz w:val="16"/>
                <w:szCs w:val="16"/>
              </w:rPr>
            </w:pPr>
            <w:r w:rsidRPr="00E56FD7">
              <w:rPr>
                <w:sz w:val="16"/>
                <w:szCs w:val="16"/>
              </w:rPr>
              <w:t>I-IX 2018</w:t>
            </w:r>
          </w:p>
        </w:tc>
      </w:tr>
      <w:tr w:rsidR="00E56FD7" w:rsidRPr="00E56FD7" w14:paraId="565FD880" w14:textId="77777777" w:rsidTr="000349E6">
        <w:tc>
          <w:tcPr>
            <w:tcW w:w="2194" w:type="dxa"/>
            <w:tcBorders>
              <w:top w:val="single" w:sz="4" w:space="0" w:color="001D77"/>
              <w:bottom w:val="single" w:sz="12" w:space="0" w:color="001D77"/>
            </w:tcBorders>
          </w:tcPr>
          <w:p w14:paraId="787CCB4A" w14:textId="77777777" w:rsidR="00E56FD7" w:rsidRPr="00E56FD7" w:rsidRDefault="00E56FD7" w:rsidP="00E56FD7">
            <w:pPr>
              <w:rPr>
                <w:shd w:val="clear" w:color="auto" w:fill="FFFFFF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668FCAC5" w14:textId="77777777" w:rsidR="00E56FD7" w:rsidRPr="00E56FD7" w:rsidRDefault="00E56FD7" w:rsidP="00E56FD7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E56FD7">
              <w:rPr>
                <w:spacing w:val="-12"/>
                <w:sz w:val="15"/>
                <w:szCs w:val="15"/>
              </w:rPr>
              <w:t>VII 2018=100</w:t>
            </w:r>
          </w:p>
        </w:tc>
        <w:tc>
          <w:tcPr>
            <w:tcW w:w="1906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14:paraId="3562CF31" w14:textId="77777777" w:rsidR="00E56FD7" w:rsidRPr="00E56FD7" w:rsidRDefault="00E56FD7" w:rsidP="00E56FD7">
            <w:pPr>
              <w:jc w:val="center"/>
              <w:rPr>
                <w:shd w:val="clear" w:color="auto" w:fill="FFFFFF"/>
              </w:rPr>
            </w:pPr>
            <w:r w:rsidRPr="00E56FD7">
              <w:rPr>
                <w:sz w:val="16"/>
                <w:szCs w:val="16"/>
              </w:rPr>
              <w:t>analogiczny okres 2017=100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2AB36CA9" w14:textId="77777777" w:rsidR="00E56FD7" w:rsidRPr="00E56FD7" w:rsidRDefault="00E56FD7" w:rsidP="00E56FD7">
            <w:pPr>
              <w:rPr>
                <w:spacing w:val="-12"/>
                <w:sz w:val="15"/>
                <w:szCs w:val="15"/>
              </w:rPr>
            </w:pPr>
            <w:r w:rsidRPr="00E56FD7">
              <w:rPr>
                <w:spacing w:val="-12"/>
                <w:sz w:val="15"/>
                <w:szCs w:val="15"/>
              </w:rPr>
              <w:t>VIII 2018=100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405C4B6A" w14:textId="77777777" w:rsidR="00E56FD7" w:rsidRPr="00E56FD7" w:rsidRDefault="00E56FD7" w:rsidP="00E56FD7">
            <w:pPr>
              <w:rPr>
                <w:spacing w:val="-12"/>
                <w:sz w:val="16"/>
                <w:szCs w:val="16"/>
              </w:rPr>
            </w:pPr>
            <w:r w:rsidRPr="00E56FD7">
              <w:rPr>
                <w:spacing w:val="-12"/>
                <w:sz w:val="16"/>
                <w:szCs w:val="16"/>
              </w:rPr>
              <w:t>XII 2017=100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2FC5E7F1" w14:textId="77777777" w:rsidR="00E56FD7" w:rsidRPr="00E56FD7" w:rsidRDefault="00E56FD7" w:rsidP="00E56FD7">
            <w:pPr>
              <w:jc w:val="center"/>
              <w:rPr>
                <w:sz w:val="16"/>
                <w:szCs w:val="16"/>
              </w:rPr>
            </w:pPr>
            <w:r w:rsidRPr="00E56FD7">
              <w:rPr>
                <w:sz w:val="16"/>
                <w:szCs w:val="16"/>
              </w:rPr>
              <w:t>I-IX 2017=100</w:t>
            </w:r>
          </w:p>
        </w:tc>
      </w:tr>
      <w:tr w:rsidR="00E56FD7" w:rsidRPr="00E56FD7" w14:paraId="718E87D2" w14:textId="77777777" w:rsidTr="000349E6">
        <w:tc>
          <w:tcPr>
            <w:tcW w:w="7912" w:type="dxa"/>
            <w:gridSpan w:val="7"/>
            <w:tcBorders>
              <w:top w:val="single" w:sz="12" w:space="0" w:color="001D77"/>
              <w:bottom w:val="single" w:sz="4" w:space="0" w:color="001D77"/>
            </w:tcBorders>
          </w:tcPr>
          <w:p w14:paraId="36017912" w14:textId="77777777" w:rsidR="00E56FD7" w:rsidRPr="00E56FD7" w:rsidRDefault="00E56FD7" w:rsidP="00E56FD7">
            <w:pPr>
              <w:jc w:val="center"/>
              <w:rPr>
                <w:shd w:val="clear" w:color="auto" w:fill="FFFFFF"/>
              </w:rPr>
            </w:pPr>
            <w:r w:rsidRPr="00E56FD7">
              <w:rPr>
                <w:b/>
                <w:color w:val="000000" w:themeColor="text1"/>
                <w:sz w:val="16"/>
                <w:szCs w:val="16"/>
              </w:rPr>
              <w:t>WSKAŹNIKI CEN PRODUKCJI SPRZEDANEJ PRZEMYSŁU</w:t>
            </w:r>
          </w:p>
        </w:tc>
      </w:tr>
      <w:tr w:rsidR="00E56FD7" w:rsidRPr="00E56FD7" w14:paraId="7EC22D0A" w14:textId="77777777" w:rsidTr="000349E6">
        <w:tc>
          <w:tcPr>
            <w:tcW w:w="2194" w:type="dxa"/>
            <w:tcBorders>
              <w:top w:val="single" w:sz="4" w:space="0" w:color="001D77"/>
            </w:tcBorders>
          </w:tcPr>
          <w:p w14:paraId="03FD6CCB" w14:textId="77777777" w:rsidR="00E56FD7" w:rsidRPr="00E56FD7" w:rsidRDefault="00E56FD7" w:rsidP="00E56FD7">
            <w:pPr>
              <w:rPr>
                <w:shd w:val="clear" w:color="auto" w:fill="FFFFFF"/>
              </w:rPr>
            </w:pPr>
            <w:r w:rsidRPr="00E56FD7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2C4351A2" w14:textId="77777777" w:rsidR="00E56FD7" w:rsidRPr="00E56FD7" w:rsidRDefault="00E56FD7" w:rsidP="00E56FD7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2D9F7BEF" w14:textId="77777777" w:rsidR="00E56FD7" w:rsidRPr="00E56FD7" w:rsidRDefault="00E56FD7" w:rsidP="00E56FD7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103,0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5A624F9F" w14:textId="77777777" w:rsidR="00E56FD7" w:rsidRPr="00E56FD7" w:rsidRDefault="00E56FD7" w:rsidP="00E56F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b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089571C3" w14:textId="77777777" w:rsidR="00E56FD7" w:rsidRPr="00E56FD7" w:rsidRDefault="00E56FD7" w:rsidP="00E56F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683A0800" w14:textId="77777777" w:rsidR="00E56FD7" w:rsidRPr="00E56FD7" w:rsidRDefault="00E56FD7" w:rsidP="00E56F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b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1551D0C1" w14:textId="77777777" w:rsidR="00E56FD7" w:rsidRPr="00E56FD7" w:rsidRDefault="00E56FD7" w:rsidP="00E56F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b/>
                <w:color w:val="000000" w:themeColor="text1"/>
                <w:sz w:val="16"/>
                <w:szCs w:val="16"/>
              </w:rPr>
              <w:t>101,9</w:t>
            </w:r>
          </w:p>
        </w:tc>
      </w:tr>
      <w:tr w:rsidR="00E56FD7" w:rsidRPr="00E56FD7" w14:paraId="5EE0D82B" w14:textId="77777777" w:rsidTr="000349E6">
        <w:tc>
          <w:tcPr>
            <w:tcW w:w="2194" w:type="dxa"/>
          </w:tcPr>
          <w:p w14:paraId="7A46C9EC" w14:textId="77777777" w:rsidR="00E56FD7" w:rsidRPr="00E56FD7" w:rsidRDefault="00E56FD7" w:rsidP="00E56FD7">
            <w:pPr>
              <w:rPr>
                <w:shd w:val="clear" w:color="auto" w:fill="FFFFFF"/>
              </w:rPr>
            </w:pPr>
            <w:r w:rsidRPr="00E56FD7">
              <w:rPr>
                <w:color w:val="000000" w:themeColor="text1"/>
                <w:sz w:val="16"/>
                <w:szCs w:val="16"/>
                <w:lang w:val="en-US"/>
              </w:rPr>
              <w:t>Górnictwo i wydobywanie</w:t>
            </w:r>
          </w:p>
        </w:tc>
        <w:tc>
          <w:tcPr>
            <w:tcW w:w="953" w:type="dxa"/>
            <w:vAlign w:val="center"/>
          </w:tcPr>
          <w:p w14:paraId="08BD5527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99,0*</w:t>
            </w:r>
          </w:p>
        </w:tc>
        <w:tc>
          <w:tcPr>
            <w:tcW w:w="953" w:type="dxa"/>
            <w:vAlign w:val="center"/>
          </w:tcPr>
          <w:p w14:paraId="62787ABA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953" w:type="dxa"/>
            <w:vAlign w:val="center"/>
          </w:tcPr>
          <w:p w14:paraId="43092F4D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953" w:type="dxa"/>
            <w:vAlign w:val="center"/>
          </w:tcPr>
          <w:p w14:paraId="52686EDE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953" w:type="dxa"/>
            <w:vAlign w:val="center"/>
          </w:tcPr>
          <w:p w14:paraId="0B7228F2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53" w:type="dxa"/>
            <w:vAlign w:val="center"/>
          </w:tcPr>
          <w:p w14:paraId="35998DC7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</w:tr>
      <w:tr w:rsidR="00E56FD7" w:rsidRPr="00E56FD7" w14:paraId="0E07EEF0" w14:textId="77777777" w:rsidTr="000349E6">
        <w:tc>
          <w:tcPr>
            <w:tcW w:w="2194" w:type="dxa"/>
          </w:tcPr>
          <w:p w14:paraId="72D1D165" w14:textId="77777777" w:rsidR="00E56FD7" w:rsidRPr="00E56FD7" w:rsidRDefault="00E56FD7" w:rsidP="00E56FD7">
            <w:pPr>
              <w:rPr>
                <w:shd w:val="clear" w:color="auto" w:fill="FFFFFF"/>
              </w:rPr>
            </w:pPr>
            <w:r w:rsidRPr="00E56FD7">
              <w:rPr>
                <w:color w:val="000000" w:themeColor="text1"/>
                <w:sz w:val="16"/>
                <w:szCs w:val="16"/>
                <w:lang w:val="en-US"/>
              </w:rPr>
              <w:t>Przetwórstwo przemysłowe</w:t>
            </w:r>
          </w:p>
        </w:tc>
        <w:tc>
          <w:tcPr>
            <w:tcW w:w="953" w:type="dxa"/>
            <w:vAlign w:val="center"/>
          </w:tcPr>
          <w:p w14:paraId="765AFF7B" w14:textId="77777777" w:rsidR="00E56FD7" w:rsidRPr="00E56FD7" w:rsidRDefault="00E56FD7" w:rsidP="00E56FD7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53" w:type="dxa"/>
            <w:vAlign w:val="center"/>
          </w:tcPr>
          <w:p w14:paraId="1C081230" w14:textId="77777777" w:rsidR="00E56FD7" w:rsidRPr="00E56FD7" w:rsidRDefault="00E56FD7" w:rsidP="00E56FD7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 xml:space="preserve">  103,2</w:t>
            </w:r>
          </w:p>
        </w:tc>
        <w:tc>
          <w:tcPr>
            <w:tcW w:w="953" w:type="dxa"/>
            <w:vAlign w:val="center"/>
          </w:tcPr>
          <w:p w14:paraId="7CAE82B1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53" w:type="dxa"/>
            <w:vAlign w:val="center"/>
          </w:tcPr>
          <w:p w14:paraId="4DD8B68A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53" w:type="dxa"/>
            <w:vAlign w:val="center"/>
          </w:tcPr>
          <w:p w14:paraId="0DDF97E4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53" w:type="dxa"/>
            <w:vAlign w:val="center"/>
          </w:tcPr>
          <w:p w14:paraId="55D2AB71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</w:tr>
      <w:tr w:rsidR="00E56FD7" w:rsidRPr="00E56FD7" w14:paraId="1AC42807" w14:textId="77777777" w:rsidTr="000349E6">
        <w:tc>
          <w:tcPr>
            <w:tcW w:w="2194" w:type="dxa"/>
          </w:tcPr>
          <w:p w14:paraId="61661B57" w14:textId="77777777" w:rsidR="00E56FD7" w:rsidRPr="00E56FD7" w:rsidRDefault="00E56FD7" w:rsidP="00E56FD7">
            <w:pPr>
              <w:rPr>
                <w:shd w:val="clear" w:color="auto" w:fill="FFFFFF"/>
              </w:rPr>
            </w:pPr>
            <w:r w:rsidRPr="00E56FD7">
              <w:rPr>
                <w:color w:val="000000" w:themeColor="text1"/>
                <w:sz w:val="16"/>
                <w:szCs w:val="16"/>
              </w:rPr>
              <w:t>Wytwarzanie i zaopatrywanie w energię elektryczną, gaz, parę wodną i gorącą wodę</w:t>
            </w:r>
            <w:r w:rsidRPr="00E56FD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953" w:type="dxa"/>
            <w:vAlign w:val="center"/>
          </w:tcPr>
          <w:p w14:paraId="2533D49D" w14:textId="77777777" w:rsidR="00E56FD7" w:rsidRPr="00E56FD7" w:rsidRDefault="00E56FD7" w:rsidP="00E56FD7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100,7*</w:t>
            </w:r>
          </w:p>
        </w:tc>
        <w:tc>
          <w:tcPr>
            <w:tcW w:w="953" w:type="dxa"/>
            <w:vAlign w:val="center"/>
          </w:tcPr>
          <w:p w14:paraId="5070561D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100,9*</w:t>
            </w:r>
          </w:p>
        </w:tc>
        <w:tc>
          <w:tcPr>
            <w:tcW w:w="953" w:type="dxa"/>
            <w:vAlign w:val="center"/>
          </w:tcPr>
          <w:p w14:paraId="00A47087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53" w:type="dxa"/>
            <w:vAlign w:val="center"/>
          </w:tcPr>
          <w:p w14:paraId="3F7DA44A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52147C08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953" w:type="dxa"/>
            <w:vAlign w:val="center"/>
          </w:tcPr>
          <w:p w14:paraId="76E71957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</w:tr>
      <w:tr w:rsidR="00E56FD7" w:rsidRPr="00E56FD7" w14:paraId="5FE61566" w14:textId="77777777" w:rsidTr="000349E6">
        <w:tc>
          <w:tcPr>
            <w:tcW w:w="2194" w:type="dxa"/>
          </w:tcPr>
          <w:p w14:paraId="72404D1C" w14:textId="77777777" w:rsidR="00E56FD7" w:rsidRPr="00E56FD7" w:rsidRDefault="00E56FD7" w:rsidP="00E56FD7">
            <w:pPr>
              <w:rPr>
                <w:shd w:val="clear" w:color="auto" w:fill="FFFFFF"/>
              </w:rPr>
            </w:pPr>
            <w:r w:rsidRPr="00E56FD7">
              <w:rPr>
                <w:color w:val="000000" w:themeColor="text1"/>
                <w:sz w:val="16"/>
                <w:szCs w:val="16"/>
              </w:rPr>
              <w:t>Dostawa wody; gospodarowanie ściekami i odpadami; rekultywacja</w:t>
            </w:r>
            <w:r w:rsidRPr="00E56FD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953" w:type="dxa"/>
            <w:vAlign w:val="center"/>
          </w:tcPr>
          <w:p w14:paraId="27DB30B2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53" w:type="dxa"/>
            <w:vAlign w:val="center"/>
          </w:tcPr>
          <w:p w14:paraId="1EE7EA84" w14:textId="77777777" w:rsidR="00E56FD7" w:rsidRPr="00E56FD7" w:rsidRDefault="00E56FD7" w:rsidP="00E56FD7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53" w:type="dxa"/>
            <w:vAlign w:val="center"/>
          </w:tcPr>
          <w:p w14:paraId="421C993A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53" w:type="dxa"/>
            <w:vAlign w:val="center"/>
          </w:tcPr>
          <w:p w14:paraId="5E2F26A7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53" w:type="dxa"/>
            <w:vAlign w:val="center"/>
          </w:tcPr>
          <w:p w14:paraId="51EAB3AD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53" w:type="dxa"/>
            <w:vAlign w:val="center"/>
          </w:tcPr>
          <w:p w14:paraId="33FBD9FA" w14:textId="77777777" w:rsidR="00E56FD7" w:rsidRPr="00E56FD7" w:rsidRDefault="00E56FD7" w:rsidP="00E56F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</w:tr>
      <w:tr w:rsidR="00E56FD7" w:rsidRPr="00E56FD7" w14:paraId="77BD214A" w14:textId="77777777" w:rsidTr="000349E6">
        <w:tc>
          <w:tcPr>
            <w:tcW w:w="7912" w:type="dxa"/>
            <w:gridSpan w:val="7"/>
            <w:tcBorders>
              <w:bottom w:val="single" w:sz="4" w:space="0" w:color="001D77"/>
            </w:tcBorders>
          </w:tcPr>
          <w:p w14:paraId="18CFD222" w14:textId="77777777" w:rsidR="00E56FD7" w:rsidRPr="00E56FD7" w:rsidRDefault="00E56FD7" w:rsidP="00E56FD7">
            <w:pPr>
              <w:jc w:val="center"/>
              <w:rPr>
                <w:shd w:val="clear" w:color="auto" w:fill="FFFFFF"/>
              </w:rPr>
            </w:pPr>
            <w:r w:rsidRPr="00E56FD7">
              <w:rPr>
                <w:b/>
                <w:color w:val="000000" w:themeColor="text1"/>
                <w:sz w:val="16"/>
                <w:szCs w:val="16"/>
              </w:rPr>
              <w:t>WSKAŹNIKI CEN PRODUKCJI BUDOWLANO-MONTAŻOWEJ</w:t>
            </w:r>
          </w:p>
        </w:tc>
      </w:tr>
      <w:tr w:rsidR="00E56FD7" w:rsidRPr="00E56FD7" w14:paraId="13AE75FA" w14:textId="77777777" w:rsidTr="000349E6">
        <w:trPr>
          <w:trHeight w:val="341"/>
        </w:trPr>
        <w:tc>
          <w:tcPr>
            <w:tcW w:w="2194" w:type="dxa"/>
            <w:tcBorders>
              <w:top w:val="single" w:sz="4" w:space="0" w:color="001D77"/>
              <w:bottom w:val="nil"/>
            </w:tcBorders>
          </w:tcPr>
          <w:p w14:paraId="2DB303E7" w14:textId="77777777" w:rsidR="00E56FD7" w:rsidRPr="00E56FD7" w:rsidRDefault="00E56FD7" w:rsidP="00E56FD7">
            <w:pPr>
              <w:rPr>
                <w:shd w:val="clear" w:color="auto" w:fill="FFFFFF"/>
              </w:rPr>
            </w:pPr>
            <w:r w:rsidRPr="00E56FD7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47A97DAC" w14:textId="77777777" w:rsidR="00E56FD7" w:rsidRPr="00E56FD7" w:rsidRDefault="00E56FD7" w:rsidP="00E56FD7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4C4717A2" w14:textId="77777777" w:rsidR="00E56FD7" w:rsidRPr="00E56FD7" w:rsidRDefault="00E56FD7" w:rsidP="00E56FD7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b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5E628E1F" w14:textId="77777777" w:rsidR="00E56FD7" w:rsidRPr="00E56FD7" w:rsidRDefault="00E56FD7" w:rsidP="00E56F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b/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05F3272A" w14:textId="77777777" w:rsidR="00E56FD7" w:rsidRPr="00E56FD7" w:rsidRDefault="00E56FD7" w:rsidP="00E56F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5C3218F3" w14:textId="77777777" w:rsidR="00E56FD7" w:rsidRPr="00E56FD7" w:rsidRDefault="00E56FD7" w:rsidP="00E56F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b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08F3FFF1" w14:textId="77777777" w:rsidR="00E56FD7" w:rsidRPr="00E56FD7" w:rsidRDefault="00E56FD7" w:rsidP="00E56FD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56FD7">
              <w:rPr>
                <w:rFonts w:cs="Arial"/>
                <w:b/>
                <w:color w:val="000000" w:themeColor="text1"/>
                <w:sz w:val="16"/>
                <w:szCs w:val="16"/>
              </w:rPr>
              <w:t>102,4</w:t>
            </w:r>
          </w:p>
        </w:tc>
      </w:tr>
    </w:tbl>
    <w:p w14:paraId="26F0BEDB" w14:textId="77777777" w:rsidR="00E56FD7" w:rsidRPr="00E56FD7" w:rsidRDefault="00E56FD7" w:rsidP="00E56FD7">
      <w:pPr>
        <w:spacing w:before="240" w:after="0" w:line="240" w:lineRule="auto"/>
        <w:rPr>
          <w:rFonts w:cs="Arial"/>
          <w:sz w:val="16"/>
          <w:szCs w:val="16"/>
        </w:rPr>
      </w:pPr>
      <w:r w:rsidRPr="00E56FD7">
        <w:rPr>
          <w:rFonts w:cs="Arial"/>
          <w:i/>
          <w:sz w:val="16"/>
          <w:szCs w:val="16"/>
          <w:vertAlign w:val="superscript"/>
        </w:rPr>
        <w:t xml:space="preserve">a) </w:t>
      </w:r>
      <w:r w:rsidRPr="00E56FD7">
        <w:rPr>
          <w:rFonts w:cs="Arial"/>
          <w:sz w:val="16"/>
          <w:szCs w:val="16"/>
        </w:rPr>
        <w:t>Nazwa skrócona według PKD 2007</w:t>
      </w:r>
    </w:p>
    <w:p w14:paraId="7CD69286" w14:textId="77777777" w:rsidR="00E56FD7" w:rsidRPr="00E56FD7" w:rsidRDefault="00E56FD7" w:rsidP="00E56FD7">
      <w:pPr>
        <w:spacing w:before="0" w:after="0" w:line="240" w:lineRule="auto"/>
        <w:rPr>
          <w:rFonts w:cs="Arial"/>
          <w:sz w:val="16"/>
          <w:szCs w:val="16"/>
        </w:rPr>
      </w:pPr>
      <w:r w:rsidRPr="00E56FD7">
        <w:rPr>
          <w:rFonts w:cs="Arial"/>
          <w:sz w:val="16"/>
          <w:szCs w:val="16"/>
        </w:rPr>
        <w:t>* Dane zmienione w stosunku do wcześniej opublikowanych.</w:t>
      </w:r>
    </w:p>
    <w:p w14:paraId="4EC01D02" w14:textId="77777777" w:rsidR="00E56FD7" w:rsidRPr="00E56FD7" w:rsidRDefault="00E56FD7" w:rsidP="00E56FD7"/>
    <w:p w14:paraId="3B25B928" w14:textId="77777777" w:rsidR="00E56FD7" w:rsidRPr="00E56FD7" w:rsidRDefault="00E56FD7" w:rsidP="00E56FD7">
      <w:pPr>
        <w:keepNext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E56FD7"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5A552DA6" wp14:editId="10C525A7">
                <wp:simplePos x="0" y="0"/>
                <wp:positionH relativeFrom="column">
                  <wp:posOffset>5256530</wp:posOffset>
                </wp:positionH>
                <wp:positionV relativeFrom="paragraph">
                  <wp:posOffset>79375</wp:posOffset>
                </wp:positionV>
                <wp:extent cx="1753200" cy="1846800"/>
                <wp:effectExtent l="0" t="0" r="0" b="1270"/>
                <wp:wrapTight wrapText="bothSides">
                  <wp:wrapPolygon edited="0">
                    <wp:start x="704" y="0"/>
                    <wp:lineTo x="704" y="21392"/>
                    <wp:lineTo x="20661" y="21392"/>
                    <wp:lineTo x="20661" y="0"/>
                    <wp:lineTo x="704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00" cy="184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59A56" w14:textId="77777777" w:rsidR="00E56FD7" w:rsidRPr="008529A7" w:rsidRDefault="00E56FD7" w:rsidP="00E56FD7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8529A7">
                              <w:rPr>
                                <w:color w:val="002060"/>
                              </w:rPr>
                              <w:t>We  wrześniu  2018 r. w stosunku do poprzedniego miesiąca najbardziej wzrosły ceny w produkcji  koksu i produktów rafinacji ropy naftowej  o 2,0% (w stosunku do grudnia ub. roku wzrost ten wyniósł  19,4% , a w stosunku do września poprzedniego roku – 27,1%.)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52DA6" id="Pole tekstowe 6" o:spid="_x0000_s1030" type="#_x0000_t202" style="position:absolute;margin-left:413.9pt;margin-top:6.25pt;width:138.05pt;height:145.4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2PEQIAAP8DAAAOAAAAZHJzL2Uyb0RvYy54bWysU8Fu2zAMvQ/YPwi6L06yJE2NOEXXrsOA&#10;bivQ7QMYWY6FSqImKbGzry8lJ1mw3Yb5IIgm+cj3SK1ueqPZXvqg0FZ8MhpzJq3AWtltxX98f3i3&#10;5CxEsDVotLLiBxn4zfrtm1XnSjnFFnUtPSMQG8rOVbyN0ZVFEUQrDYQROmnJ2aA3EMn026L20BG6&#10;0cV0PF4UHfraeRQyBPp7Pzj5OuM3jRTxW9MEGZmuOPUW8+nzuUlnsV5BufXgWiWObcA/dGFAWSp6&#10;hrqHCGzn1V9QRgmPAZs4EmgKbBolZOZAbCbjP9g8t+Bk5kLiBHeWKfw/WPF1/+SZqiu+4MyCoRE9&#10;oZYsypcQsZNskSTqXCgp8tlRbOw/YE+jznSDe0TxEpjFuxbsVt56j10roaYWJymzuEgdcEIC2XRf&#10;sKZasIuYgfrGm6QfKcIInUZ1OI9H9pGJVPJq/p5mzpkg32Q5WyzJSDWgPKU7H+IniYalS8U9zT/D&#10;w/4xxCH0FJKqWXxQWtN/KLVlXcWv59N5TrjwGBVpRbUyFaeC9A1Lk1h+tHVOjqD0cKdetD3STkwH&#10;zrHf9Fnk2UnNDdYH0sHjsJH0gujSov/FWUfbWPHwcwdecqY/W9LyejKbpfXNxmx+NSXDX3o2lx6w&#10;gqAqHjkbrncxr/xA+ZY0b1RWIw1n6OTYMm1Z1vP4ItIaX9o56ve7Xb8CAAD//wMAUEsDBBQABgAI&#10;AAAAIQAW0eoN3wAAAAsBAAAPAAAAZHJzL2Rvd25yZXYueG1sTI9BT8JAFITvJv6HzTPxJru0glC7&#10;JUTjVSMIibdH99E2dN823YXWf+9y0uNkJjPf5KvRtuJCvW8ca5hOFAji0pmGKw1f27eHBQgfkA22&#10;jknDD3lYFbc3OWbGDfxJl02oRCxhn6GGOoQuk9KXNVn0E9cRR+/oeoshyr6SpschlttWJkrNpcWG&#10;40KNHb3UVJ42Z6th93783j+qj+rVzrrBjUqyXUqt7+/G9TOIQGP4C8MVP6JDEZkO7szGi1bDInmK&#10;6CEayQzENTBV6RLEQUOq0hRkkcv/H4pfAAAA//8DAFBLAQItABQABgAIAAAAIQC2gziS/gAAAOEB&#10;AAATAAAAAAAAAAAAAAAAAAAAAABbQ29udGVudF9UeXBlc10ueG1sUEsBAi0AFAAGAAgAAAAhADj9&#10;If/WAAAAlAEAAAsAAAAAAAAAAAAAAAAALwEAAF9yZWxzLy5yZWxzUEsBAi0AFAAGAAgAAAAhAGBR&#10;/Y8RAgAA/wMAAA4AAAAAAAAAAAAAAAAALgIAAGRycy9lMm9Eb2MueG1sUEsBAi0AFAAGAAgAAAAh&#10;ABbR6g3fAAAACwEAAA8AAAAAAAAAAAAAAAAAawQAAGRycy9kb3ducmV2LnhtbFBLBQYAAAAABAAE&#10;APMAAAB3BQAAAAA=&#10;" filled="f" stroked="f">
                <v:textbox>
                  <w:txbxContent>
                    <w:p w14:paraId="5C959A56" w14:textId="77777777" w:rsidR="00E56FD7" w:rsidRPr="008529A7" w:rsidRDefault="00E56FD7" w:rsidP="00E56FD7">
                      <w:pPr>
                        <w:pStyle w:val="tekstzboku"/>
                        <w:rPr>
                          <w:color w:val="002060"/>
                        </w:rPr>
                      </w:pPr>
                      <w:r w:rsidRPr="008529A7">
                        <w:rPr>
                          <w:color w:val="002060"/>
                        </w:rPr>
                        <w:t>We  wrześniu  2018 r. w stosunku do poprzedniego miesiąca najbardziej wzrosły ceny w produkcji  koksu i produktów rafinacji ropy naftowej  o 2,0% (w stosunku do grudnia ub. roku wzrost ten wyniósł  19,4% , a w stosunku do września poprzedniego roku – 27,1%.)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56FD7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W</w:t>
      </w:r>
      <w:bookmarkStart w:id="0" w:name="_GoBack"/>
      <w:r w:rsidRPr="00E56FD7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skaźniki cen produkcji sprzedanej przemysłu</w:t>
      </w:r>
    </w:p>
    <w:bookmarkEnd w:id="0"/>
    <w:p w14:paraId="313D0ECC" w14:textId="77777777" w:rsidR="00E56FD7" w:rsidRPr="00E56FD7" w:rsidRDefault="00E56FD7" w:rsidP="00E56FD7">
      <w:pPr>
        <w:jc w:val="both"/>
        <w:rPr>
          <w:shd w:val="clear" w:color="auto" w:fill="FFFFFF"/>
        </w:rPr>
      </w:pPr>
      <w:r w:rsidRPr="00E56F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42442B" wp14:editId="673E10EB">
                <wp:simplePos x="0" y="0"/>
                <wp:positionH relativeFrom="column">
                  <wp:posOffset>5257800</wp:posOffset>
                </wp:positionH>
                <wp:positionV relativeFrom="paragraph">
                  <wp:posOffset>2540000</wp:posOffset>
                </wp:positionV>
                <wp:extent cx="1753200" cy="173355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4EC0D6" w14:textId="77777777" w:rsidR="00E56FD7" w:rsidRDefault="00E56FD7" w:rsidP="00E56FD7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2442B" id="Pole tekstowe 15" o:spid="_x0000_s1031" type="#_x0000_t202" style="position:absolute;left:0;text-align:left;margin-left:414pt;margin-top:200pt;width:138.05pt;height:13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0TOgIAAG4EAAAOAAAAZHJzL2Uyb0RvYy54bWysVE1PGzEQvVfqf7B8L5sPAu2KDUpBVJUi&#10;QIKKs+P1JqvaHtd22E1/fZ+9SaC0p6oX73x5PPPezF5c9kazZ+VDS7bi45MRZ8pKqlu7rvi3x5sP&#10;HzkLUdhaaLKq4jsV+OX8/buLzpVqQhvStfIMSWwoO1fxTYyuLIogN8qIcEJOWTgb8kZEqH5d1F50&#10;yG50MRmNzoqOfO08SRUCrNeDk89z/qZRMt41TVCR6YqjtphPn89VOov5hSjXXrhNK/dliH+owojW&#10;4tFjqmsRBdv69o9UppWeAjXxRJIpqGlaqXIP6GY8etPNw0Y4lXsBOMEdYQr/L628fb73rK3B3Ywz&#10;Kww4uietWFTfQ6ROMdgBUudCidgHh+jYf6YeFw72AGPqvW+8SV90xeAH3LsjxKqPTKZL57MpeONM&#10;wjc+n05ns0xC8XLd+RC/KDIsCRX34DBDK56XIaIUhB5C0muWblqtM4/asq7iZ1Ok/M2DG9omi8oT&#10;sU+TWhpKT1LsV33G4djuiuoduvU0DE1w8qZFRUsR4r3wmBJ0gcmPdzgaTXiZ9hJnG/I//2ZP8SAP&#10;Xs46TF3Fw4+t8Ioz/dWC1k/j09M0plk5nZ1PoPjXntVrj92aK8Jgj7FjTmYxxUd9EBtP5gkLskiv&#10;wiWsxNsVjwfxKg67gAWTarHIQRhMJ+LSPjiZUifcEt6P/ZPwbk9KBJ+3dJhPUb7hZogdOFhsIzVt&#10;Ji7hPKAKFpOCoc587hcwbc1rPUe9/CbmvwAAAP//AwBQSwMEFAAGAAgAAAAhAEtt2anjAAAADAEA&#10;AA8AAABkcnMvZG93bnJldi54bWxMj8FOwzAQRO9I/IO1SNyonVBKlMapqkgVEoJDSy+9OfE2ibDX&#10;IXbbwNfjnuA2qxnNvilWkzXsjKPvHUlIZgIYUuN0T62E/cfmIQPmgyKtjCOU8I0eVuXtTaFy7S60&#10;xfMutCyWkM+VhC6EIefcNx1a5WduQIre0Y1WhXiOLdejusRya3gqxIJb1VP80KkBqw6bz93JSnit&#10;Nu9qW6c2+zHVy9txPXztD09S3t9N6yWwgFP4C8MVP6JDGZlqdyLtmZGQpVncEiTMhYjimkjEPAFW&#10;S1g8PwrgZcH/jyh/AQAA//8DAFBLAQItABQABgAIAAAAIQC2gziS/gAAAOEBAAATAAAAAAAAAAAA&#10;AAAAAAAAAABbQ29udGVudF9UeXBlc10ueG1sUEsBAi0AFAAGAAgAAAAhADj9If/WAAAAlAEAAAsA&#10;AAAAAAAAAAAAAAAALwEAAF9yZWxzLy5yZWxzUEsBAi0AFAAGAAgAAAAhAJARPRM6AgAAbgQAAA4A&#10;AAAAAAAAAAAAAAAALgIAAGRycy9lMm9Eb2MueG1sUEsBAi0AFAAGAAgAAAAhAEtt2anjAAAADAEA&#10;AA8AAAAAAAAAAAAAAAAAlAQAAGRycy9kb3ducmV2LnhtbFBLBQYAAAAABAAEAPMAAACkBQAAAAA=&#10;" filled="f" stroked="f" strokeweight=".5pt">
                <v:textbox>
                  <w:txbxContent>
                    <w:p w14:paraId="724EC0D6" w14:textId="77777777" w:rsidR="00E56FD7" w:rsidRDefault="00E56FD7" w:rsidP="00E56FD7">
                      <w:pPr>
                        <w:pStyle w:val="tekstzboku"/>
                      </w:pPr>
                    </w:p>
                  </w:txbxContent>
                </v:textbox>
              </v:shape>
            </w:pict>
          </mc:Fallback>
        </mc:AlternateContent>
      </w:r>
      <w:r w:rsidRPr="00E56FD7">
        <w:rPr>
          <w:shd w:val="clear" w:color="auto" w:fill="FFFFFF"/>
        </w:rPr>
        <w:t xml:space="preserve">Według wstępnych danych we wrześniu 2018 r. </w:t>
      </w:r>
      <w:r w:rsidRPr="00E56FD7">
        <w:rPr>
          <w:b/>
          <w:shd w:val="clear" w:color="auto" w:fill="FFFFFF"/>
        </w:rPr>
        <w:t>ceny produkcji sprzedanej przemysłu</w:t>
      </w:r>
      <w:r w:rsidRPr="00E56FD7">
        <w:rPr>
          <w:shd w:val="clear" w:color="auto" w:fill="FFFFFF"/>
        </w:rPr>
        <w:t xml:space="preserve"> były wyższe o 0,4% niż w poprzednim miesiącu. O  0,4% wzrosły także ceny w sekcji przetwórstwo przemysłowe.</w:t>
      </w:r>
      <w:r w:rsidRPr="00E56FD7">
        <w:rPr>
          <w:b/>
          <w:shd w:val="clear" w:color="auto" w:fill="FFFFFF"/>
        </w:rPr>
        <w:t xml:space="preserve"> </w:t>
      </w:r>
      <w:r w:rsidRPr="00E56FD7">
        <w:rPr>
          <w:shd w:val="clear" w:color="auto" w:fill="FFFFFF"/>
        </w:rPr>
        <w:t xml:space="preserve">Największy wzrost cen zanotowano w produkcji koksu i produktów rafinacji ropy naftowej (o 2,0%). Wzrosły również ceny m.in.  skór i  wyrobów skórzanych  (o 1,4%), chemikaliów i wyrobów chemicznych  (o 0,7%), wyrobów farmaceutycznych, wyrobów z metali (po 0,5%), papieru i wyrobów z papieru, wyrobów z pozostałych mineralnych surowców niemetalicznych (po 0,4%), artykułów spożywczych, wyrobów z gumy i tworzyw sztucznych, urządzeń elektrycznych, pojazdów samochodowych, przyczep  i naczep  (po 0,3%), metali, komputerów, wyrobów elektronicznych i optycznych (po 0,2%). Ceny w produkcji  pozostałego sprzętu transportowego  pozostały na  niezmienionym poziomie. Spadły natomiast ceny m.in.  w poligrafii i reprodukcji zapisanych nośników informacji, produkcji maszyn i urządzeń (po 0,1% ), wyrobów z drewna, korka, słomy i wikliny, mebli (po 0,2%), wyrobów tekstylnych (o 0,3 %), odzieży (o 0,4%), napojów (o 0,5%), wyrobów tytoniowych (o 0,6%). Ceny w sekcji wytwarzanie i zaopatrywanie               w energię elektryczną, gaz, parę wodną  i gorącą wodę wzrosły o 0,2% a w sekcji dostawa wody, gospodarowanie ściekami i odpadami, rekultywacja o 0,1%. Obniżono natomiast ceny w sekcji  górnictwo i wydobywanie o 0,2%.        </w:t>
      </w:r>
    </w:p>
    <w:p w14:paraId="0E6D64BB" w14:textId="77777777" w:rsidR="00E56FD7" w:rsidRPr="00E56FD7" w:rsidRDefault="00E56FD7" w:rsidP="00E56FD7">
      <w:pPr>
        <w:jc w:val="both"/>
        <w:rPr>
          <w:shd w:val="clear" w:color="auto" w:fill="FFFFFF"/>
        </w:rPr>
      </w:pPr>
      <w:r w:rsidRPr="00E56FD7">
        <w:rPr>
          <w:shd w:val="clear" w:color="auto" w:fill="FFFFFF"/>
        </w:rPr>
        <w:t>We wrześniu  2018 r. ceny produkcji sprzedanej przemysłu  były o 2,9% wyższe niż przed rokiem. Największy wzrost cen zanotowano w górnictwie i wydobywaniu o 4,7% w tym  najbardziej            w wydobywaniu węgla  kamiennego i węgla brunatnego (lignitu)  (o 12,4%) przy spadku cen      w górnictwie rud metali (o 6,6%).</w:t>
      </w:r>
      <w:r w:rsidRPr="00E56FD7">
        <w:rPr>
          <w:color w:val="FF0000"/>
          <w:shd w:val="clear" w:color="auto" w:fill="FFFFFF"/>
        </w:rPr>
        <w:t xml:space="preserve"> </w:t>
      </w:r>
      <w:r w:rsidRPr="00E56FD7">
        <w:rPr>
          <w:shd w:val="clear" w:color="auto" w:fill="FFFFFF"/>
        </w:rPr>
        <w:t xml:space="preserve">Wzrosły również ceny w przetwórstwie przemysłowym                o 3,0%, w tym najbardziej w produkcji koksu i produktów rafinacji ropy naftowej (o 27,1%). Podniesiono także  ceny  m.in. w   produkcji metali (o 6,6%), skór i wyrobów skórzanych, papieru i wyrobów z papieru (po 5,3%), chemikaliów i wyrobów chemicznych (o 4,1%), wyrobów z pozostałych mineralnych surowców niemetalicznych (o 3,9%), wyrobów tekstylnych (o 3,2%), wyrobów tytoniowych (o 2,7%), wyrobów z drewna, korka, słomy i wikliny (o 2,2%), odzieży (o 2,1%), napojów, wyrobów z metali (po  2,0%), poligrafii i reprodukcji zapisanych nośników informacji,  produkcji wyrobów z gumy i tworzyw sztucznych, mebli (po 0,9%), wyrobów farmaceutycznych (o 0,6%), urządzeń elektrycznych (o 0,5%).  Spadły natomiast ceny  m.in.  w  produkcji artykułów spożywczych, pojazdów samochodowych, przyczep i naczep (po 0,2%), maszyn i urządzeń, pozostałego sprzętu transportowego (po  0,3%). Największy spadek cen zanotowano w produkcji komputerów, wyrobów elektronicznych i optycznych (o 1,6%). Ceny w sekcji wytwarzanie i zaopatrywanie w energię elektryczną, gaz, parę wodną i gorącą wodę wzrosły o 1,3%, a w sekcji dostawa wody; gospodarowanie ściekami i odpadami; rekultywacja– o 1,1%. </w:t>
      </w:r>
    </w:p>
    <w:p w14:paraId="15BE0B64" w14:textId="77777777" w:rsidR="00E56FD7" w:rsidRPr="00E56FD7" w:rsidRDefault="00E56FD7" w:rsidP="00E56FD7">
      <w:pPr>
        <w:keepNext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E56FD7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Wskaźniki cen produkcji budowlano-montażowej</w:t>
      </w:r>
    </w:p>
    <w:p w14:paraId="36C7AA4F" w14:textId="77777777" w:rsidR="00E56FD7" w:rsidRPr="00E56FD7" w:rsidRDefault="00E56FD7" w:rsidP="00E56FD7">
      <w:pPr>
        <w:jc w:val="both"/>
        <w:rPr>
          <w:shd w:val="clear" w:color="auto" w:fill="FFFFFF"/>
        </w:rPr>
      </w:pPr>
      <w:r w:rsidRPr="00E56F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1BE568" wp14:editId="703C9F0B">
                <wp:simplePos x="0" y="0"/>
                <wp:positionH relativeFrom="column">
                  <wp:posOffset>5304155</wp:posOffset>
                </wp:positionH>
                <wp:positionV relativeFrom="paragraph">
                  <wp:posOffset>302895</wp:posOffset>
                </wp:positionV>
                <wp:extent cx="1753200" cy="7920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48CBA6" w14:textId="77777777" w:rsidR="00E56FD7" w:rsidRPr="008529A7" w:rsidRDefault="00E56FD7" w:rsidP="00E56FD7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8529A7">
                              <w:rPr>
                                <w:color w:val="002060"/>
                              </w:rPr>
                              <w:t>Ceny w budownictwie we wrześniu  2018 r. w skali roku wzrosły we wszystkich rodzajach działalności.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E568" id="Pole tekstowe 25" o:spid="_x0000_s1032" type="#_x0000_t202" style="position:absolute;left:0;text-align:left;margin-left:417.65pt;margin-top:23.85pt;width:138.05pt;height:62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bGOwIAAG0EAAAOAAAAZHJzL2Uyb0RvYy54bWysVN9v2jAQfp+0/8Hy+whQoGtEqFgrpkmo&#10;RaJTn41jk2i2z7MNCfvrd3YIRd2epr04d77z/fi+u8zvW63IUThfgynoaDCkRBgOZW32Bf3+svr0&#10;mRIfmCmZAiMKehKe3i8+fpg3NhdjqECVwhEMYnze2IJWIdg8yzyvhGZ+AFYYNEpwmgVU3T4rHWsw&#10;ulbZeDicZQ240jrgwnu8feyMdJHiSyl4eJbSi0BUQbG2kE6Xzl08s8Wc5XvHbFXzcxnsH6rQrDaY&#10;9BLqkQVGDq7+I5SuuQMPMgw46AykrLlIPWA3o+G7brYVsyL1guB4e4HJ/7+w/Om4caQuCzqeUmKY&#10;Ro42oAQJ4ocP0AiC9whSY32OvluL3qH9Ai2S3d97vIy9t9Lp+MWuCNoR7tMFYtEGwuOj2+kN8kYJ&#10;R9vtHYqJg+zttXU+fBWgSRQK6pDChCw7rn3AStC1d4nJDKxqpRKNypCmoLOb6TA9uFjwhTLRV6SB&#10;OIeJHXWVRym0uzbBMOu72kF5wmYddDPjLV/VWNGa+bBhDocEm8DBD894SAWYGc4SJRW4X3+7j/7I&#10;HVopaXDoCup/HpgTlKhvBlm9G00mcUqTMpnejlFx15bdtcUc9APgXI9wxSxPYvQPqhelA/2K+7GM&#10;WdHEDMfcBQ29+BC6VcD94mK5TE44l5aFtdlaHkNH3CLeL+0rc/ZMSkA6n6AfT5a/46bz7dhZHgLI&#10;OhEXce5QRRajgjOd+DzvX1yaaz15vf0lFr8BAAD//wMAUEsDBBQABgAIAAAAIQAIv4k84gAAAAsB&#10;AAAPAAAAZHJzL2Rvd25yZXYueG1sTI9NT8MwDIbvSPyHyEjcWErX0aprOk2VJiQEh41duLlN1lbL&#10;R2myrfDr8U7DJ1t+9PpxsZqMZmc1+t5ZAc+zCJiyjZO9bQXsPzdPGTAf0ErUzioBP8rDqry/KzCX&#10;7mK36rwLLaMQ63MU0IUw5Jz7plMG/cwNytLu4EaDgcax5XLEC4UbzeMoeuEGe0sXOhxU1anmuDsZ&#10;AW/V5gO3dWyyX129vh/Ww/f+ayHE48O0XgILago3GK76pA4lOdXuZKVnWkA2X8wJFZCkKbArQJUA&#10;q6lL4wR4WfD/P5R/AAAA//8DAFBLAQItABQABgAIAAAAIQC2gziS/gAAAOEBAAATAAAAAAAAAAAA&#10;AAAAAAAAAABbQ29udGVudF9UeXBlc10ueG1sUEsBAi0AFAAGAAgAAAAhADj9If/WAAAAlAEAAAsA&#10;AAAAAAAAAAAAAAAALwEAAF9yZWxzLy5yZWxzUEsBAi0AFAAGAAgAAAAhAFimpsY7AgAAbQQAAA4A&#10;AAAAAAAAAAAAAAAALgIAAGRycy9lMm9Eb2MueG1sUEsBAi0AFAAGAAgAAAAhAAi/iTziAAAACwEA&#10;AA8AAAAAAAAAAAAAAAAAlQQAAGRycy9kb3ducmV2LnhtbFBLBQYAAAAABAAEAPMAAACkBQAAAAA=&#10;" filled="f" stroked="f" strokeweight=".5pt">
                <v:textbox>
                  <w:txbxContent>
                    <w:p w14:paraId="5248CBA6" w14:textId="77777777" w:rsidR="00E56FD7" w:rsidRPr="008529A7" w:rsidRDefault="00E56FD7" w:rsidP="00E56FD7">
                      <w:pPr>
                        <w:pStyle w:val="tekstzboku"/>
                        <w:rPr>
                          <w:color w:val="002060"/>
                        </w:rPr>
                      </w:pPr>
                      <w:r w:rsidRPr="008529A7">
                        <w:rPr>
                          <w:color w:val="002060"/>
                        </w:rPr>
                        <w:t>Ceny w budownictwie we wrześniu  2018 r. w skali roku wzrosły we wszystkich rodzajach działalności.</w:t>
                      </w:r>
                    </w:p>
                  </w:txbxContent>
                </v:textbox>
              </v:shape>
            </w:pict>
          </mc:Fallback>
        </mc:AlternateContent>
      </w:r>
      <w:r w:rsidRPr="00E56FD7">
        <w:rPr>
          <w:b/>
          <w:shd w:val="clear" w:color="auto" w:fill="FFFFFF"/>
        </w:rPr>
        <w:t>Ceny produkcji budowlano-montażowej</w:t>
      </w:r>
      <w:r w:rsidRPr="00E56FD7">
        <w:rPr>
          <w:shd w:val="clear" w:color="auto" w:fill="FFFFFF"/>
        </w:rPr>
        <w:t xml:space="preserve"> we wrześniu 2018 r. były wyższe o 0,4%  w porównaniu z poprzednim  miesiącem. Wzrosły ceny budowy budynków (o 0,5%), budowy  obiektów inżynierii lądowej i wodnej  (o 0,4%) oraz robót budowlanych specjalistycznych (o 0,3%).</w:t>
      </w:r>
    </w:p>
    <w:p w14:paraId="24DD6E45" w14:textId="77777777" w:rsidR="00E56FD7" w:rsidRPr="00E56FD7" w:rsidRDefault="00E56FD7" w:rsidP="00E56FD7">
      <w:pPr>
        <w:jc w:val="both"/>
        <w:rPr>
          <w:color w:val="FF0000"/>
          <w:shd w:val="clear" w:color="auto" w:fill="FFFFFF"/>
        </w:rPr>
      </w:pPr>
      <w:r w:rsidRPr="00E56FD7">
        <w:rPr>
          <w:shd w:val="clear" w:color="auto" w:fill="FFFFFF"/>
        </w:rPr>
        <w:t>W porównaniu z wrześniem ub. roku ceny produkcji budowlano-montażowej wzrosły o 3,3%       z tego   ceny budowy budynków (o 3,6%), budowy obiektów inżynierii lądowej i wodnej (o 3,4%) oraz robót budowlanych specjalistycznych (o 2,7%).</w:t>
      </w:r>
    </w:p>
    <w:p w14:paraId="5DDC112D" w14:textId="77777777" w:rsidR="00E56FD7" w:rsidRPr="00E56FD7" w:rsidRDefault="00E56FD7" w:rsidP="00E56FD7">
      <w:pPr>
        <w:spacing w:before="0"/>
        <w:jc w:val="both"/>
        <w:rPr>
          <w:shd w:val="clear" w:color="auto" w:fill="FFFFFF"/>
        </w:rPr>
      </w:pPr>
    </w:p>
    <w:p w14:paraId="5E8BC975" w14:textId="77777777" w:rsidR="00E56FD7" w:rsidRPr="00E56FD7" w:rsidRDefault="00E56FD7" w:rsidP="00E56FD7">
      <w:pPr>
        <w:spacing w:before="0"/>
        <w:jc w:val="both"/>
        <w:rPr>
          <w:shd w:val="clear" w:color="auto" w:fill="FFFFFF"/>
        </w:rPr>
      </w:pPr>
    </w:p>
    <w:p w14:paraId="33BC6CBD" w14:textId="77777777" w:rsidR="00E56FD7" w:rsidRPr="00E56FD7" w:rsidRDefault="00E56FD7" w:rsidP="00E56FD7">
      <w:pPr>
        <w:spacing w:before="0"/>
        <w:jc w:val="both"/>
        <w:rPr>
          <w:shd w:val="clear" w:color="auto" w:fill="FFFFFF"/>
        </w:rPr>
      </w:pPr>
    </w:p>
    <w:p w14:paraId="5EA46354" w14:textId="77777777" w:rsidR="00E56FD7" w:rsidRPr="00E56FD7" w:rsidRDefault="00E56FD7" w:rsidP="00E56FD7">
      <w:pPr>
        <w:spacing w:before="0"/>
        <w:jc w:val="both"/>
        <w:rPr>
          <w:shd w:val="clear" w:color="auto" w:fill="FFFFFF"/>
        </w:rPr>
      </w:pPr>
    </w:p>
    <w:p w14:paraId="63837118" w14:textId="77777777" w:rsidR="00E56FD7" w:rsidRPr="00E56FD7" w:rsidRDefault="00E56FD7" w:rsidP="00E56FD7">
      <w:pPr>
        <w:spacing w:before="0"/>
        <w:jc w:val="both"/>
        <w:rPr>
          <w:shd w:val="clear" w:color="auto" w:fill="FFFFFF"/>
        </w:rPr>
      </w:pPr>
    </w:p>
    <w:p w14:paraId="44968EEB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5EF5A81C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113F12BE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3BBEAAF6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1CB17217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5E72A436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6F128CDF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35B33E60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  <w:r w:rsidRPr="00E56FD7"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744256" behindDoc="0" locked="0" layoutInCell="1" allowOverlap="1" wp14:anchorId="60AE6826" wp14:editId="1DDE5D16">
            <wp:simplePos x="0" y="0"/>
            <wp:positionH relativeFrom="column">
              <wp:posOffset>-257175</wp:posOffset>
            </wp:positionH>
            <wp:positionV relativeFrom="paragraph">
              <wp:posOffset>200025</wp:posOffset>
            </wp:positionV>
            <wp:extent cx="4829175" cy="376237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E56FD7">
        <w:rPr>
          <w:b/>
          <w:spacing w:val="-2"/>
          <w:sz w:val="18"/>
        </w:rPr>
        <w:t>Wykres 1.</w:t>
      </w:r>
      <w:r w:rsidRPr="00E56FD7">
        <w:rPr>
          <w:b/>
          <w:spacing w:val="-2"/>
          <w:sz w:val="18"/>
          <w:shd w:val="clear" w:color="auto" w:fill="FFFFFF"/>
        </w:rPr>
        <w:t xml:space="preserve"> Dynamika cen w 2018 r. (XII poprzedniego roku = 100)</w:t>
      </w:r>
      <w:r w:rsidRPr="00E56FD7">
        <w:rPr>
          <w:b/>
          <w:noProof/>
          <w:spacing w:val="-2"/>
          <w:sz w:val="18"/>
          <w:lang w:eastAsia="pl-PL"/>
        </w:rPr>
        <w:t xml:space="preserve"> </w:t>
      </w:r>
    </w:p>
    <w:p w14:paraId="386CA9FD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3BC222D5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21BF09A4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38E19E43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42814755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749A5D4B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60FA0925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733DB6DE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219D481B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29E3E530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26DC30D0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68497540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65240259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317AF1F7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54A15E35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4DA7EA0D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3DCAC38C" w14:textId="77777777" w:rsidR="00E56FD7" w:rsidRPr="00E56FD7" w:rsidRDefault="00E56FD7" w:rsidP="00E56FD7">
      <w:pPr>
        <w:rPr>
          <w:b/>
          <w:spacing w:val="-2"/>
          <w:sz w:val="18"/>
        </w:rPr>
      </w:pPr>
    </w:p>
    <w:p w14:paraId="26BCAEFF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  <w:r w:rsidRPr="00E56FD7">
        <w:rPr>
          <w:b/>
          <w:spacing w:val="-2"/>
          <w:sz w:val="18"/>
        </w:rPr>
        <w:t>Wykres 2.</w:t>
      </w:r>
      <w:r w:rsidRPr="00E56FD7">
        <w:rPr>
          <w:b/>
          <w:spacing w:val="-2"/>
          <w:sz w:val="18"/>
          <w:shd w:val="clear" w:color="auto" w:fill="FFFFFF"/>
        </w:rPr>
        <w:t xml:space="preserve"> Dynamika cen produkcji sprzedanej przemysłu w latach 2017-2018 (XII poprzedniego roku = 100)</w:t>
      </w:r>
      <w:r w:rsidRPr="00E56FD7">
        <w:rPr>
          <w:b/>
          <w:noProof/>
          <w:spacing w:val="-2"/>
          <w:sz w:val="18"/>
          <w:lang w:eastAsia="pl-PL"/>
        </w:rPr>
        <w:t xml:space="preserve"> </w:t>
      </w:r>
    </w:p>
    <w:p w14:paraId="2F923E03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  <w:r w:rsidRPr="00E56FD7"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745280" behindDoc="0" locked="0" layoutInCell="1" allowOverlap="1" wp14:anchorId="76A5E251" wp14:editId="54E828A6">
            <wp:simplePos x="0" y="0"/>
            <wp:positionH relativeFrom="column">
              <wp:posOffset>-133350</wp:posOffset>
            </wp:positionH>
            <wp:positionV relativeFrom="paragraph">
              <wp:posOffset>25400</wp:posOffset>
            </wp:positionV>
            <wp:extent cx="4867275" cy="36576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1861B69C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77A73704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64F68512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605BDDAD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3F542365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19DEA299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0D10974F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50896F5D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43822F6E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74627755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0088F90F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21C76D9F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7AC536F0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7AD99A25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08FB76E7" w14:textId="77777777" w:rsidR="00E56FD7" w:rsidRPr="00E56FD7" w:rsidRDefault="00E56FD7" w:rsidP="00E56FD7">
      <w:pPr>
        <w:rPr>
          <w:b/>
          <w:bCs/>
          <w:spacing w:val="-2"/>
          <w:sz w:val="18"/>
          <w:shd w:val="clear" w:color="auto" w:fill="FFFFFF"/>
        </w:rPr>
      </w:pPr>
    </w:p>
    <w:p w14:paraId="320D4054" w14:textId="77777777" w:rsidR="00E56FD7" w:rsidRPr="00E56FD7" w:rsidRDefault="00E56FD7" w:rsidP="00E56FD7">
      <w:pPr>
        <w:rPr>
          <w:b/>
          <w:bCs/>
          <w:spacing w:val="-2"/>
          <w:sz w:val="18"/>
          <w:shd w:val="clear" w:color="auto" w:fill="FFFFFF"/>
        </w:rPr>
      </w:pPr>
    </w:p>
    <w:p w14:paraId="4169AA23" w14:textId="77777777" w:rsidR="00E56FD7" w:rsidRPr="00E56FD7" w:rsidRDefault="00E56FD7" w:rsidP="00E56FD7">
      <w:pPr>
        <w:rPr>
          <w:b/>
          <w:bCs/>
          <w:spacing w:val="-2"/>
          <w:sz w:val="18"/>
          <w:shd w:val="clear" w:color="auto" w:fill="FFFFFF"/>
        </w:rPr>
      </w:pPr>
    </w:p>
    <w:p w14:paraId="18BB9A6A" w14:textId="77777777" w:rsidR="00694AF0" w:rsidRDefault="00694AF0" w:rsidP="00E76D26">
      <w:pPr>
        <w:rPr>
          <w:sz w:val="18"/>
        </w:rPr>
      </w:pPr>
    </w:p>
    <w:p w14:paraId="2AE56D4B" w14:textId="77777777" w:rsidR="00E56FD7" w:rsidRDefault="00E56FD7" w:rsidP="00E76D26">
      <w:pPr>
        <w:rPr>
          <w:sz w:val="18"/>
        </w:rPr>
      </w:pPr>
    </w:p>
    <w:p w14:paraId="3E9EA539" w14:textId="77777777" w:rsidR="00E56FD7" w:rsidRDefault="00E56FD7" w:rsidP="00E76D26">
      <w:pPr>
        <w:rPr>
          <w:sz w:val="18"/>
        </w:rPr>
      </w:pPr>
    </w:p>
    <w:p w14:paraId="229D4767" w14:textId="654E19D0" w:rsidR="00E56FD7" w:rsidRDefault="00E56FD7" w:rsidP="00E76D26">
      <w:pPr>
        <w:rPr>
          <w:sz w:val="18"/>
        </w:rPr>
      </w:pPr>
    </w:p>
    <w:p w14:paraId="0E90D48E" w14:textId="29B3AC81" w:rsidR="005D5998" w:rsidRDefault="002E22A8" w:rsidP="00275060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46304" behindDoc="0" locked="0" layoutInCell="1" allowOverlap="1" wp14:anchorId="653B903B" wp14:editId="70428088">
            <wp:simplePos x="0" y="0"/>
            <wp:positionH relativeFrom="margin">
              <wp:align>left</wp:align>
            </wp:positionH>
            <wp:positionV relativeFrom="paragraph">
              <wp:posOffset>495300</wp:posOffset>
            </wp:positionV>
            <wp:extent cx="4876800" cy="3676650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275060" w:rsidRPr="00275060">
        <w:rPr>
          <w:b/>
          <w:bCs/>
          <w:spacing w:val="-2"/>
          <w:sz w:val="18"/>
          <w:shd w:val="clear" w:color="auto" w:fill="FFFFFF"/>
        </w:rPr>
        <w:t>Wykres 3</w:t>
      </w:r>
      <w:r w:rsidR="00275060" w:rsidRPr="00275060">
        <w:rPr>
          <w:b/>
          <w:spacing w:val="-2"/>
          <w:sz w:val="18"/>
          <w:shd w:val="clear" w:color="auto" w:fill="FFFFFF"/>
        </w:rPr>
        <w:t>. Dynamika cen produkcji budowlano-montażowej w latach 2017-2018 (XII poprzedniego roku = 100)</w:t>
      </w:r>
    </w:p>
    <w:p w14:paraId="7F40018F" w14:textId="20B12798" w:rsidR="005D5998" w:rsidRDefault="005D5998" w:rsidP="00275060">
      <w:pPr>
        <w:rPr>
          <w:b/>
          <w:spacing w:val="-2"/>
          <w:sz w:val="18"/>
          <w:shd w:val="clear" w:color="auto" w:fill="FFFFFF"/>
        </w:rPr>
      </w:pPr>
    </w:p>
    <w:p w14:paraId="0BFD6DCE" w14:textId="223109F8" w:rsidR="005D5998" w:rsidRPr="00275060" w:rsidRDefault="005D5998" w:rsidP="00275060">
      <w:pPr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t>Wykres 4</w:t>
      </w:r>
      <w:r w:rsidRPr="008D009F">
        <w:rPr>
          <w:b/>
          <w:spacing w:val="-2"/>
          <w:sz w:val="18"/>
          <w:shd w:val="clear" w:color="auto" w:fill="FFFFFF"/>
        </w:rPr>
        <w:t xml:space="preserve">. Dynamika cen produkcji sprzedanej sekcji przemysłu </w:t>
      </w:r>
      <w:r>
        <w:rPr>
          <w:b/>
          <w:spacing w:val="-2"/>
          <w:sz w:val="18"/>
          <w:shd w:val="clear" w:color="auto" w:fill="FFFFFF"/>
        </w:rPr>
        <w:t xml:space="preserve">w </w:t>
      </w:r>
      <w:r w:rsidRPr="008D009F">
        <w:rPr>
          <w:b/>
          <w:spacing w:val="-2"/>
          <w:sz w:val="18"/>
          <w:shd w:val="clear" w:color="auto" w:fill="FFFFFF"/>
        </w:rPr>
        <w:t>2018</w:t>
      </w:r>
      <w:r>
        <w:rPr>
          <w:b/>
          <w:spacing w:val="-2"/>
          <w:sz w:val="18"/>
          <w:shd w:val="clear" w:color="auto" w:fill="FFFFFF"/>
        </w:rPr>
        <w:t xml:space="preserve"> r. </w:t>
      </w:r>
      <w:r w:rsidRPr="008C083F">
        <w:rPr>
          <w:b/>
          <w:spacing w:val="-2"/>
          <w:sz w:val="18"/>
          <w:shd w:val="clear" w:color="auto" w:fill="FFFFFF"/>
        </w:rPr>
        <w:t xml:space="preserve"> </w:t>
      </w:r>
      <w:r>
        <w:rPr>
          <w:b/>
          <w:spacing w:val="-2"/>
          <w:sz w:val="18"/>
          <w:shd w:val="clear" w:color="auto" w:fill="FFFFFF"/>
        </w:rPr>
        <w:t>(XII poprzedniego roku =100)</w:t>
      </w:r>
    </w:p>
    <w:p w14:paraId="1238A765" w14:textId="4E58300E" w:rsidR="00E56FD7" w:rsidRDefault="002E22A8" w:rsidP="00E76D26">
      <w:pPr>
        <w:rPr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47328" behindDoc="0" locked="0" layoutInCell="1" allowOverlap="1" wp14:anchorId="050D7F6B" wp14:editId="56732BDA">
            <wp:simplePos x="0" y="0"/>
            <wp:positionH relativeFrom="column">
              <wp:posOffset>-180975</wp:posOffset>
            </wp:positionH>
            <wp:positionV relativeFrom="paragraph">
              <wp:posOffset>34925</wp:posOffset>
            </wp:positionV>
            <wp:extent cx="4829175" cy="4162425"/>
            <wp:effectExtent l="0" t="0" r="0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14:paraId="6CD421F6" w14:textId="704FE32F" w:rsidR="00275060" w:rsidRPr="00001C5B" w:rsidRDefault="00275060" w:rsidP="00E76D26">
      <w:pPr>
        <w:rPr>
          <w:sz w:val="18"/>
        </w:rPr>
        <w:sectPr w:rsidR="00275060" w:rsidRPr="00001C5B" w:rsidSect="0094608B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18BB9A6B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765139" w14:paraId="18BB9A75" w14:textId="77777777" w:rsidTr="00E23337">
        <w:trPr>
          <w:trHeight w:val="1912"/>
        </w:trPr>
        <w:tc>
          <w:tcPr>
            <w:tcW w:w="4379" w:type="dxa"/>
          </w:tcPr>
          <w:p w14:paraId="18BB9A6C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8BB9A6D" w14:textId="11FD629E"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7E35D8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8BB9A6E" w14:textId="30EEACC6" w:rsidR="000470AA" w:rsidRPr="00BB4F09" w:rsidRDefault="00AC6DB5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18BB9A6F" w14:textId="320B27E7" w:rsidR="000470AA" w:rsidRPr="008F3638" w:rsidRDefault="00AC6DB5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18BB9A70" w14:textId="1B7D184B" w:rsidR="000470AA" w:rsidRPr="007E35D8" w:rsidRDefault="000470AA" w:rsidP="00AC6DB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7E35D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AC6DB5" w:rsidRPr="007E35D8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942" w:type="dxa"/>
          </w:tcPr>
          <w:p w14:paraId="18BB9A71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8BB9A72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18BB9A73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18BB9A74" w14:textId="0BC2ABF0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="00AC6DB5" w:rsidRPr="006C5E9E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18BB9A76" w14:textId="77777777" w:rsidR="000470AA" w:rsidRPr="00C11430" w:rsidRDefault="000470AA" w:rsidP="000470AA">
      <w:pPr>
        <w:rPr>
          <w:sz w:val="20"/>
          <w:lang w:val="en-US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18BB9A7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8BB9A78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8BB9A79" w14:textId="77777777"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14:paraId="18BB9A7A" w14:textId="77777777" w:rsidR="000470AA" w:rsidRPr="00C11430" w:rsidRDefault="000470AA" w:rsidP="000470AA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faks:</w:t>
            </w:r>
            <w:r w:rsidRPr="00C11430">
              <w:rPr>
                <w:sz w:val="20"/>
                <w:lang w:val="en-US"/>
              </w:rPr>
              <w:t xml:space="preserve"> (+48 22) 608 38 86 </w:t>
            </w:r>
          </w:p>
          <w:p w14:paraId="18BB9A7B" w14:textId="77777777" w:rsidR="000470AA" w:rsidRPr="00C11430" w:rsidRDefault="000470AA" w:rsidP="000470AA">
            <w:pPr>
              <w:rPr>
                <w:sz w:val="18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2" w:history="1">
              <w:r w:rsidRPr="00C11430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8BB9A7C" w14:textId="77777777" w:rsidR="000470AA" w:rsidRPr="00C11430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8BB9A92" wp14:editId="18BB9A9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8BB9A7D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18BB9A8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8BB9A7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8BB9A8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8BB9A94" wp14:editId="18BB9A9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8BB9A81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18BB9A8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8BB9A83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8BB9A84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8BB9A96" wp14:editId="18BB9A9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8BB9A85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18BB9A87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8BB9A98" wp14:editId="2118FC2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B5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18BB9AB6" w14:textId="77777777" w:rsidR="00AB6D25" w:rsidRPr="000C31CC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2C5CD08D" w14:textId="00602C8E" w:rsidR="0032121A" w:rsidRDefault="006F7E8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6" w:history="1">
                              <w:r w:rsidR="0032121A" w:rsidRPr="0032121A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Biuletyn Statystyczny</w:t>
                              </w:r>
                            </w:hyperlink>
                          </w:p>
                          <w:p w14:paraId="2A7E7FC1" w14:textId="28A63302" w:rsidR="001D1AF8" w:rsidRDefault="006F7E8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7" w:history="1">
                              <w:r w:rsidR="001D1AF8" w:rsidRPr="001D1AF8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Informacje sygnalne</w:t>
                              </w:r>
                            </w:hyperlink>
                          </w:p>
                          <w:p w14:paraId="562F1995" w14:textId="77777777" w:rsidR="00DA29C0" w:rsidRDefault="00DA29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BB9ABC" w14:textId="5CBB5735" w:rsidR="00AB6D25" w:rsidRPr="0084425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0D1FCBF2" w14:textId="2235703C" w:rsidR="001D1AF8" w:rsidRPr="001D1AF8" w:rsidRDefault="006F7E8B" w:rsidP="00673C2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1D1AF8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40002D97" w14:textId="39907863" w:rsidR="004E514C" w:rsidRDefault="006F7E8B" w:rsidP="00673C2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4E514C" w:rsidRPr="004E514C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0AFFA9BF" w14:textId="1C9CF82E" w:rsidR="001D1AF8" w:rsidRDefault="006F7E8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1D1AF8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65BB0AE9" w14:textId="77777777" w:rsidR="004C4790" w:rsidRDefault="004C479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18BB9AC0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39E7C36" w14:textId="5C5C700F" w:rsidR="004C4790" w:rsidRDefault="006F7E8B" w:rsidP="00AC6DB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4C4790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6143DD5E" w14:textId="23DF684F" w:rsidR="004C4790" w:rsidRDefault="006F7E8B" w:rsidP="00AC6DB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4C4790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18BB9AC3" w14:textId="77777777" w:rsidR="00AB6D25" w:rsidRPr="00AC6DB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98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18BB9AB5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18BB9AB6" w14:textId="77777777" w:rsidR="00AB6D25" w:rsidRPr="000C31CC" w:rsidRDefault="00AB6D25" w:rsidP="00AB6D25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2C5CD08D" w14:textId="00602C8E" w:rsidR="0032121A" w:rsidRDefault="00AD73CC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3" w:history="1">
                        <w:r w:rsidR="0032121A" w:rsidRPr="0032121A">
                          <w:rPr>
                            <w:rStyle w:val="Hipercze"/>
                            <w:rFonts w:cstheme="minorBidi"/>
                            <w:szCs w:val="24"/>
                          </w:rPr>
                          <w:t>Biuletyn Statystyczny</w:t>
                        </w:r>
                      </w:hyperlink>
                    </w:p>
                    <w:p w14:paraId="2A7E7FC1" w14:textId="28A63302" w:rsidR="001D1AF8" w:rsidRDefault="00AD73CC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4" w:history="1">
                        <w:r w:rsidR="001D1AF8" w:rsidRPr="001D1AF8">
                          <w:rPr>
                            <w:rStyle w:val="Hipercze"/>
                            <w:rFonts w:cstheme="minorBidi"/>
                            <w:szCs w:val="24"/>
                          </w:rPr>
                          <w:t>Informacje sygnalne</w:t>
                        </w:r>
                      </w:hyperlink>
                    </w:p>
                    <w:p w14:paraId="562F1995" w14:textId="77777777" w:rsidR="00DA29C0" w:rsidRDefault="00DA29C0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BB9ABC" w14:textId="5CBB5735" w:rsidR="00AB6D25" w:rsidRPr="0084425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0D1FCBF2" w14:textId="2235703C" w:rsidR="001D1AF8" w:rsidRPr="001D1AF8" w:rsidRDefault="00AD73CC" w:rsidP="00673C2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1D1AF8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40002D97" w14:textId="39907863" w:rsidR="004E514C" w:rsidRDefault="00AD73CC" w:rsidP="00673C2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4E514C" w:rsidRPr="004E514C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0AFFA9BF" w14:textId="1C9CF82E" w:rsidR="001D1AF8" w:rsidRDefault="00AD73C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1D1AF8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65BB0AE9" w14:textId="77777777" w:rsidR="004C4790" w:rsidRDefault="004C47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18BB9AC0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39E7C36" w14:textId="5C5C700F" w:rsidR="004C4790" w:rsidRDefault="00AD73CC" w:rsidP="00AC6DB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4C4790" w:rsidRPr="004C4790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6143DD5E" w14:textId="23DF684F" w:rsidR="004C4790" w:rsidRDefault="00AD73CC" w:rsidP="00AC6DB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4C4790" w:rsidRPr="004C4790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18BB9AC3" w14:textId="77777777" w:rsidR="00AB6D25" w:rsidRPr="00AC6DB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94608B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C6B85" w14:textId="77777777" w:rsidR="006F7E8B" w:rsidRDefault="006F7E8B" w:rsidP="000662E2">
      <w:pPr>
        <w:spacing w:after="0" w:line="240" w:lineRule="auto"/>
      </w:pPr>
      <w:r>
        <w:separator/>
      </w:r>
    </w:p>
  </w:endnote>
  <w:endnote w:type="continuationSeparator" w:id="0">
    <w:p w14:paraId="116E2413" w14:textId="77777777" w:rsidR="006F7E8B" w:rsidRDefault="006F7E8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A72">
          <w:rPr>
            <w:noProof/>
          </w:rPr>
          <w:t>3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E8B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F9CEB" w14:textId="77777777" w:rsidR="006F7E8B" w:rsidRDefault="006F7E8B" w:rsidP="000662E2">
      <w:pPr>
        <w:spacing w:after="0" w:line="240" w:lineRule="auto"/>
      </w:pPr>
      <w:r>
        <w:separator/>
      </w:r>
    </w:p>
  </w:footnote>
  <w:footnote w:type="continuationSeparator" w:id="0">
    <w:p w14:paraId="315E60A1" w14:textId="77777777" w:rsidR="006F7E8B" w:rsidRDefault="006F7E8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49E98B3E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44861">
      <w:rPr>
        <w:noProof/>
        <w:lang w:eastAsia="pl-PL"/>
      </w:rPr>
      <w:drawing>
        <wp:inline distT="0" distB="0" distL="0" distR="0" wp14:anchorId="2CA93AB9" wp14:editId="733E8666">
          <wp:extent cx="2286000" cy="742950"/>
          <wp:effectExtent l="0" t="0" r="0" b="0"/>
          <wp:docPr id="19" name="Obraz 19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7157564" w:rsidR="00F37172" w:rsidRPr="00C97596" w:rsidRDefault="00F3717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7157564" w:rsidR="00F37172" w:rsidRPr="00C97596" w:rsidRDefault="00F3717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8B2"/>
    <w:rsid w:val="00005A46"/>
    <w:rsid w:val="0000709F"/>
    <w:rsid w:val="000108B8"/>
    <w:rsid w:val="000152F5"/>
    <w:rsid w:val="0002465D"/>
    <w:rsid w:val="0003092A"/>
    <w:rsid w:val="00030F7F"/>
    <w:rsid w:val="0003370F"/>
    <w:rsid w:val="00044861"/>
    <w:rsid w:val="0004582E"/>
    <w:rsid w:val="000470AA"/>
    <w:rsid w:val="00057CA1"/>
    <w:rsid w:val="00062327"/>
    <w:rsid w:val="000662E2"/>
    <w:rsid w:val="00066883"/>
    <w:rsid w:val="000740BA"/>
    <w:rsid w:val="00074824"/>
    <w:rsid w:val="00074DD8"/>
    <w:rsid w:val="000778A4"/>
    <w:rsid w:val="000806F7"/>
    <w:rsid w:val="00082B7F"/>
    <w:rsid w:val="00087288"/>
    <w:rsid w:val="00087F7A"/>
    <w:rsid w:val="000965D2"/>
    <w:rsid w:val="000A0DD2"/>
    <w:rsid w:val="000A679B"/>
    <w:rsid w:val="000A6E7C"/>
    <w:rsid w:val="000A6F6A"/>
    <w:rsid w:val="000B0727"/>
    <w:rsid w:val="000B2A98"/>
    <w:rsid w:val="000C135D"/>
    <w:rsid w:val="000C1A72"/>
    <w:rsid w:val="000C31CC"/>
    <w:rsid w:val="000C560F"/>
    <w:rsid w:val="000C5AA0"/>
    <w:rsid w:val="000D1D43"/>
    <w:rsid w:val="000D225C"/>
    <w:rsid w:val="000D2A5C"/>
    <w:rsid w:val="000D32C5"/>
    <w:rsid w:val="000D6C2C"/>
    <w:rsid w:val="000E0918"/>
    <w:rsid w:val="000E2A70"/>
    <w:rsid w:val="000E3B71"/>
    <w:rsid w:val="000F30D1"/>
    <w:rsid w:val="000F4B83"/>
    <w:rsid w:val="0010064B"/>
    <w:rsid w:val="00100D22"/>
    <w:rsid w:val="001011C3"/>
    <w:rsid w:val="001025E5"/>
    <w:rsid w:val="00110D87"/>
    <w:rsid w:val="0011117B"/>
    <w:rsid w:val="001121B4"/>
    <w:rsid w:val="001141F8"/>
    <w:rsid w:val="00114DB9"/>
    <w:rsid w:val="00116087"/>
    <w:rsid w:val="00123928"/>
    <w:rsid w:val="00127824"/>
    <w:rsid w:val="00130296"/>
    <w:rsid w:val="00136991"/>
    <w:rsid w:val="0013710F"/>
    <w:rsid w:val="001423B6"/>
    <w:rsid w:val="00142B22"/>
    <w:rsid w:val="001448A7"/>
    <w:rsid w:val="0014523A"/>
    <w:rsid w:val="00146621"/>
    <w:rsid w:val="00147552"/>
    <w:rsid w:val="00152273"/>
    <w:rsid w:val="00154752"/>
    <w:rsid w:val="00160118"/>
    <w:rsid w:val="00161F82"/>
    <w:rsid w:val="00162325"/>
    <w:rsid w:val="00165FBF"/>
    <w:rsid w:val="0016757E"/>
    <w:rsid w:val="001717B6"/>
    <w:rsid w:val="00171894"/>
    <w:rsid w:val="00172895"/>
    <w:rsid w:val="001849CA"/>
    <w:rsid w:val="00186467"/>
    <w:rsid w:val="0019174A"/>
    <w:rsid w:val="001951DA"/>
    <w:rsid w:val="001969B8"/>
    <w:rsid w:val="001A6033"/>
    <w:rsid w:val="001A6B04"/>
    <w:rsid w:val="001A76EC"/>
    <w:rsid w:val="001C0F83"/>
    <w:rsid w:val="001C259C"/>
    <w:rsid w:val="001C3269"/>
    <w:rsid w:val="001C3B08"/>
    <w:rsid w:val="001C5585"/>
    <w:rsid w:val="001D1AF8"/>
    <w:rsid w:val="001D1DB4"/>
    <w:rsid w:val="001D50C4"/>
    <w:rsid w:val="001D53E6"/>
    <w:rsid w:val="001D5961"/>
    <w:rsid w:val="001D712B"/>
    <w:rsid w:val="001D78F2"/>
    <w:rsid w:val="001E4A70"/>
    <w:rsid w:val="0021095C"/>
    <w:rsid w:val="0021357F"/>
    <w:rsid w:val="00217354"/>
    <w:rsid w:val="0022042A"/>
    <w:rsid w:val="00230849"/>
    <w:rsid w:val="0023243F"/>
    <w:rsid w:val="00234748"/>
    <w:rsid w:val="00236241"/>
    <w:rsid w:val="00241B9D"/>
    <w:rsid w:val="00243063"/>
    <w:rsid w:val="00243FA6"/>
    <w:rsid w:val="00245DFF"/>
    <w:rsid w:val="0024642D"/>
    <w:rsid w:val="002470C5"/>
    <w:rsid w:val="00252B07"/>
    <w:rsid w:val="00255304"/>
    <w:rsid w:val="002574F9"/>
    <w:rsid w:val="002603B5"/>
    <w:rsid w:val="002656D1"/>
    <w:rsid w:val="00271E2C"/>
    <w:rsid w:val="00274572"/>
    <w:rsid w:val="00275060"/>
    <w:rsid w:val="00276811"/>
    <w:rsid w:val="00282699"/>
    <w:rsid w:val="0028351F"/>
    <w:rsid w:val="00284638"/>
    <w:rsid w:val="002852C5"/>
    <w:rsid w:val="002873DF"/>
    <w:rsid w:val="002915CD"/>
    <w:rsid w:val="00291678"/>
    <w:rsid w:val="002926DF"/>
    <w:rsid w:val="00292FAF"/>
    <w:rsid w:val="00293606"/>
    <w:rsid w:val="00295714"/>
    <w:rsid w:val="00296697"/>
    <w:rsid w:val="002A1D90"/>
    <w:rsid w:val="002A4634"/>
    <w:rsid w:val="002A6F77"/>
    <w:rsid w:val="002A7F84"/>
    <w:rsid w:val="002B0472"/>
    <w:rsid w:val="002B34D3"/>
    <w:rsid w:val="002B5175"/>
    <w:rsid w:val="002B5719"/>
    <w:rsid w:val="002B6B12"/>
    <w:rsid w:val="002C0224"/>
    <w:rsid w:val="002C16C8"/>
    <w:rsid w:val="002C5C5C"/>
    <w:rsid w:val="002C6958"/>
    <w:rsid w:val="002D23A4"/>
    <w:rsid w:val="002D4E53"/>
    <w:rsid w:val="002E22A8"/>
    <w:rsid w:val="002E33F5"/>
    <w:rsid w:val="002E6140"/>
    <w:rsid w:val="002E6985"/>
    <w:rsid w:val="002E7155"/>
    <w:rsid w:val="002E71B6"/>
    <w:rsid w:val="002F028D"/>
    <w:rsid w:val="002F77C8"/>
    <w:rsid w:val="002F7F71"/>
    <w:rsid w:val="00302707"/>
    <w:rsid w:val="00304F22"/>
    <w:rsid w:val="00306C7C"/>
    <w:rsid w:val="00311279"/>
    <w:rsid w:val="00320291"/>
    <w:rsid w:val="003202B8"/>
    <w:rsid w:val="0032121A"/>
    <w:rsid w:val="00321C33"/>
    <w:rsid w:val="00322EDD"/>
    <w:rsid w:val="00324BB4"/>
    <w:rsid w:val="00332320"/>
    <w:rsid w:val="00346C61"/>
    <w:rsid w:val="00347D72"/>
    <w:rsid w:val="00347E38"/>
    <w:rsid w:val="003543EA"/>
    <w:rsid w:val="00355318"/>
    <w:rsid w:val="00357611"/>
    <w:rsid w:val="00361A4E"/>
    <w:rsid w:val="00365561"/>
    <w:rsid w:val="00365726"/>
    <w:rsid w:val="00367237"/>
    <w:rsid w:val="00370575"/>
    <w:rsid w:val="0037077F"/>
    <w:rsid w:val="003735D3"/>
    <w:rsid w:val="00373882"/>
    <w:rsid w:val="00374376"/>
    <w:rsid w:val="00380964"/>
    <w:rsid w:val="00383A97"/>
    <w:rsid w:val="003843DB"/>
    <w:rsid w:val="003848A5"/>
    <w:rsid w:val="00393615"/>
    <w:rsid w:val="00393761"/>
    <w:rsid w:val="00397D18"/>
    <w:rsid w:val="003A1B36"/>
    <w:rsid w:val="003A2381"/>
    <w:rsid w:val="003B1454"/>
    <w:rsid w:val="003B4211"/>
    <w:rsid w:val="003C1A52"/>
    <w:rsid w:val="003C4B9E"/>
    <w:rsid w:val="003C59E0"/>
    <w:rsid w:val="003C613A"/>
    <w:rsid w:val="003C6C8D"/>
    <w:rsid w:val="003C7BF5"/>
    <w:rsid w:val="003D22C8"/>
    <w:rsid w:val="003D281F"/>
    <w:rsid w:val="003D4F95"/>
    <w:rsid w:val="003D5F42"/>
    <w:rsid w:val="003D60A9"/>
    <w:rsid w:val="003E0447"/>
    <w:rsid w:val="003E472D"/>
    <w:rsid w:val="003E5010"/>
    <w:rsid w:val="003E5654"/>
    <w:rsid w:val="003F1A8E"/>
    <w:rsid w:val="003F4C97"/>
    <w:rsid w:val="003F7FE6"/>
    <w:rsid w:val="00400193"/>
    <w:rsid w:val="0040290A"/>
    <w:rsid w:val="00403675"/>
    <w:rsid w:val="00406050"/>
    <w:rsid w:val="00412FA3"/>
    <w:rsid w:val="0041724D"/>
    <w:rsid w:val="004212E7"/>
    <w:rsid w:val="0042244A"/>
    <w:rsid w:val="004233B7"/>
    <w:rsid w:val="0042446D"/>
    <w:rsid w:val="00426B46"/>
    <w:rsid w:val="00427BF8"/>
    <w:rsid w:val="00431C02"/>
    <w:rsid w:val="0043551A"/>
    <w:rsid w:val="00437395"/>
    <w:rsid w:val="00442010"/>
    <w:rsid w:val="00445047"/>
    <w:rsid w:val="0045532E"/>
    <w:rsid w:val="004572C5"/>
    <w:rsid w:val="00463E39"/>
    <w:rsid w:val="004657FC"/>
    <w:rsid w:val="004723E7"/>
    <w:rsid w:val="004733F6"/>
    <w:rsid w:val="00474E69"/>
    <w:rsid w:val="004766C0"/>
    <w:rsid w:val="0048010B"/>
    <w:rsid w:val="004815CF"/>
    <w:rsid w:val="00486505"/>
    <w:rsid w:val="00487448"/>
    <w:rsid w:val="00487ABD"/>
    <w:rsid w:val="00491DA1"/>
    <w:rsid w:val="00491FEA"/>
    <w:rsid w:val="004956D9"/>
    <w:rsid w:val="0049621B"/>
    <w:rsid w:val="004C1895"/>
    <w:rsid w:val="004C3C17"/>
    <w:rsid w:val="004C42CE"/>
    <w:rsid w:val="004C4790"/>
    <w:rsid w:val="004C6D40"/>
    <w:rsid w:val="004E19A3"/>
    <w:rsid w:val="004E41AA"/>
    <w:rsid w:val="004E514C"/>
    <w:rsid w:val="004F0C3C"/>
    <w:rsid w:val="004F63FC"/>
    <w:rsid w:val="005003A9"/>
    <w:rsid w:val="005009C8"/>
    <w:rsid w:val="0050205C"/>
    <w:rsid w:val="00505A92"/>
    <w:rsid w:val="00513D68"/>
    <w:rsid w:val="005203F1"/>
    <w:rsid w:val="00521BC3"/>
    <w:rsid w:val="00525754"/>
    <w:rsid w:val="00526065"/>
    <w:rsid w:val="00527E08"/>
    <w:rsid w:val="00533632"/>
    <w:rsid w:val="00533C02"/>
    <w:rsid w:val="00541896"/>
    <w:rsid w:val="0054251F"/>
    <w:rsid w:val="00543512"/>
    <w:rsid w:val="00550618"/>
    <w:rsid w:val="00550B2D"/>
    <w:rsid w:val="005520D8"/>
    <w:rsid w:val="00552567"/>
    <w:rsid w:val="005532D7"/>
    <w:rsid w:val="00555414"/>
    <w:rsid w:val="00556CF1"/>
    <w:rsid w:val="00564AB9"/>
    <w:rsid w:val="0056762A"/>
    <w:rsid w:val="00571C47"/>
    <w:rsid w:val="00571DDA"/>
    <w:rsid w:val="00572C0E"/>
    <w:rsid w:val="005738DC"/>
    <w:rsid w:val="005753E2"/>
    <w:rsid w:val="005762A7"/>
    <w:rsid w:val="00576A9B"/>
    <w:rsid w:val="00581D3A"/>
    <w:rsid w:val="005916D7"/>
    <w:rsid w:val="005A2DE0"/>
    <w:rsid w:val="005A698C"/>
    <w:rsid w:val="005B118F"/>
    <w:rsid w:val="005B2923"/>
    <w:rsid w:val="005C3773"/>
    <w:rsid w:val="005C6993"/>
    <w:rsid w:val="005C7BF0"/>
    <w:rsid w:val="005D29F5"/>
    <w:rsid w:val="005D5998"/>
    <w:rsid w:val="005D7612"/>
    <w:rsid w:val="005E0799"/>
    <w:rsid w:val="005E16BE"/>
    <w:rsid w:val="005F30D3"/>
    <w:rsid w:val="005F3FA2"/>
    <w:rsid w:val="005F5A80"/>
    <w:rsid w:val="005F5E58"/>
    <w:rsid w:val="006044FF"/>
    <w:rsid w:val="006045DA"/>
    <w:rsid w:val="00607CC5"/>
    <w:rsid w:val="006129CE"/>
    <w:rsid w:val="0061466C"/>
    <w:rsid w:val="00621235"/>
    <w:rsid w:val="0063069C"/>
    <w:rsid w:val="006310AB"/>
    <w:rsid w:val="00633014"/>
    <w:rsid w:val="0063437B"/>
    <w:rsid w:val="006457BE"/>
    <w:rsid w:val="00650690"/>
    <w:rsid w:val="00662369"/>
    <w:rsid w:val="006632C9"/>
    <w:rsid w:val="00664C6F"/>
    <w:rsid w:val="006673CA"/>
    <w:rsid w:val="00673C26"/>
    <w:rsid w:val="006812AF"/>
    <w:rsid w:val="0068327D"/>
    <w:rsid w:val="006863D3"/>
    <w:rsid w:val="0069050C"/>
    <w:rsid w:val="00693D09"/>
    <w:rsid w:val="00694AF0"/>
    <w:rsid w:val="006A1E02"/>
    <w:rsid w:val="006A3D70"/>
    <w:rsid w:val="006A7C8C"/>
    <w:rsid w:val="006B0E9E"/>
    <w:rsid w:val="006B591B"/>
    <w:rsid w:val="006B5AE4"/>
    <w:rsid w:val="006C2C34"/>
    <w:rsid w:val="006C5CA4"/>
    <w:rsid w:val="006C6463"/>
    <w:rsid w:val="006D4054"/>
    <w:rsid w:val="006E02EC"/>
    <w:rsid w:val="006F1680"/>
    <w:rsid w:val="006F7E8B"/>
    <w:rsid w:val="006F7EFB"/>
    <w:rsid w:val="00704FD1"/>
    <w:rsid w:val="007053C4"/>
    <w:rsid w:val="0070600C"/>
    <w:rsid w:val="0070698B"/>
    <w:rsid w:val="0071293F"/>
    <w:rsid w:val="007146C3"/>
    <w:rsid w:val="007211B1"/>
    <w:rsid w:val="0072170B"/>
    <w:rsid w:val="0072191A"/>
    <w:rsid w:val="007237A7"/>
    <w:rsid w:val="00730DB1"/>
    <w:rsid w:val="00735AEB"/>
    <w:rsid w:val="00736DEF"/>
    <w:rsid w:val="007377CB"/>
    <w:rsid w:val="00745604"/>
    <w:rsid w:val="00745AE4"/>
    <w:rsid w:val="00745D56"/>
    <w:rsid w:val="00746187"/>
    <w:rsid w:val="00750B3D"/>
    <w:rsid w:val="00752FD3"/>
    <w:rsid w:val="00756E2A"/>
    <w:rsid w:val="0076254F"/>
    <w:rsid w:val="00765139"/>
    <w:rsid w:val="007671F8"/>
    <w:rsid w:val="007801F5"/>
    <w:rsid w:val="00781541"/>
    <w:rsid w:val="00783CA4"/>
    <w:rsid w:val="007842FB"/>
    <w:rsid w:val="00786124"/>
    <w:rsid w:val="00790512"/>
    <w:rsid w:val="007909F7"/>
    <w:rsid w:val="0079242A"/>
    <w:rsid w:val="007947E4"/>
    <w:rsid w:val="0079514B"/>
    <w:rsid w:val="007A0AA5"/>
    <w:rsid w:val="007A28D1"/>
    <w:rsid w:val="007A2DC1"/>
    <w:rsid w:val="007A6E31"/>
    <w:rsid w:val="007A7F85"/>
    <w:rsid w:val="007B3475"/>
    <w:rsid w:val="007B4E47"/>
    <w:rsid w:val="007C194B"/>
    <w:rsid w:val="007C33AF"/>
    <w:rsid w:val="007D0308"/>
    <w:rsid w:val="007D3319"/>
    <w:rsid w:val="007D335D"/>
    <w:rsid w:val="007E0B2F"/>
    <w:rsid w:val="007E2AA7"/>
    <w:rsid w:val="007E3314"/>
    <w:rsid w:val="007E35D8"/>
    <w:rsid w:val="007E4B03"/>
    <w:rsid w:val="007F0307"/>
    <w:rsid w:val="007F324B"/>
    <w:rsid w:val="007F331D"/>
    <w:rsid w:val="0080553C"/>
    <w:rsid w:val="00805B46"/>
    <w:rsid w:val="00816388"/>
    <w:rsid w:val="008250DD"/>
    <w:rsid w:val="00825DC2"/>
    <w:rsid w:val="00826E06"/>
    <w:rsid w:val="00831D1A"/>
    <w:rsid w:val="00834AD3"/>
    <w:rsid w:val="00835A81"/>
    <w:rsid w:val="00836B75"/>
    <w:rsid w:val="008412F5"/>
    <w:rsid w:val="00843795"/>
    <w:rsid w:val="0084425E"/>
    <w:rsid w:val="00847F0F"/>
    <w:rsid w:val="00850EE4"/>
    <w:rsid w:val="00852448"/>
    <w:rsid w:val="00865503"/>
    <w:rsid w:val="0088122A"/>
    <w:rsid w:val="0088258A"/>
    <w:rsid w:val="008849C7"/>
    <w:rsid w:val="00886332"/>
    <w:rsid w:val="0088757D"/>
    <w:rsid w:val="00892642"/>
    <w:rsid w:val="00893FEE"/>
    <w:rsid w:val="008A0ABF"/>
    <w:rsid w:val="008A1EEE"/>
    <w:rsid w:val="008A26D9"/>
    <w:rsid w:val="008A41D2"/>
    <w:rsid w:val="008A44F9"/>
    <w:rsid w:val="008A4EFF"/>
    <w:rsid w:val="008C083F"/>
    <w:rsid w:val="008C0C29"/>
    <w:rsid w:val="008D009F"/>
    <w:rsid w:val="008D4047"/>
    <w:rsid w:val="008E1291"/>
    <w:rsid w:val="008E54A7"/>
    <w:rsid w:val="008F1323"/>
    <w:rsid w:val="008F3638"/>
    <w:rsid w:val="008F4036"/>
    <w:rsid w:val="008F6F31"/>
    <w:rsid w:val="008F74DF"/>
    <w:rsid w:val="00911F69"/>
    <w:rsid w:val="009127BA"/>
    <w:rsid w:val="009201F5"/>
    <w:rsid w:val="009227A6"/>
    <w:rsid w:val="009255B7"/>
    <w:rsid w:val="009318FB"/>
    <w:rsid w:val="00933EC1"/>
    <w:rsid w:val="00934CF5"/>
    <w:rsid w:val="0094069B"/>
    <w:rsid w:val="0094373E"/>
    <w:rsid w:val="00945E5B"/>
    <w:rsid w:val="0094608B"/>
    <w:rsid w:val="009530DB"/>
    <w:rsid w:val="00953676"/>
    <w:rsid w:val="00954DB9"/>
    <w:rsid w:val="009650A5"/>
    <w:rsid w:val="009705EE"/>
    <w:rsid w:val="00977927"/>
    <w:rsid w:val="0098135C"/>
    <w:rsid w:val="0098156A"/>
    <w:rsid w:val="009846AF"/>
    <w:rsid w:val="009911EE"/>
    <w:rsid w:val="00991BAC"/>
    <w:rsid w:val="009935D4"/>
    <w:rsid w:val="00996B56"/>
    <w:rsid w:val="009A6EA0"/>
    <w:rsid w:val="009B715B"/>
    <w:rsid w:val="009B719D"/>
    <w:rsid w:val="009B7A1C"/>
    <w:rsid w:val="009C1335"/>
    <w:rsid w:val="009C1AB2"/>
    <w:rsid w:val="009C5962"/>
    <w:rsid w:val="009C5F81"/>
    <w:rsid w:val="009C7251"/>
    <w:rsid w:val="009D27F4"/>
    <w:rsid w:val="009D2809"/>
    <w:rsid w:val="009D524E"/>
    <w:rsid w:val="009D6BB2"/>
    <w:rsid w:val="009E0F80"/>
    <w:rsid w:val="009E2E91"/>
    <w:rsid w:val="009F2898"/>
    <w:rsid w:val="009F6574"/>
    <w:rsid w:val="00A04979"/>
    <w:rsid w:val="00A054CA"/>
    <w:rsid w:val="00A10348"/>
    <w:rsid w:val="00A139F5"/>
    <w:rsid w:val="00A16123"/>
    <w:rsid w:val="00A365F4"/>
    <w:rsid w:val="00A373B8"/>
    <w:rsid w:val="00A4200E"/>
    <w:rsid w:val="00A4348D"/>
    <w:rsid w:val="00A449E4"/>
    <w:rsid w:val="00A47D80"/>
    <w:rsid w:val="00A52362"/>
    <w:rsid w:val="00A52BCD"/>
    <w:rsid w:val="00A53132"/>
    <w:rsid w:val="00A5479E"/>
    <w:rsid w:val="00A555FD"/>
    <w:rsid w:val="00A563F2"/>
    <w:rsid w:val="00A566E8"/>
    <w:rsid w:val="00A5681F"/>
    <w:rsid w:val="00A57C52"/>
    <w:rsid w:val="00A61822"/>
    <w:rsid w:val="00A629D7"/>
    <w:rsid w:val="00A65D12"/>
    <w:rsid w:val="00A661BE"/>
    <w:rsid w:val="00A67B35"/>
    <w:rsid w:val="00A7230E"/>
    <w:rsid w:val="00A74826"/>
    <w:rsid w:val="00A7611E"/>
    <w:rsid w:val="00A76762"/>
    <w:rsid w:val="00A810F9"/>
    <w:rsid w:val="00A85190"/>
    <w:rsid w:val="00A867E0"/>
    <w:rsid w:val="00A86ECC"/>
    <w:rsid w:val="00A86FCC"/>
    <w:rsid w:val="00A90CC1"/>
    <w:rsid w:val="00A923E0"/>
    <w:rsid w:val="00AA1519"/>
    <w:rsid w:val="00AA2B3D"/>
    <w:rsid w:val="00AA3318"/>
    <w:rsid w:val="00AA710D"/>
    <w:rsid w:val="00AB61B2"/>
    <w:rsid w:val="00AB6D25"/>
    <w:rsid w:val="00AC3622"/>
    <w:rsid w:val="00AC6DB5"/>
    <w:rsid w:val="00AC7FD1"/>
    <w:rsid w:val="00AD73CC"/>
    <w:rsid w:val="00AD74B5"/>
    <w:rsid w:val="00AE2D4B"/>
    <w:rsid w:val="00AE3A26"/>
    <w:rsid w:val="00AE4F99"/>
    <w:rsid w:val="00AE615B"/>
    <w:rsid w:val="00AF0E30"/>
    <w:rsid w:val="00B001C9"/>
    <w:rsid w:val="00B033BC"/>
    <w:rsid w:val="00B116DF"/>
    <w:rsid w:val="00B14952"/>
    <w:rsid w:val="00B24788"/>
    <w:rsid w:val="00B31E5A"/>
    <w:rsid w:val="00B34E30"/>
    <w:rsid w:val="00B400A5"/>
    <w:rsid w:val="00B44B89"/>
    <w:rsid w:val="00B45D22"/>
    <w:rsid w:val="00B526C9"/>
    <w:rsid w:val="00B52F60"/>
    <w:rsid w:val="00B60013"/>
    <w:rsid w:val="00B640F9"/>
    <w:rsid w:val="00B6471C"/>
    <w:rsid w:val="00B653AB"/>
    <w:rsid w:val="00B65F9E"/>
    <w:rsid w:val="00B66B19"/>
    <w:rsid w:val="00B8272B"/>
    <w:rsid w:val="00B83721"/>
    <w:rsid w:val="00B914E9"/>
    <w:rsid w:val="00B956EE"/>
    <w:rsid w:val="00B96ACB"/>
    <w:rsid w:val="00BA0374"/>
    <w:rsid w:val="00BA2BA1"/>
    <w:rsid w:val="00BB374B"/>
    <w:rsid w:val="00BB4F09"/>
    <w:rsid w:val="00BB7CE5"/>
    <w:rsid w:val="00BC4E6A"/>
    <w:rsid w:val="00BC505E"/>
    <w:rsid w:val="00BD1F9B"/>
    <w:rsid w:val="00BD2D51"/>
    <w:rsid w:val="00BD4CBD"/>
    <w:rsid w:val="00BD4E33"/>
    <w:rsid w:val="00BD5B08"/>
    <w:rsid w:val="00BE1CCA"/>
    <w:rsid w:val="00BE298D"/>
    <w:rsid w:val="00BE39AF"/>
    <w:rsid w:val="00BE6D4A"/>
    <w:rsid w:val="00BE749D"/>
    <w:rsid w:val="00BF3473"/>
    <w:rsid w:val="00BF779F"/>
    <w:rsid w:val="00C030DE"/>
    <w:rsid w:val="00C11430"/>
    <w:rsid w:val="00C16912"/>
    <w:rsid w:val="00C16EA5"/>
    <w:rsid w:val="00C22105"/>
    <w:rsid w:val="00C244B6"/>
    <w:rsid w:val="00C36EA5"/>
    <w:rsid w:val="00C3702F"/>
    <w:rsid w:val="00C424B8"/>
    <w:rsid w:val="00C47505"/>
    <w:rsid w:val="00C50BAE"/>
    <w:rsid w:val="00C51637"/>
    <w:rsid w:val="00C51842"/>
    <w:rsid w:val="00C51DB3"/>
    <w:rsid w:val="00C57890"/>
    <w:rsid w:val="00C60C7E"/>
    <w:rsid w:val="00C64A37"/>
    <w:rsid w:val="00C64CAB"/>
    <w:rsid w:val="00C66A9C"/>
    <w:rsid w:val="00C7158E"/>
    <w:rsid w:val="00C71B6B"/>
    <w:rsid w:val="00C7250B"/>
    <w:rsid w:val="00C7346B"/>
    <w:rsid w:val="00C76EB1"/>
    <w:rsid w:val="00C77C0E"/>
    <w:rsid w:val="00C84A7C"/>
    <w:rsid w:val="00C84AE0"/>
    <w:rsid w:val="00C8552D"/>
    <w:rsid w:val="00C85928"/>
    <w:rsid w:val="00C864AE"/>
    <w:rsid w:val="00C906C8"/>
    <w:rsid w:val="00C9087B"/>
    <w:rsid w:val="00C91687"/>
    <w:rsid w:val="00C924A8"/>
    <w:rsid w:val="00C93095"/>
    <w:rsid w:val="00C945FE"/>
    <w:rsid w:val="00C9660B"/>
    <w:rsid w:val="00C96FAA"/>
    <w:rsid w:val="00C97A04"/>
    <w:rsid w:val="00CA107B"/>
    <w:rsid w:val="00CA1F65"/>
    <w:rsid w:val="00CA484D"/>
    <w:rsid w:val="00CA6DAC"/>
    <w:rsid w:val="00CA7AF0"/>
    <w:rsid w:val="00CB63D8"/>
    <w:rsid w:val="00CC183C"/>
    <w:rsid w:val="00CC2F67"/>
    <w:rsid w:val="00CC44C5"/>
    <w:rsid w:val="00CC5E7C"/>
    <w:rsid w:val="00CC739E"/>
    <w:rsid w:val="00CD58B7"/>
    <w:rsid w:val="00CE07C3"/>
    <w:rsid w:val="00CF36E2"/>
    <w:rsid w:val="00CF4099"/>
    <w:rsid w:val="00CF709E"/>
    <w:rsid w:val="00D00796"/>
    <w:rsid w:val="00D01391"/>
    <w:rsid w:val="00D037BA"/>
    <w:rsid w:val="00D1173D"/>
    <w:rsid w:val="00D14B9F"/>
    <w:rsid w:val="00D156D2"/>
    <w:rsid w:val="00D16BE7"/>
    <w:rsid w:val="00D2349F"/>
    <w:rsid w:val="00D261A2"/>
    <w:rsid w:val="00D349C9"/>
    <w:rsid w:val="00D34BF1"/>
    <w:rsid w:val="00D36A60"/>
    <w:rsid w:val="00D3701B"/>
    <w:rsid w:val="00D37D69"/>
    <w:rsid w:val="00D41C53"/>
    <w:rsid w:val="00D4514E"/>
    <w:rsid w:val="00D4636C"/>
    <w:rsid w:val="00D51270"/>
    <w:rsid w:val="00D5760B"/>
    <w:rsid w:val="00D616D2"/>
    <w:rsid w:val="00D61CB3"/>
    <w:rsid w:val="00D62A72"/>
    <w:rsid w:val="00D63B5F"/>
    <w:rsid w:val="00D67C92"/>
    <w:rsid w:val="00D70EF7"/>
    <w:rsid w:val="00D7204F"/>
    <w:rsid w:val="00D74327"/>
    <w:rsid w:val="00D8397C"/>
    <w:rsid w:val="00D87CBC"/>
    <w:rsid w:val="00D93EDE"/>
    <w:rsid w:val="00D94EED"/>
    <w:rsid w:val="00D95E98"/>
    <w:rsid w:val="00D96026"/>
    <w:rsid w:val="00D96B20"/>
    <w:rsid w:val="00D97063"/>
    <w:rsid w:val="00D976D6"/>
    <w:rsid w:val="00DA0B1B"/>
    <w:rsid w:val="00DA29C0"/>
    <w:rsid w:val="00DA3317"/>
    <w:rsid w:val="00DA3CE1"/>
    <w:rsid w:val="00DA3EBD"/>
    <w:rsid w:val="00DA77E8"/>
    <w:rsid w:val="00DA7C1C"/>
    <w:rsid w:val="00DA7C38"/>
    <w:rsid w:val="00DB0D8A"/>
    <w:rsid w:val="00DB147A"/>
    <w:rsid w:val="00DB1B7A"/>
    <w:rsid w:val="00DB3947"/>
    <w:rsid w:val="00DB4DAA"/>
    <w:rsid w:val="00DB6F33"/>
    <w:rsid w:val="00DB700C"/>
    <w:rsid w:val="00DC5FBC"/>
    <w:rsid w:val="00DC6708"/>
    <w:rsid w:val="00DD3FB1"/>
    <w:rsid w:val="00DE351C"/>
    <w:rsid w:val="00DE3EE7"/>
    <w:rsid w:val="00DE7FA2"/>
    <w:rsid w:val="00DF4C87"/>
    <w:rsid w:val="00E01436"/>
    <w:rsid w:val="00E01E98"/>
    <w:rsid w:val="00E02795"/>
    <w:rsid w:val="00E045BD"/>
    <w:rsid w:val="00E060AC"/>
    <w:rsid w:val="00E063D6"/>
    <w:rsid w:val="00E066B4"/>
    <w:rsid w:val="00E17B77"/>
    <w:rsid w:val="00E17BEA"/>
    <w:rsid w:val="00E17DE7"/>
    <w:rsid w:val="00E23337"/>
    <w:rsid w:val="00E259EA"/>
    <w:rsid w:val="00E26D2B"/>
    <w:rsid w:val="00E3099B"/>
    <w:rsid w:val="00E31BE4"/>
    <w:rsid w:val="00E32061"/>
    <w:rsid w:val="00E353C5"/>
    <w:rsid w:val="00E42FF9"/>
    <w:rsid w:val="00E445D8"/>
    <w:rsid w:val="00E4714C"/>
    <w:rsid w:val="00E47DF0"/>
    <w:rsid w:val="00E51AEB"/>
    <w:rsid w:val="00E522A7"/>
    <w:rsid w:val="00E54452"/>
    <w:rsid w:val="00E56FD7"/>
    <w:rsid w:val="00E578E6"/>
    <w:rsid w:val="00E609BE"/>
    <w:rsid w:val="00E61DE6"/>
    <w:rsid w:val="00E6241A"/>
    <w:rsid w:val="00E664C5"/>
    <w:rsid w:val="00E671A2"/>
    <w:rsid w:val="00E76D26"/>
    <w:rsid w:val="00E80378"/>
    <w:rsid w:val="00E81482"/>
    <w:rsid w:val="00E85225"/>
    <w:rsid w:val="00E916E1"/>
    <w:rsid w:val="00EA3A42"/>
    <w:rsid w:val="00EB1390"/>
    <w:rsid w:val="00EB15DA"/>
    <w:rsid w:val="00EB2C71"/>
    <w:rsid w:val="00EB4340"/>
    <w:rsid w:val="00EB556D"/>
    <w:rsid w:val="00EB5616"/>
    <w:rsid w:val="00EB5A7D"/>
    <w:rsid w:val="00EB6683"/>
    <w:rsid w:val="00EC055F"/>
    <w:rsid w:val="00EC2F3A"/>
    <w:rsid w:val="00EC326C"/>
    <w:rsid w:val="00EC354D"/>
    <w:rsid w:val="00EC4C6C"/>
    <w:rsid w:val="00ED128F"/>
    <w:rsid w:val="00ED5481"/>
    <w:rsid w:val="00ED55C0"/>
    <w:rsid w:val="00ED682B"/>
    <w:rsid w:val="00EE214D"/>
    <w:rsid w:val="00EE41D5"/>
    <w:rsid w:val="00EE424A"/>
    <w:rsid w:val="00EE635E"/>
    <w:rsid w:val="00EE7644"/>
    <w:rsid w:val="00EF52C6"/>
    <w:rsid w:val="00EF5B19"/>
    <w:rsid w:val="00F037A4"/>
    <w:rsid w:val="00F04854"/>
    <w:rsid w:val="00F120A9"/>
    <w:rsid w:val="00F128F9"/>
    <w:rsid w:val="00F13D97"/>
    <w:rsid w:val="00F17710"/>
    <w:rsid w:val="00F25299"/>
    <w:rsid w:val="00F255CA"/>
    <w:rsid w:val="00F27C8F"/>
    <w:rsid w:val="00F31383"/>
    <w:rsid w:val="00F31DAF"/>
    <w:rsid w:val="00F31F2C"/>
    <w:rsid w:val="00F32749"/>
    <w:rsid w:val="00F37172"/>
    <w:rsid w:val="00F4477E"/>
    <w:rsid w:val="00F55379"/>
    <w:rsid w:val="00F642C8"/>
    <w:rsid w:val="00F6623C"/>
    <w:rsid w:val="00F67D8F"/>
    <w:rsid w:val="00F74599"/>
    <w:rsid w:val="00F76BDA"/>
    <w:rsid w:val="00F779F9"/>
    <w:rsid w:val="00F802BE"/>
    <w:rsid w:val="00F86024"/>
    <w:rsid w:val="00F8611A"/>
    <w:rsid w:val="00F8797B"/>
    <w:rsid w:val="00F904B4"/>
    <w:rsid w:val="00F92FCB"/>
    <w:rsid w:val="00FA128C"/>
    <w:rsid w:val="00FA2122"/>
    <w:rsid w:val="00FA5128"/>
    <w:rsid w:val="00FA7BA7"/>
    <w:rsid w:val="00FB0A3D"/>
    <w:rsid w:val="00FB42D4"/>
    <w:rsid w:val="00FB5906"/>
    <w:rsid w:val="00FB762F"/>
    <w:rsid w:val="00FB7BBF"/>
    <w:rsid w:val="00FC2AED"/>
    <w:rsid w:val="00FC580C"/>
    <w:rsid w:val="00FC6644"/>
    <w:rsid w:val="00FD0BDF"/>
    <w:rsid w:val="00FD5EA7"/>
    <w:rsid w:val="00FD720F"/>
    <w:rsid w:val="00FE0992"/>
    <w:rsid w:val="00FE0E3A"/>
    <w:rsid w:val="00FE2F53"/>
    <w:rsid w:val="00FE472F"/>
    <w:rsid w:val="00FE5E5C"/>
    <w:rsid w:val="00FF11CA"/>
    <w:rsid w:val="00FF4BF4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E5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9" Type="http://schemas.openxmlformats.org/officeDocument/2006/relationships/hyperlink" Target="http://stat.gov.pl/metainformacje/slownik-pojec/pojecia-stosowane-w-statystyce-publicznej/709,pojecie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sygnalne/informacje-sygnalne/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709,pojecie.html" TargetMode="External"/><Relationship Id="rId37" Type="http://schemas.openxmlformats.org/officeDocument/2006/relationships/hyperlink" Target="http://stat.gov.pl/obszary-tematyczne/ceny-handel/wskazniki-cen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metainformacje/slownik-pojec/pojecia-stosowane-w-statystyce-publicznej/708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waid.stat.gov.pl/SitePagesDBW/Ceny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8" Type="http://schemas.openxmlformats.org/officeDocument/2006/relationships/hyperlink" Target="http://stat.gov.pl/metainformacje/slownik-pojec/pojecia-stosowane-w-statystyce-publicznej/70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Aga1\WA&#379;NE\WSTEPNA\2018\prasa\wrzesie&#324;2018\WST7'18_17.10.2018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C:\Aga1\WA&#379;NE\WSTEPNA\2018\prasa\wrzesie&#324;2018\WST7'18_17.10.2018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8\prasa\wrzesie&#324;2018\WST7'18_17.10.2018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116741128044755"/>
          <c:y val="9.2827004219409287E-2"/>
          <c:w val="0.80350270882355457"/>
          <c:h val="0.59578059071729961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'rys1'!$B$67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77909270216957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408941485864562E-2"/>
                  <c:y val="-1.01265822784810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'rys1'!$B$71:$B$79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'rys1'!$C$71:$C$79</c:f>
              <c:numCache>
                <c:formatCode>0.0</c:formatCode>
                <c:ptCount val="9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 formatCode="General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 formatCode="General">
                  <c:v>102.5</c:v>
                </c:pt>
                <c:pt idx="8" formatCode="General">
                  <c:v>102.9</c:v>
                </c:pt>
              </c:numCache>
            </c:numRef>
          </c:val>
        </c:ser>
        <c:ser>
          <c:idx val="4"/>
          <c:order val="1"/>
          <c:tx>
            <c:strRef>
              <c:f>'rys1'!$B$68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8542"/>
            </a:solidFill>
            <a:ln w="12700">
              <a:noFill/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5779092702169626E-2"/>
                  <c:y val="3.37552742616033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5779092702169529E-2"/>
                  <c:y val="-6.188395459088199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1492439184746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1038790269559501E-2"/>
                  <c:y val="-1.01265822784810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577909270216962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5779092702169529E-2"/>
                  <c:y val="3.3755274261603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'rys1'!$B$71:$B$79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'rys1'!$D$71:$D$79</c:f>
              <c:numCache>
                <c:formatCode>0.0</c:formatCode>
                <c:ptCount val="9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  <c:pt idx="8">
                  <c:v>102.5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27505328"/>
        <c:axId val="-1727498256"/>
      </c:barChart>
      <c:catAx>
        <c:axId val="-172750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27498256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727498256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27505328"/>
        <c:crosses val="autoZero"/>
        <c:crossBetween val="between"/>
        <c:majorUnit val="1"/>
        <c:minorUnit val="0.1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810126582276"/>
          <c:w val="0.98638235309343736"/>
          <c:h val="0.1037974683544303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154609484514016"/>
          <c:y val="0.12500054680664918"/>
          <c:w val="0.76908096972175588"/>
          <c:h val="0.67968886701662301"/>
        </c:manualLayout>
      </c:layout>
      <c:lineChart>
        <c:grouping val="standard"/>
        <c:varyColors val="0"/>
        <c:ser>
          <c:idx val="0"/>
          <c:order val="0"/>
          <c:tx>
            <c:strRef>
              <c:f>'rys2'!$C$27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dLbls>
            <c:dLbl>
              <c:idx val="0"/>
              <c:layout>
                <c:manualLayout>
                  <c:x val="-5.1643886979880961E-2"/>
                  <c:y val="-3.33333333333333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426013529130799E-2"/>
                  <c:y val="-2.9861111111111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'rys2'!$C$28:$C$39</c:f>
              <c:numCache>
                <c:formatCode>0.0</c:formatCode>
                <c:ptCount val="12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>
                  <c:v>100.6</c:v>
                </c:pt>
                <c:pt idx="10" formatCode="General">
                  <c:v>100.6</c:v>
                </c:pt>
                <c:pt idx="11">
                  <c:v>100.3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'rys2'!$D$27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ysDash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6.9132522818209377E-2"/>
                  <c:y val="4.37499999999999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489837742884903E-2"/>
                  <c:y val="2.2916666666666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83235485975212E-2"/>
                  <c:y val="-3.9583333333333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3235485975212E-2"/>
                  <c:y val="-3.9583333333333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'rys2'!$D$28:$D$39</c:f>
              <c:numCache>
                <c:formatCode>0.0</c:formatCode>
                <c:ptCount val="12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 formatCode="General">
                  <c:v>102.5</c:v>
                </c:pt>
                <c:pt idx="8" formatCode="General">
                  <c:v>102.9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27497712"/>
        <c:axId val="-1727494992"/>
      </c:lineChart>
      <c:catAx>
        <c:axId val="-17274977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2749499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727494992"/>
        <c:scaling>
          <c:orientation val="minMax"/>
          <c:max val="103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27497712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10449050086355786"/>
          <c:w val="0.79296875"/>
          <c:h val="0.6934369602763385"/>
        </c:manualLayout>
      </c:layout>
      <c:lineChart>
        <c:grouping val="standard"/>
        <c:varyColors val="0"/>
        <c:ser>
          <c:idx val="0"/>
          <c:order val="0"/>
          <c:tx>
            <c:strRef>
              <c:f>'rys3'!$C$8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'rys3'!$C$9:$C$20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100.1</c:v>
                </c:pt>
                <c:pt idx="7">
                  <c:v>100.3</c:v>
                </c:pt>
                <c:pt idx="8">
                  <c:v>100.6</c:v>
                </c:pt>
                <c:pt idx="9">
                  <c:v>100.9</c:v>
                </c:pt>
                <c:pt idx="10">
                  <c:v>101.2</c:v>
                </c:pt>
                <c:pt idx="11">
                  <c:v>101.4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'rys3'!$D$8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ysDash"/>
            </a:ln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'rys3'!$D$9:$D$20</c:f>
              <c:numCache>
                <c:formatCode>0.0</c:formatCode>
                <c:ptCount val="12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  <c:pt idx="8">
                  <c:v>102.5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27497168"/>
        <c:axId val="-1727508048"/>
      </c:lineChart>
      <c:catAx>
        <c:axId val="-17274971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172750804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727508048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27497168"/>
        <c:crosses val="autoZero"/>
        <c:crossBetween val="between"/>
        <c:majorUnit val="1"/>
      </c:valAx>
      <c:spPr>
        <a:solidFill>
          <a:srgbClr val="FFFFFF"/>
        </a:solidFill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67956742093629"/>
          <c:y val="9.8752770320185937E-2"/>
          <c:w val="0.78446601941747574"/>
          <c:h val="0.56954275452410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8"/>
              <c:layout>
                <c:manualLayout>
                  <c:x val="7.8895463510848127E-2"/>
                  <c:y val="3.6613272311212759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'rys4'!$B$6:$B$14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'rys4'!$C$6:$C$14</c:f>
              <c:numCache>
                <c:formatCode>General</c:formatCode>
                <c:ptCount val="9"/>
                <c:pt idx="0" formatCode="0.0">
                  <c:v>100.1</c:v>
                </c:pt>
                <c:pt idx="1">
                  <c:v>99.9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102.1</c:v>
                </c:pt>
                <c:pt idx="5">
                  <c:v>102.4</c:v>
                </c:pt>
                <c:pt idx="6">
                  <c:v>102.5</c:v>
                </c:pt>
                <c:pt idx="7">
                  <c:v>102.5</c:v>
                </c:pt>
                <c:pt idx="8">
                  <c:v>102.9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27496080"/>
        <c:axId val="-1727507504"/>
      </c:barChart>
      <c:lineChart>
        <c:grouping val="standard"/>
        <c:varyColors val="0"/>
        <c:ser>
          <c:idx val="1"/>
          <c:order val="1"/>
          <c:tx>
            <c:strRef>
              <c:f>rys4!$D$4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8"/>
              <c:layout>
                <c:manualLayout>
                  <c:x val="2.1038790269559501E-2"/>
                  <c:y val="0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'rys4'!$B$6:$B$14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'rys4'!$D$6:$D$14</c:f>
              <c:numCache>
                <c:formatCode>0.0</c:formatCode>
                <c:ptCount val="9"/>
                <c:pt idx="0">
                  <c:v>99.8</c:v>
                </c:pt>
                <c:pt idx="1">
                  <c:v>99.4</c:v>
                </c:pt>
                <c:pt idx="2">
                  <c:v>101.2</c:v>
                </c:pt>
                <c:pt idx="3">
                  <c:v>100.8</c:v>
                </c:pt>
                <c:pt idx="4">
                  <c:v>102.9</c:v>
                </c:pt>
                <c:pt idx="5">
                  <c:v>104.2</c:v>
                </c:pt>
                <c:pt idx="6">
                  <c:v>101.2</c:v>
                </c:pt>
                <c:pt idx="7">
                  <c:v>100.2</c:v>
                </c:pt>
                <c:pt idx="8">
                  <c:v>100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8"/>
              <c:layout>
                <c:manualLayout>
                  <c:x val="2.3668639053254437E-2"/>
                  <c:y val="-1.8306636155606435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'rys4'!$B$6:$B$14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'rys4'!$E$6:$E$14</c:f>
              <c:numCache>
                <c:formatCode>0.0</c:formatCode>
                <c:ptCount val="9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102.2</c:v>
                </c:pt>
                <c:pt idx="5">
                  <c:v>102.5</c:v>
                </c:pt>
                <c:pt idx="6">
                  <c:v>102.7</c:v>
                </c:pt>
                <c:pt idx="7">
                  <c:v>102.7</c:v>
                </c:pt>
                <c:pt idx="8">
                  <c:v>103.1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254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8"/>
              <c:layout>
                <c:manualLayout>
                  <c:x val="2.1038790269559501E-2"/>
                  <c:y val="9.1533180778032037E-3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'rys4'!$B$6:$B$14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'rys4'!$F$6:$F$14</c:f>
              <c:numCache>
                <c:formatCode>0.0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100.1</c:v>
                </c:pt>
                <c:pt idx="3">
                  <c:v>100.2</c:v>
                </c:pt>
                <c:pt idx="4">
                  <c:v>101.2</c:v>
                </c:pt>
                <c:pt idx="5">
                  <c:v>101.4</c:v>
                </c:pt>
                <c:pt idx="6">
                  <c:v>101.5</c:v>
                </c:pt>
                <c:pt idx="7">
                  <c:v>102.2</c:v>
                </c:pt>
                <c:pt idx="8">
                  <c:v>102.4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dLbls>
            <c:dLbl>
              <c:idx val="8"/>
              <c:layout>
                <c:manualLayout>
                  <c:x val="2.1038790269559501E-2"/>
                  <c:y val="-1.1187259525582785E-16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'rys4'!$B$6:$B$14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'rys4'!$G$6:$G$14</c:f>
              <c:numCache>
                <c:formatCode>0.0</c:formatCode>
                <c:ptCount val="9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100.5</c:v>
                </c:pt>
                <c:pt idx="4">
                  <c:v>100.5</c:v>
                </c:pt>
                <c:pt idx="5">
                  <c:v>100.9</c:v>
                </c:pt>
                <c:pt idx="6">
                  <c:v>101.1</c:v>
                </c:pt>
                <c:pt idx="7">
                  <c:v>101</c:v>
                </c:pt>
                <c:pt idx="8">
                  <c:v>101.1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27496080"/>
        <c:axId val="-1727507504"/>
      </c:lineChart>
      <c:catAx>
        <c:axId val="-1727496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2750750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727507504"/>
        <c:scaling>
          <c:orientation val="minMax"/>
          <c:max val="105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2749608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6976553966264E-3"/>
          <c:y val="0.74040637368841489"/>
          <c:w val="0.98446608375136535"/>
          <c:h val="0.25282161240142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0.11497</cdr:y>
    </cdr:from>
    <cdr:to>
      <cdr:x>0.06013</cdr:x>
      <cdr:y>0.1625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32557"/>
          <a:ext cx="18531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0.26979</cdr:x>
      <cdr:y>0.06579</cdr:y>
    </cdr:from>
    <cdr:to>
      <cdr:x>0.41933</cdr:x>
      <cdr:y>0.12646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02853" y="247544"/>
          <a:ext cx="722155" cy="2282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0.98588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48457" y="2603314"/>
          <a:ext cx="390822" cy="295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0.06847</cdr:x>
      <cdr:y>0.01379</cdr:y>
    </cdr:from>
    <cdr:to>
      <cdr:x>0.07607</cdr:x>
      <cdr:y>0.06673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3258" y="50434"/>
          <a:ext cx="36998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100" b="1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0.00969</cdr:x>
      <cdr:y>0.0117</cdr:y>
    </cdr:from>
    <cdr:to>
      <cdr:x>0.01353</cdr:x>
      <cdr:y>0.05823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795" y="48717"/>
          <a:ext cx="18531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0.87386</cdr:x>
      <cdr:y>0.67735</cdr:y>
    </cdr:from>
    <cdr:to>
      <cdr:x>0.99006</cdr:x>
      <cdr:y>0.73455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20023" y="2819401"/>
          <a:ext cx="561150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277CD5-99AF-40F9-84C5-A892CD0E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2018-08-16T06:51:00Z</cp:lastPrinted>
  <dcterms:created xsi:type="dcterms:W3CDTF">2018-10-17T07:46:00Z</dcterms:created>
  <dcterms:modified xsi:type="dcterms:W3CDTF">2018-10-17T07:46:00Z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