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276764" w:rsidRPr="00276764">
        <w:rPr>
          <w:rFonts w:cs="Arial"/>
          <w:spacing w:val="-2"/>
          <w:szCs w:val="40"/>
        </w:rPr>
        <w:t>listopadzie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201</w:t>
      </w:r>
      <w:r w:rsidR="009979A1" w:rsidRPr="00276764">
        <w:rPr>
          <w:rFonts w:cs="Arial"/>
          <w:spacing w:val="-2"/>
          <w:szCs w:val="40"/>
        </w:rPr>
        <w:t>9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93D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3F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wz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rostu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detaliczn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r/r było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</w:t>
                            </w:r>
                            <w:r w:rsidR="007869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0F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B253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526113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roc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07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wyższe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</w:t>
                            </w:r>
                            <w:r w:rsidR="00D93D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październiku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536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93D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3F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wz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rostu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detaliczn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r/r było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</w:t>
                      </w:r>
                      <w:r w:rsidR="007869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0F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B253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526113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roc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07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wyższe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</w:t>
                      </w:r>
                      <w:r w:rsidR="00D93D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październiku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536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601B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01B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601B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01B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1849BD">
        <w:t xml:space="preserve"> </w:t>
      </w:r>
      <w:r w:rsidR="00395C6C">
        <w:t>listopadzie</w:t>
      </w:r>
      <w:r w:rsidR="00280E05">
        <w:t xml:space="preserve">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395C6C">
        <w:t>5</w:t>
      </w:r>
      <w:r w:rsidR="00C62998" w:rsidRPr="009815A2">
        <w:t>,</w:t>
      </w:r>
      <w:r w:rsidR="00395C6C">
        <w:t>2</w:t>
      </w:r>
      <w:r w:rsidR="00C62998" w:rsidRPr="009815A2">
        <w:t>% (wobec wzrostu o</w:t>
      </w:r>
      <w:r w:rsidR="00511F40" w:rsidRPr="009815A2">
        <w:t> </w:t>
      </w:r>
      <w:r w:rsidR="00395C6C">
        <w:t>6</w:t>
      </w:r>
      <w:r w:rsidR="00C62998" w:rsidRPr="009815A2">
        <w:t>,</w:t>
      </w:r>
      <w:r w:rsidR="00395C6C">
        <w:t>9</w:t>
      </w:r>
      <w:r w:rsidR="00C62998" w:rsidRPr="009815A2">
        <w:t>% w</w:t>
      </w:r>
      <w:r w:rsidR="002E533B">
        <w:t xml:space="preserve"> </w:t>
      </w:r>
      <w:r w:rsidR="00395C6C">
        <w:t>listopadzie</w:t>
      </w:r>
      <w:r w:rsidR="00BF4885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163B69">
        <w:rPr>
          <w:rFonts w:cs="Arial"/>
          <w:szCs w:val="24"/>
        </w:rPr>
        <w:t xml:space="preserve">październikiem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163B69">
        <w:rPr>
          <w:rFonts w:cs="Arial"/>
          <w:szCs w:val="24"/>
        </w:rPr>
        <w:t>spadek</w:t>
      </w:r>
      <w:r w:rsidR="00BE53E1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B74E57">
        <w:rPr>
          <w:rFonts w:cs="Arial"/>
          <w:spacing w:val="-10"/>
          <w:szCs w:val="24"/>
        </w:rPr>
        <w:t>2</w:t>
      </w:r>
      <w:r w:rsidR="00017FFE" w:rsidRPr="009815A2">
        <w:rPr>
          <w:rFonts w:cs="Arial"/>
          <w:spacing w:val="-10"/>
          <w:szCs w:val="24"/>
        </w:rPr>
        <w:t>,</w:t>
      </w:r>
      <w:r w:rsidR="00B74E57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56F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56F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D40147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F5031E">
        <w:rPr>
          <w:rFonts w:cs="Arial"/>
        </w:rPr>
        <w:t>naj</w:t>
      </w:r>
      <w:r w:rsidR="004B3E2B">
        <w:rPr>
          <w:rFonts w:cs="Arial"/>
        </w:rPr>
        <w:t xml:space="preserve">większy </w:t>
      </w:r>
      <w:r w:rsidRPr="009815A2">
        <w:rPr>
          <w:rFonts w:cs="Arial"/>
        </w:rPr>
        <w:t>wzrost w</w:t>
      </w:r>
      <w:r w:rsidR="006C74EF">
        <w:rPr>
          <w:rFonts w:cs="Arial"/>
        </w:rPr>
        <w:t xml:space="preserve"> </w:t>
      </w:r>
      <w:r w:rsidR="00F5031E">
        <w:rPr>
          <w:rFonts w:cs="Arial"/>
        </w:rPr>
        <w:t>listopadzie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262DA0">
        <w:rPr>
          <w:rFonts w:cs="Arial"/>
        </w:rPr>
        <w:t>w</w:t>
      </w:r>
      <w:r w:rsidR="00B20CA9">
        <w:rPr>
          <w:rFonts w:cs="Arial"/>
        </w:rPr>
        <w:t xml:space="preserve">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F5031E">
        <w:rPr>
          <w:rFonts w:cs="Arial"/>
        </w:rPr>
        <w:t>13</w:t>
      </w:r>
      <w:r w:rsidR="00185DC0" w:rsidRPr="009815A2">
        <w:rPr>
          <w:rFonts w:cs="Arial"/>
        </w:rPr>
        <w:t>,</w:t>
      </w:r>
      <w:r w:rsidR="00F5031E">
        <w:rPr>
          <w:rFonts w:cs="Arial"/>
        </w:rPr>
        <w:t>6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DA15BC">
        <w:rPr>
          <w:rFonts w:cs="Arial"/>
        </w:rPr>
        <w:t> </w:t>
      </w:r>
      <w:r w:rsidR="00F5031E">
        <w:rPr>
          <w:rFonts w:cs="Arial"/>
        </w:rPr>
        <w:t>6</w:t>
      </w:r>
      <w:r w:rsidR="00C57F47">
        <w:rPr>
          <w:rFonts w:cs="Arial"/>
        </w:rPr>
        <w:t>,</w:t>
      </w:r>
      <w:r w:rsidR="00F5031E">
        <w:rPr>
          <w:rFonts w:cs="Arial"/>
        </w:rPr>
        <w:t>0</w:t>
      </w:r>
      <w:r w:rsidR="00481568">
        <w:rPr>
          <w:rFonts w:cs="Arial"/>
        </w:rPr>
        <w:t xml:space="preserve">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550FAF">
        <w:rPr>
          <w:rFonts w:cs="Arial"/>
        </w:rPr>
        <w:t xml:space="preserve">. </w:t>
      </w:r>
    </w:p>
    <w:p w:rsidR="003545BF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</w:t>
      </w:r>
      <w:r w:rsidR="0017515F" w:rsidRPr="009815A2">
        <w:rPr>
          <w:rFonts w:cs="Arial"/>
        </w:rPr>
        <w:t xml:space="preserve"> </w:t>
      </w:r>
      <w:r w:rsidRPr="009815A2">
        <w:rPr>
          <w:rFonts w:cs="Arial"/>
        </w:rPr>
        <w:t>„</w:t>
      </w:r>
      <w:r w:rsidR="000040E1">
        <w:rPr>
          <w:rFonts w:cs="Arial"/>
        </w:rPr>
        <w:t xml:space="preserve">ogółem” </w:t>
      </w:r>
      <w:r w:rsidR="0017515F">
        <w:rPr>
          <w:rFonts w:cs="Arial"/>
        </w:rPr>
        <w:t>w</w:t>
      </w:r>
      <w:r w:rsidR="00D14A79">
        <w:rPr>
          <w:rFonts w:cs="Arial"/>
        </w:rPr>
        <w:t>yższy</w:t>
      </w:r>
      <w:r w:rsidR="0017515F">
        <w:rPr>
          <w:rFonts w:cs="Arial"/>
        </w:rPr>
        <w:t xml:space="preserve"> niż przeciętny wzrost </w:t>
      </w:r>
      <w:r w:rsidR="00E42091" w:rsidRPr="009815A2">
        <w:rPr>
          <w:rFonts w:cs="Arial"/>
        </w:rPr>
        <w:t xml:space="preserve">wykazały </w:t>
      </w:r>
      <w:r w:rsidR="00AA0FCA" w:rsidRPr="004D1922">
        <w:rPr>
          <w:rFonts w:cs="Arial"/>
        </w:rPr>
        <w:t>podmioty</w:t>
      </w:r>
      <w:r w:rsidRPr="004D1922">
        <w:rPr>
          <w:rFonts w:cs="Arial"/>
        </w:rPr>
        <w:t xml:space="preserve"> </w:t>
      </w:r>
      <w:r w:rsidR="0017515F">
        <w:rPr>
          <w:rFonts w:cs="Arial"/>
        </w:rPr>
        <w:t>zaklasyfikowane do grup:</w:t>
      </w:r>
      <w:r w:rsidR="00F63132" w:rsidRPr="004D1922">
        <w:rPr>
          <w:rFonts w:cs="Arial"/>
        </w:rPr>
        <w:t xml:space="preserve"> </w:t>
      </w:r>
      <w:r w:rsidR="00207163" w:rsidRPr="004D1922">
        <w:rPr>
          <w:rFonts w:cs="Arial"/>
        </w:rPr>
        <w:t>„</w:t>
      </w:r>
      <w:r w:rsidR="00695A26" w:rsidRPr="004D1922">
        <w:rPr>
          <w:rFonts w:cs="Arial"/>
        </w:rPr>
        <w:t xml:space="preserve">meble, </w:t>
      </w:r>
      <w:proofErr w:type="spellStart"/>
      <w:r w:rsidR="00695A26" w:rsidRPr="004D1922">
        <w:rPr>
          <w:rFonts w:cs="Arial"/>
        </w:rPr>
        <w:t>rtv</w:t>
      </w:r>
      <w:proofErr w:type="spellEnd"/>
      <w:r w:rsidR="00695A26" w:rsidRPr="004D1922">
        <w:rPr>
          <w:rFonts w:cs="Arial"/>
        </w:rPr>
        <w:t xml:space="preserve">, </w:t>
      </w:r>
      <w:proofErr w:type="spellStart"/>
      <w:r w:rsidR="00695A26" w:rsidRPr="004D1922">
        <w:rPr>
          <w:rFonts w:cs="Arial"/>
        </w:rPr>
        <w:t>agd</w:t>
      </w:r>
      <w:proofErr w:type="spellEnd"/>
      <w:r w:rsidR="00207163" w:rsidRPr="004D1922">
        <w:rPr>
          <w:rFonts w:cs="Arial"/>
        </w:rPr>
        <w:t xml:space="preserve">” </w:t>
      </w:r>
      <w:r w:rsidR="00F63132" w:rsidRPr="004D1922">
        <w:rPr>
          <w:rFonts w:cs="Arial"/>
        </w:rPr>
        <w:t>(o</w:t>
      </w:r>
      <w:r w:rsidR="00431624" w:rsidRPr="004D1922">
        <w:rPr>
          <w:rFonts w:cs="Arial"/>
        </w:rPr>
        <w:t> </w:t>
      </w:r>
      <w:r w:rsidR="00695A26" w:rsidRPr="004D1922">
        <w:rPr>
          <w:rFonts w:cs="Arial"/>
        </w:rPr>
        <w:t>1</w:t>
      </w:r>
      <w:r w:rsidR="0017515F">
        <w:rPr>
          <w:rFonts w:cs="Arial"/>
        </w:rPr>
        <w:t>1</w:t>
      </w:r>
      <w:r w:rsidR="00F63132" w:rsidRPr="004D1922">
        <w:rPr>
          <w:rFonts w:cs="Arial"/>
        </w:rPr>
        <w:t>,</w:t>
      </w:r>
      <w:r w:rsidR="007B10DE">
        <w:rPr>
          <w:rFonts w:cs="Arial"/>
        </w:rPr>
        <w:t>9%)</w:t>
      </w:r>
      <w:r w:rsidR="0017515F">
        <w:rPr>
          <w:rFonts w:cs="Arial"/>
        </w:rPr>
        <w:t>; „farmac</w:t>
      </w:r>
      <w:r w:rsidR="00D40147">
        <w:rPr>
          <w:rFonts w:cs="Arial"/>
        </w:rPr>
        <w:t xml:space="preserve">eutyki, kosmetyki, sprzęt </w:t>
      </w:r>
      <w:r w:rsidR="00D40147" w:rsidRPr="00D40147">
        <w:rPr>
          <w:rFonts w:cs="Arial"/>
        </w:rPr>
        <w:t>ortope</w:t>
      </w:r>
      <w:r w:rsidR="0017515F" w:rsidRPr="00D40147">
        <w:rPr>
          <w:rFonts w:cs="Arial"/>
        </w:rPr>
        <w:t>dyczny” (o 7,9%)</w:t>
      </w:r>
      <w:r w:rsidR="00316781" w:rsidRPr="00D40147">
        <w:rPr>
          <w:rFonts w:cs="Arial"/>
        </w:rPr>
        <w:t>;</w:t>
      </w:r>
      <w:r w:rsidR="0017515F" w:rsidRPr="00D40147">
        <w:rPr>
          <w:rFonts w:cs="Arial"/>
        </w:rPr>
        <w:t xml:space="preserve"> „prasa, książki, pozostała sprzedaż w wyspecjalizowanych sklepach”</w:t>
      </w:r>
      <w:r w:rsidR="00D40147">
        <w:rPr>
          <w:rFonts w:cs="Arial"/>
        </w:rPr>
        <w:t xml:space="preserve"> </w:t>
      </w:r>
      <w:r w:rsidR="00EC3AAA">
        <w:rPr>
          <w:rFonts w:cs="Arial"/>
        </w:rPr>
        <w:t xml:space="preserve">(o </w:t>
      </w:r>
      <w:r w:rsidR="00DE5118">
        <w:rPr>
          <w:rFonts w:cs="Arial"/>
        </w:rPr>
        <w:t>7,6%)</w:t>
      </w:r>
      <w:r w:rsidR="0017515F">
        <w:rPr>
          <w:rFonts w:cs="Arial"/>
        </w:rPr>
        <w:t xml:space="preserve">. </w:t>
      </w:r>
    </w:p>
    <w:p w:rsidR="0060587D" w:rsidRPr="004D1922" w:rsidRDefault="00C30605" w:rsidP="00F05462">
      <w:pPr>
        <w:spacing w:before="0" w:after="0"/>
        <w:rPr>
          <w:rFonts w:cs="Arial"/>
        </w:rPr>
      </w:pPr>
      <w:r w:rsidRPr="004D1922">
        <w:rPr>
          <w:rFonts w:cs="Arial"/>
        </w:rPr>
        <w:t>Spadek sprzedaży odnotowano</w:t>
      </w:r>
      <w:r w:rsidR="000D6FD0" w:rsidRPr="004D1922">
        <w:rPr>
          <w:rFonts w:cs="Arial"/>
        </w:rPr>
        <w:t xml:space="preserve"> natomiast</w:t>
      </w:r>
      <w:r w:rsidRPr="004D1922">
        <w:rPr>
          <w:rFonts w:cs="Arial"/>
        </w:rPr>
        <w:t xml:space="preserve"> w przedsiębiorstwach </w:t>
      </w:r>
      <w:r w:rsidR="004C5052">
        <w:rPr>
          <w:rFonts w:cs="Arial"/>
        </w:rPr>
        <w:t xml:space="preserve">z </w:t>
      </w:r>
      <w:r w:rsidR="00505263">
        <w:rPr>
          <w:rFonts w:cs="Arial"/>
        </w:rPr>
        <w:t>grup</w:t>
      </w:r>
      <w:r w:rsidR="00322E4F">
        <w:rPr>
          <w:rFonts w:cs="Arial"/>
        </w:rPr>
        <w:t>y</w:t>
      </w:r>
      <w:r w:rsidRPr="004D1922">
        <w:rPr>
          <w:rFonts w:cs="Arial"/>
        </w:rPr>
        <w:t xml:space="preserve"> „pozostałe” (o</w:t>
      </w:r>
      <w:r w:rsidR="000D1BA5" w:rsidRPr="004D1922">
        <w:rPr>
          <w:rFonts w:cs="Arial"/>
        </w:rPr>
        <w:t> </w:t>
      </w:r>
      <w:r w:rsidR="0017515F">
        <w:rPr>
          <w:rFonts w:cs="Arial"/>
        </w:rPr>
        <w:t>0</w:t>
      </w:r>
      <w:r w:rsidRPr="004D1922">
        <w:rPr>
          <w:rFonts w:cs="Arial"/>
        </w:rPr>
        <w:t>,</w:t>
      </w:r>
      <w:r w:rsidR="0017515F">
        <w:rPr>
          <w:rFonts w:cs="Arial"/>
        </w:rPr>
        <w:t>4</w:t>
      </w:r>
      <w:r w:rsidRPr="004D1922">
        <w:rPr>
          <w:rFonts w:cs="Arial"/>
        </w:rPr>
        <w:t>%)</w:t>
      </w:r>
      <w:r w:rsidR="00316781">
        <w:rPr>
          <w:rFonts w:cs="Arial"/>
        </w:rPr>
        <w:t xml:space="preserve"> oraz </w:t>
      </w:r>
      <w:r w:rsidR="00322E4F">
        <w:rPr>
          <w:rFonts w:cs="Arial"/>
        </w:rPr>
        <w:t>w jednostkach handlujących żywnością, napojami</w:t>
      </w:r>
      <w:r w:rsidR="00316781">
        <w:rPr>
          <w:rFonts w:cs="Arial"/>
        </w:rPr>
        <w:t xml:space="preserve"> i wyrob</w:t>
      </w:r>
      <w:r w:rsidR="00322E4F">
        <w:rPr>
          <w:rFonts w:cs="Arial"/>
        </w:rPr>
        <w:t>ami tytoniowymi</w:t>
      </w:r>
      <w:r w:rsidR="00C43613">
        <w:rPr>
          <w:rFonts w:cs="Arial"/>
        </w:rPr>
        <w:t xml:space="preserve"> </w:t>
      </w:r>
      <w:r w:rsidR="00316781">
        <w:rPr>
          <w:rFonts w:cs="Arial"/>
        </w:rPr>
        <w:t xml:space="preserve"> (o 0,1%)</w:t>
      </w:r>
      <w:r w:rsidRPr="004D1922">
        <w:rPr>
          <w:rFonts w:cs="Arial"/>
        </w:rPr>
        <w:t>.</w:t>
      </w:r>
    </w:p>
    <w:p w:rsidR="00A233D9" w:rsidRPr="009815A2" w:rsidRDefault="00A233D9" w:rsidP="00F05462">
      <w:pPr>
        <w:spacing w:before="0" w:after="0"/>
        <w:rPr>
          <w:rFonts w:cs="Arial"/>
        </w:rPr>
      </w:pPr>
      <w:r w:rsidRPr="004D1922">
        <w:rPr>
          <w:rFonts w:cs="Arial"/>
        </w:rPr>
        <w:t>W okresie styczeń-</w:t>
      </w:r>
      <w:r w:rsidR="00043EC4">
        <w:rPr>
          <w:rFonts w:cs="Arial"/>
        </w:rPr>
        <w:t>listopad</w:t>
      </w:r>
      <w:r w:rsidRPr="004D1922">
        <w:rPr>
          <w:rStyle w:val="Odwoanieprzypisudolnego"/>
          <w:rFonts w:cs="Arial"/>
        </w:rPr>
        <w:footnoteReference w:id="2"/>
      </w:r>
      <w:r w:rsidR="00E8395B" w:rsidRPr="004D1922">
        <w:rPr>
          <w:rFonts w:cs="Arial"/>
        </w:rPr>
        <w:t xml:space="preserve"> 2019 r. wzrost sprzedaży </w:t>
      </w:r>
      <w:r w:rsidR="00E8395B">
        <w:rPr>
          <w:rFonts w:cs="Arial"/>
        </w:rPr>
        <w:t xml:space="preserve">detalicznej r/r wyniósł </w:t>
      </w:r>
      <w:r w:rsidR="00076FC0">
        <w:rPr>
          <w:rFonts w:cs="Arial"/>
        </w:rPr>
        <w:t>5</w:t>
      </w:r>
      <w:r w:rsidR="00E8395B">
        <w:rPr>
          <w:rFonts w:cs="Arial"/>
        </w:rPr>
        <w:t>,</w:t>
      </w:r>
      <w:r w:rsidR="00043EC4">
        <w:rPr>
          <w:rFonts w:cs="Arial"/>
        </w:rPr>
        <w:t>5</w:t>
      </w:r>
      <w:r w:rsidR="00526113">
        <w:rPr>
          <w:rFonts w:cs="Arial"/>
        </w:rPr>
        <w:t>% (wobec wzrostu</w:t>
      </w:r>
      <w:r w:rsidR="00E8395B">
        <w:rPr>
          <w:rFonts w:cs="Arial"/>
        </w:rPr>
        <w:t xml:space="preserve">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4C5052">
        <w:rPr>
          <w:rFonts w:cs="Arial"/>
        </w:rPr>
        <w:t>5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DA1C69" w:rsidRPr="00F05462" w:rsidRDefault="00B25EE8" w:rsidP="00D97A4D">
      <w:pPr>
        <w:pStyle w:val="tytuwykresu"/>
        <w:rPr>
          <w:lang w:eastAsia="pl-PL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  <w:r w:rsidR="00DA1C69"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61985FC9" wp14:editId="2D9F84A0">
            <wp:simplePos x="0" y="0"/>
            <wp:positionH relativeFrom="margin">
              <wp:posOffset>0</wp:posOffset>
            </wp:positionH>
            <wp:positionV relativeFrom="margin">
              <wp:posOffset>5006340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7D24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</w:t>
                            </w:r>
                            <w:r w:rsidR="00CF48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</w:t>
                            </w:r>
                            <w:r w:rsidR="006854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7D24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7D24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</w:t>
                      </w:r>
                      <w:r w:rsidR="00CF48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</w:t>
                      </w:r>
                      <w:r w:rsidR="006854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7D24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232FC5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17D78">
              <w:rPr>
                <w:rFonts w:cs="Arial"/>
                <w:color w:val="000000"/>
                <w:sz w:val="16"/>
                <w:szCs w:val="16"/>
              </w:rPr>
              <w:t>I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232FC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232FC5">
              <w:rPr>
                <w:rFonts w:cs="Arial"/>
                <w:color w:val="000000"/>
                <w:sz w:val="16"/>
                <w:szCs w:val="16"/>
              </w:rPr>
              <w:t>X</w:t>
            </w:r>
            <w:r w:rsidR="00A17D78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1560C4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570F36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232FC5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A17D78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570F36" w:rsidRDefault="00C613BD" w:rsidP="00232FC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I-</w:t>
            </w:r>
            <w:r w:rsidR="00232FC5" w:rsidRPr="00570F36">
              <w:rPr>
                <w:rFonts w:cs="Arial"/>
                <w:sz w:val="16"/>
                <w:szCs w:val="16"/>
              </w:rPr>
              <w:t>X</w:t>
            </w:r>
            <w:r w:rsidR="00A17D78">
              <w:rPr>
                <w:rFonts w:cs="Arial"/>
                <w:sz w:val="16"/>
                <w:szCs w:val="16"/>
              </w:rPr>
              <w:t>I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965F65" w:rsidRPr="00570F36">
              <w:rPr>
                <w:rFonts w:cs="Arial"/>
                <w:sz w:val="16"/>
                <w:szCs w:val="16"/>
              </w:rPr>
              <w:t>8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105,5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109,5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090D48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33200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9A47C2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090D48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C613BD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0D0992" w:rsidRPr="00DF0FFE" w:rsidTr="00B67E8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D0992" w:rsidRPr="00DF0FFE" w:rsidTr="00B67E8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D0992" w:rsidRPr="00DF0FFE" w:rsidRDefault="005D01B3" w:rsidP="00B67E8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25D01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D0992" w:rsidRPr="00DF0FF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0D099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0D0992" w:rsidRPr="00DF0FFE" w:rsidRDefault="000D0992" w:rsidP="005D01B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5D01B3">
              <w:rPr>
                <w:rFonts w:cs="Arial"/>
                <w:color w:val="000000"/>
                <w:sz w:val="16"/>
                <w:szCs w:val="16"/>
              </w:rPr>
              <w:t>X</w:t>
            </w:r>
            <w:r w:rsidR="00925D01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D0992" w:rsidRPr="002763B0" w:rsidTr="00B67E8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D0992" w:rsidRPr="00DF0FFE" w:rsidRDefault="000D0992" w:rsidP="00B67E8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D0992" w:rsidRPr="00275EF3" w:rsidRDefault="005D01B3" w:rsidP="00B67E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0D0992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D0992">
              <w:rPr>
                <w:rFonts w:cs="Arial"/>
                <w:sz w:val="16"/>
                <w:szCs w:val="16"/>
              </w:rPr>
              <w:t>9</w:t>
            </w:r>
            <w:r w:rsidR="000D0992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D0992" w:rsidRPr="00275EF3" w:rsidRDefault="005D01B3" w:rsidP="00B67E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925D01">
              <w:rPr>
                <w:rFonts w:cs="Arial"/>
                <w:sz w:val="16"/>
                <w:szCs w:val="16"/>
              </w:rPr>
              <w:t>I</w:t>
            </w:r>
            <w:r w:rsidR="000D0992">
              <w:rPr>
                <w:rFonts w:cs="Arial"/>
                <w:sz w:val="16"/>
                <w:szCs w:val="16"/>
              </w:rPr>
              <w:t xml:space="preserve"> </w:t>
            </w:r>
            <w:r w:rsidR="000D0992" w:rsidRPr="00275EF3">
              <w:rPr>
                <w:rFonts w:cs="Arial"/>
                <w:sz w:val="16"/>
                <w:szCs w:val="16"/>
              </w:rPr>
              <w:t>201</w:t>
            </w:r>
            <w:r w:rsidR="000D0992">
              <w:rPr>
                <w:rFonts w:cs="Arial"/>
                <w:sz w:val="16"/>
                <w:szCs w:val="16"/>
              </w:rPr>
              <w:t>8</w:t>
            </w:r>
            <w:r w:rsidR="000D0992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D0992" w:rsidRPr="002763B0" w:rsidRDefault="000D0992" w:rsidP="005D01B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63B0">
              <w:rPr>
                <w:rFonts w:cs="Arial"/>
                <w:sz w:val="16"/>
                <w:szCs w:val="16"/>
              </w:rPr>
              <w:t>I-</w:t>
            </w:r>
            <w:r w:rsidR="005D01B3" w:rsidRPr="002763B0">
              <w:rPr>
                <w:rFonts w:cs="Arial"/>
                <w:sz w:val="16"/>
                <w:szCs w:val="16"/>
              </w:rPr>
              <w:t>X</w:t>
            </w:r>
            <w:r w:rsidR="00925D01">
              <w:rPr>
                <w:rFonts w:cs="Arial"/>
                <w:sz w:val="16"/>
                <w:szCs w:val="16"/>
              </w:rPr>
              <w:t>I</w:t>
            </w:r>
            <w:r w:rsidRPr="002763B0">
              <w:rPr>
                <w:rFonts w:cs="Arial"/>
                <w:sz w:val="16"/>
                <w:szCs w:val="16"/>
              </w:rPr>
              <w:t xml:space="preserve"> 2018=100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</w:tr>
      <w:tr w:rsidR="000D0992" w:rsidRPr="00DF0FF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</w:tr>
      <w:tr w:rsidR="000D0992" w:rsidRPr="00655E2E" w:rsidTr="00B67E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</w:tr>
      <w:tr w:rsidR="000D0992" w:rsidRPr="00DF0FFE" w:rsidTr="00B67E8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</w:tr>
      <w:tr w:rsidR="000D0992" w:rsidRPr="00DF0FFE" w:rsidTr="00B67E8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</w:tr>
      <w:tr w:rsidR="000D0992" w:rsidRPr="00DF0FFE" w:rsidTr="00B67E8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D0992" w:rsidRPr="00DF0FFE" w:rsidRDefault="000D0992" w:rsidP="00B67E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DD1529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9861B6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D0992" w:rsidRPr="00DF0FFE" w:rsidRDefault="003864BC" w:rsidP="00B67E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</w:tr>
    </w:tbl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0D0992" w:rsidRDefault="000D0992" w:rsidP="00C613BD">
      <w:pPr>
        <w:pStyle w:val="tytuwykresu"/>
        <w:rPr>
          <w:rFonts w:cs="Arial"/>
          <w:szCs w:val="18"/>
        </w:rPr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074437">
        <w:rPr>
          <w:shd w:val="clear" w:color="auto" w:fill="FFFFFF"/>
        </w:rPr>
        <w:t>listopadzie</w:t>
      </w:r>
      <w:r w:rsidR="00CA5FF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120787</wp:posOffset>
                </wp:positionH>
                <wp:positionV relativeFrom="paragraph">
                  <wp:posOffset>259385</wp:posOffset>
                </wp:positionV>
                <wp:extent cx="1768475" cy="902826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90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7D168C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7D168C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B2D59">
                              <w:rPr>
                                <w:b w:val="0"/>
                                <w:color w:val="001D77"/>
                              </w:rPr>
                              <w:t>listopadzie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7D168C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70E69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B2D59">
                              <w:rPr>
                                <w:b w:val="0"/>
                                <w:color w:val="001D77"/>
                              </w:rPr>
                              <w:t>2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2B2D59">
                              <w:rPr>
                                <w:b w:val="0"/>
                                <w:color w:val="001D77"/>
                              </w:rPr>
                              <w:t>4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9373EB">
                              <w:rPr>
                                <w:b w:val="0"/>
                                <w:color w:val="001D77"/>
                              </w:rPr>
                              <w:t>październikiem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F2163" w:rsidRPr="007D168C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.5pt;margin-top:20.4pt;width:139.25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gEuA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" filled="f" stroked="f">
                <v:textbox>
                  <w:txbxContent>
                    <w:p w:rsidR="00431F5B" w:rsidRPr="007D168C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7D168C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B2D59">
                        <w:rPr>
                          <w:b w:val="0"/>
                          <w:color w:val="001D77"/>
                        </w:rPr>
                        <w:t>listopadzie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7D168C">
                        <w:rPr>
                          <w:b w:val="0"/>
                          <w:color w:val="001D77"/>
                        </w:rPr>
                        <w:t>9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70E69">
                        <w:rPr>
                          <w:b w:val="0"/>
                          <w:color w:val="001D77"/>
                        </w:rPr>
                        <w:t>wzrost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y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B2D59">
                        <w:rPr>
                          <w:b w:val="0"/>
                          <w:color w:val="001D77"/>
                        </w:rPr>
                        <w:t>2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,</w:t>
                      </w:r>
                      <w:r w:rsidR="002B2D59">
                        <w:rPr>
                          <w:b w:val="0"/>
                          <w:color w:val="001D77"/>
                        </w:rPr>
                        <w:t>4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9373EB">
                        <w:rPr>
                          <w:b w:val="0"/>
                          <w:color w:val="001D77"/>
                        </w:rPr>
                        <w:t>październikiem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F2163" w:rsidRPr="007D168C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655030">
        <w:rPr>
          <w:rFonts w:cs="Arial"/>
          <w:b w:val="0"/>
          <w:sz w:val="19"/>
          <w:szCs w:val="19"/>
        </w:rPr>
        <w:t>listopadzie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2B2D59">
        <w:rPr>
          <w:rFonts w:cs="Arial"/>
          <w:b w:val="0"/>
          <w:sz w:val="19"/>
          <w:szCs w:val="19"/>
        </w:rPr>
        <w:t>2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2B2D59">
        <w:rPr>
          <w:rFonts w:cs="Arial"/>
          <w:b w:val="0"/>
          <w:sz w:val="19"/>
          <w:szCs w:val="19"/>
        </w:rPr>
        <w:t>4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7E3450">
        <w:rPr>
          <w:rFonts w:cs="Arial"/>
          <w:b w:val="0"/>
          <w:sz w:val="19"/>
          <w:szCs w:val="19"/>
        </w:rPr>
        <w:t>wy</w:t>
      </w:r>
      <w:r w:rsidR="0040584E">
        <w:rPr>
          <w:rFonts w:cs="Arial"/>
          <w:b w:val="0"/>
          <w:sz w:val="19"/>
          <w:szCs w:val="19"/>
        </w:rPr>
        <w:t xml:space="preserve">ższa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655030">
        <w:rPr>
          <w:rFonts w:cs="Arial"/>
          <w:b w:val="0"/>
          <w:sz w:val="19"/>
          <w:szCs w:val="19"/>
        </w:rPr>
        <w:t>październikiem</w:t>
      </w:r>
      <w:r w:rsidR="008B558F">
        <w:rPr>
          <w:rFonts w:cs="Arial"/>
          <w:b w:val="0"/>
          <w:sz w:val="19"/>
          <w:szCs w:val="19"/>
        </w:rPr>
        <w:t xml:space="preserve"> </w:t>
      </w:r>
      <w:r w:rsidR="00B47574" w:rsidRPr="004D1992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="005C367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322E4F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2" w:history="1">
              <w:r w:rsidR="00017FFE" w:rsidRPr="008A1029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8A1029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>
              <w:rPr>
                <w:rFonts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75, 22 608 30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3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8A1029" w:rsidRDefault="008A1029" w:rsidP="000470AA">
            <w:pPr>
              <w:rPr>
                <w:rFonts w:asciiTheme="majorHAnsi" w:hAnsiTheme="majorHAnsi"/>
                <w:sz w:val="20"/>
              </w:rPr>
            </w:pPr>
            <w:r w:rsidRPr="001022D1">
              <w:rPr>
                <w:rFonts w:asciiTheme="majorHAnsi" w:hAnsiTheme="majorHAnsi"/>
                <w:sz w:val="20"/>
              </w:rPr>
              <w:t>T</w:t>
            </w:r>
            <w:r w:rsidR="000470AA" w:rsidRPr="001022D1">
              <w:rPr>
                <w:rFonts w:asciiTheme="majorHAnsi" w:hAnsiTheme="majorHAnsi"/>
                <w:sz w:val="20"/>
              </w:rPr>
              <w:t>el:</w:t>
            </w:r>
            <w:r w:rsidR="000470AA" w:rsidRPr="008A1029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22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608 34 91, 22</w:t>
            </w:r>
            <w:r w:rsidR="000470AA" w:rsidRPr="008A1029">
              <w:rPr>
                <w:rFonts w:asciiTheme="majorHAnsi" w:hAnsiTheme="majorHAnsi"/>
                <w:sz w:val="20"/>
              </w:rPr>
              <w:t xml:space="preserve">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</w:t>
            </w:r>
            <w:proofErr w:type="spellEnd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:</w:t>
            </w:r>
            <w:r w:rsidRPr="008A1029">
              <w:rPr>
                <w:rFonts w:asciiTheme="majorHAnsi" w:hAnsiTheme="majorHAnsi"/>
                <w:b/>
                <w:sz w:val="20"/>
                <w:lang w:val="de-AT"/>
              </w:rPr>
              <w:t xml:space="preserve"> </w:t>
            </w:r>
            <w:hyperlink r:id="rId24" w:history="1">
              <w:r w:rsidRPr="008A1029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87575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8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9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p w:rsidR="00431F5B" w:rsidRPr="008A7446" w:rsidRDefault="00E85CB1" w:rsidP="00AB6D25">
                      <w:pPr>
                        <w:rPr>
                          <w:color w:val="001D77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"https://stat.gov.pl/obszary-tematyczne/ceny-handel/handel/rynek-wewnetrzny-w-2018-roku,7,25.html"</w:instrTex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Rynek wewnęt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zny w 2018 r.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bookmarkEnd w:id="1"/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30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B1" w:rsidRDefault="00E85CB1" w:rsidP="000662E2">
      <w:pPr>
        <w:spacing w:after="0" w:line="240" w:lineRule="auto"/>
      </w:pPr>
      <w:r>
        <w:separator/>
      </w:r>
    </w:p>
  </w:endnote>
  <w:endnote w:type="continuationSeparator" w:id="0">
    <w:p w:rsidR="00E85CB1" w:rsidRDefault="00E85C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52" w:rsidRDefault="008757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8757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875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B1" w:rsidRDefault="00E85CB1" w:rsidP="000662E2">
      <w:pPr>
        <w:spacing w:after="0" w:line="240" w:lineRule="auto"/>
      </w:pPr>
      <w:r>
        <w:separator/>
      </w:r>
    </w:p>
  </w:footnote>
  <w:footnote w:type="continuationSeparator" w:id="0">
    <w:p w:rsidR="00E85CB1" w:rsidRDefault="00E85CB1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52" w:rsidRDefault="008757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bookmarkEnd w:id="0"/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76764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4431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7575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76764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4431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7575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3EC4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46CE"/>
    <w:rsid w:val="000662E2"/>
    <w:rsid w:val="00066883"/>
    <w:rsid w:val="00071458"/>
    <w:rsid w:val="00071D8E"/>
    <w:rsid w:val="00074437"/>
    <w:rsid w:val="00074DD8"/>
    <w:rsid w:val="00076FC0"/>
    <w:rsid w:val="00080236"/>
    <w:rsid w:val="000806F7"/>
    <w:rsid w:val="00081C7F"/>
    <w:rsid w:val="000830CE"/>
    <w:rsid w:val="00084858"/>
    <w:rsid w:val="0008544D"/>
    <w:rsid w:val="0008767F"/>
    <w:rsid w:val="00087BD7"/>
    <w:rsid w:val="00090D48"/>
    <w:rsid w:val="00091003"/>
    <w:rsid w:val="00094D9B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D11"/>
    <w:rsid w:val="000B62AD"/>
    <w:rsid w:val="000B6DA7"/>
    <w:rsid w:val="000B7F8D"/>
    <w:rsid w:val="000C135D"/>
    <w:rsid w:val="000C4971"/>
    <w:rsid w:val="000C62BC"/>
    <w:rsid w:val="000D0992"/>
    <w:rsid w:val="000D1241"/>
    <w:rsid w:val="000D1BA5"/>
    <w:rsid w:val="000D1D43"/>
    <w:rsid w:val="000D225C"/>
    <w:rsid w:val="000D2A5C"/>
    <w:rsid w:val="000D2D28"/>
    <w:rsid w:val="000D57B6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04914"/>
    <w:rsid w:val="00110C5D"/>
    <w:rsid w:val="00110D87"/>
    <w:rsid w:val="00111234"/>
    <w:rsid w:val="001119E5"/>
    <w:rsid w:val="00111B78"/>
    <w:rsid w:val="001133DC"/>
    <w:rsid w:val="0011388B"/>
    <w:rsid w:val="00114B71"/>
    <w:rsid w:val="00114DB9"/>
    <w:rsid w:val="00115B92"/>
    <w:rsid w:val="00116087"/>
    <w:rsid w:val="00117217"/>
    <w:rsid w:val="00117888"/>
    <w:rsid w:val="00122507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63B69"/>
    <w:rsid w:val="00170C2A"/>
    <w:rsid w:val="00170EBA"/>
    <w:rsid w:val="00171C7E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4F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175"/>
    <w:rsid w:val="001E65F1"/>
    <w:rsid w:val="001E6704"/>
    <w:rsid w:val="001F0052"/>
    <w:rsid w:val="001F0979"/>
    <w:rsid w:val="001F1346"/>
    <w:rsid w:val="001F1577"/>
    <w:rsid w:val="001F29DE"/>
    <w:rsid w:val="001F30FC"/>
    <w:rsid w:val="001F43F9"/>
    <w:rsid w:val="001F4BBA"/>
    <w:rsid w:val="001F59B5"/>
    <w:rsid w:val="001F67FE"/>
    <w:rsid w:val="00200FD1"/>
    <w:rsid w:val="00204C78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6700"/>
    <w:rsid w:val="002409A5"/>
    <w:rsid w:val="0024110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74F7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6115"/>
    <w:rsid w:val="002B0472"/>
    <w:rsid w:val="002B15FC"/>
    <w:rsid w:val="002B2088"/>
    <w:rsid w:val="002B2D59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F1EB0"/>
    <w:rsid w:val="002F247B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316F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21DD"/>
    <w:rsid w:val="00322483"/>
    <w:rsid w:val="00322E4F"/>
    <w:rsid w:val="00322EDD"/>
    <w:rsid w:val="00322F20"/>
    <w:rsid w:val="00323F78"/>
    <w:rsid w:val="00324508"/>
    <w:rsid w:val="00330A52"/>
    <w:rsid w:val="00332004"/>
    <w:rsid w:val="00332320"/>
    <w:rsid w:val="00332ABA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CA9"/>
    <w:rsid w:val="00381472"/>
    <w:rsid w:val="00381D15"/>
    <w:rsid w:val="0038221F"/>
    <w:rsid w:val="0038389B"/>
    <w:rsid w:val="003843DB"/>
    <w:rsid w:val="00384426"/>
    <w:rsid w:val="003862F3"/>
    <w:rsid w:val="003864BC"/>
    <w:rsid w:val="00387315"/>
    <w:rsid w:val="00390102"/>
    <w:rsid w:val="003908FE"/>
    <w:rsid w:val="00390E0A"/>
    <w:rsid w:val="003935DC"/>
    <w:rsid w:val="00393761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07F5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3A5D"/>
    <w:rsid w:val="0043449C"/>
    <w:rsid w:val="00434ADD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B46"/>
    <w:rsid w:val="00453D83"/>
    <w:rsid w:val="004571AA"/>
    <w:rsid w:val="004601C6"/>
    <w:rsid w:val="004612F3"/>
    <w:rsid w:val="00463E39"/>
    <w:rsid w:val="00464756"/>
    <w:rsid w:val="004657FC"/>
    <w:rsid w:val="00466251"/>
    <w:rsid w:val="00467E72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5595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5263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0E69"/>
    <w:rsid w:val="00570F36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677"/>
    <w:rsid w:val="005C3F44"/>
    <w:rsid w:val="005C453A"/>
    <w:rsid w:val="005C5F08"/>
    <w:rsid w:val="005C6163"/>
    <w:rsid w:val="005D01B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B98"/>
    <w:rsid w:val="00601C27"/>
    <w:rsid w:val="006044FF"/>
    <w:rsid w:val="006049CE"/>
    <w:rsid w:val="0060587D"/>
    <w:rsid w:val="00607CC5"/>
    <w:rsid w:val="0061347F"/>
    <w:rsid w:val="00613E1A"/>
    <w:rsid w:val="0061606F"/>
    <w:rsid w:val="0062179D"/>
    <w:rsid w:val="00623E39"/>
    <w:rsid w:val="006251D0"/>
    <w:rsid w:val="0062724C"/>
    <w:rsid w:val="00630E43"/>
    <w:rsid w:val="00632060"/>
    <w:rsid w:val="00633014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BAB"/>
    <w:rsid w:val="006673CA"/>
    <w:rsid w:val="00672B85"/>
    <w:rsid w:val="0067353E"/>
    <w:rsid w:val="00673C26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3FEE"/>
    <w:rsid w:val="00694AF0"/>
    <w:rsid w:val="00695A26"/>
    <w:rsid w:val="00696084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4EF"/>
    <w:rsid w:val="006C7D16"/>
    <w:rsid w:val="006D4054"/>
    <w:rsid w:val="006D6CA3"/>
    <w:rsid w:val="006D7CD8"/>
    <w:rsid w:val="006E01A8"/>
    <w:rsid w:val="006E02EC"/>
    <w:rsid w:val="006E07BC"/>
    <w:rsid w:val="006E1574"/>
    <w:rsid w:val="006E15B9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F0A13"/>
    <w:rsid w:val="006F2725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AE9"/>
    <w:rsid w:val="00744BD4"/>
    <w:rsid w:val="00746187"/>
    <w:rsid w:val="00747151"/>
    <w:rsid w:val="0075382D"/>
    <w:rsid w:val="0075448D"/>
    <w:rsid w:val="00756F35"/>
    <w:rsid w:val="00757391"/>
    <w:rsid w:val="0076254F"/>
    <w:rsid w:val="007654BB"/>
    <w:rsid w:val="00765FD3"/>
    <w:rsid w:val="007675AC"/>
    <w:rsid w:val="00767905"/>
    <w:rsid w:val="00767D0E"/>
    <w:rsid w:val="007744FB"/>
    <w:rsid w:val="00776428"/>
    <w:rsid w:val="00776B8E"/>
    <w:rsid w:val="00777720"/>
    <w:rsid w:val="007801F5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10DE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3CA5"/>
    <w:rsid w:val="008046D8"/>
    <w:rsid w:val="0080553C"/>
    <w:rsid w:val="0080593C"/>
    <w:rsid w:val="00805B46"/>
    <w:rsid w:val="00806C5A"/>
    <w:rsid w:val="00810CCE"/>
    <w:rsid w:val="0081139F"/>
    <w:rsid w:val="008115C6"/>
    <w:rsid w:val="00813A58"/>
    <w:rsid w:val="00813C08"/>
    <w:rsid w:val="0081554D"/>
    <w:rsid w:val="00816524"/>
    <w:rsid w:val="00816697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8258A"/>
    <w:rsid w:val="0088323B"/>
    <w:rsid w:val="00884D6E"/>
    <w:rsid w:val="0088559B"/>
    <w:rsid w:val="00885A7C"/>
    <w:rsid w:val="00886332"/>
    <w:rsid w:val="008864F3"/>
    <w:rsid w:val="008872DA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AD1"/>
    <w:rsid w:val="008C5482"/>
    <w:rsid w:val="008C5B37"/>
    <w:rsid w:val="008C6674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1AEF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EC1"/>
    <w:rsid w:val="009373EB"/>
    <w:rsid w:val="00942C04"/>
    <w:rsid w:val="00950B93"/>
    <w:rsid w:val="00951BF9"/>
    <w:rsid w:val="009530DB"/>
    <w:rsid w:val="00953676"/>
    <w:rsid w:val="0095396F"/>
    <w:rsid w:val="00953A4E"/>
    <w:rsid w:val="00954E87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9A1"/>
    <w:rsid w:val="009A195F"/>
    <w:rsid w:val="009A47C2"/>
    <w:rsid w:val="009A5992"/>
    <w:rsid w:val="009A6EA0"/>
    <w:rsid w:val="009B18E4"/>
    <w:rsid w:val="009B247E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251"/>
    <w:rsid w:val="009D0375"/>
    <w:rsid w:val="009D2387"/>
    <w:rsid w:val="009D4AF0"/>
    <w:rsid w:val="009D5D6A"/>
    <w:rsid w:val="009E0996"/>
    <w:rsid w:val="009E10BE"/>
    <w:rsid w:val="009E2BC5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17D78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0931"/>
    <w:rsid w:val="00A41D1B"/>
    <w:rsid w:val="00A43DCF"/>
    <w:rsid w:val="00A44314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686A"/>
    <w:rsid w:val="00A8696A"/>
    <w:rsid w:val="00A86C9B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10D"/>
    <w:rsid w:val="00A97F4D"/>
    <w:rsid w:val="00AA0FCA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2ED3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4B7"/>
    <w:rsid w:val="00B12909"/>
    <w:rsid w:val="00B14952"/>
    <w:rsid w:val="00B153F2"/>
    <w:rsid w:val="00B15824"/>
    <w:rsid w:val="00B20CA9"/>
    <w:rsid w:val="00B21463"/>
    <w:rsid w:val="00B2180C"/>
    <w:rsid w:val="00B21E3C"/>
    <w:rsid w:val="00B23564"/>
    <w:rsid w:val="00B25386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4E57"/>
    <w:rsid w:val="00B76271"/>
    <w:rsid w:val="00B773CF"/>
    <w:rsid w:val="00B80E29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98D"/>
    <w:rsid w:val="00BF0126"/>
    <w:rsid w:val="00BF2284"/>
    <w:rsid w:val="00BF3283"/>
    <w:rsid w:val="00BF3DEC"/>
    <w:rsid w:val="00BF4885"/>
    <w:rsid w:val="00BF4EF4"/>
    <w:rsid w:val="00C030DE"/>
    <w:rsid w:val="00C05E71"/>
    <w:rsid w:val="00C07C9E"/>
    <w:rsid w:val="00C10171"/>
    <w:rsid w:val="00C12173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3613"/>
    <w:rsid w:val="00C454F9"/>
    <w:rsid w:val="00C4563B"/>
    <w:rsid w:val="00C45C70"/>
    <w:rsid w:val="00C45F62"/>
    <w:rsid w:val="00C4683A"/>
    <w:rsid w:val="00C47568"/>
    <w:rsid w:val="00C514FC"/>
    <w:rsid w:val="00C5209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1D45"/>
    <w:rsid w:val="00C9245F"/>
    <w:rsid w:val="00C924A8"/>
    <w:rsid w:val="00C92E90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5FF4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374F"/>
    <w:rsid w:val="00DE5118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97C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64C5"/>
    <w:rsid w:val="00E664D8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34C"/>
    <w:rsid w:val="00EC3AAA"/>
    <w:rsid w:val="00EC3EA3"/>
    <w:rsid w:val="00EC4CDC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3F97"/>
    <w:rsid w:val="00F95812"/>
    <w:rsid w:val="00F962C5"/>
    <w:rsid w:val="00F9694D"/>
    <w:rsid w:val="00F969AE"/>
    <w:rsid w:val="00F97850"/>
    <w:rsid w:val="00FA22BB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ceny-handel/handel/rynek-wewnetrzny-w-2018-roku,7,25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j.biernat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bdm.stat.gov.pl/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Arkusz1!$B$65:$C$111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Arkusz1!$D$65:$D$111</c:f>
              <c:numCache>
                <c:formatCode>General</c:formatCode>
                <c:ptCount val="47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  <c:pt idx="46">
                  <c:v>105.2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145474528"/>
        <c:axId val="2145468544"/>
      </c:barChart>
      <c:catAx>
        <c:axId val="2145474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14546854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145468544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4547452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99507569293782E-2"/>
          <c:y val="4.0874648192249396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105,1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767801857585141E-3"/>
                  <c:y val="1.7320107123435725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030862241291042E-2"/>
                      <c:h val="5.888720502273219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4767801857584685E-3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7226103702981403E-2"/>
                      <c:h val="4.5897380385364797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"/>
                  <c:y val="8.660053561717862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15479876160992E-2"/>
                      <c:h val="5.888720502273218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4767801857585141E-3"/>
                  <c:y val="-8.6598830915783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8.65988309157826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0814224384142609E-17"/>
                  <c:y val="4.32994154578909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rodz_dział_miesiąc!$BN$4:$BN$12</c:f>
              <c:numCache>
                <c:formatCode>0.0</c:formatCode>
                <c:ptCount val="9"/>
                <c:pt idx="0">
                  <c:v>105.1</c:v>
                </c:pt>
                <c:pt idx="1">
                  <c:v>103</c:v>
                </c:pt>
                <c:pt idx="2">
                  <c:v>99.9</c:v>
                </c:pt>
                <c:pt idx="3">
                  <c:v>113.6</c:v>
                </c:pt>
                <c:pt idx="4">
                  <c:v>107.9</c:v>
                </c:pt>
                <c:pt idx="5">
                  <c:v>104.8</c:v>
                </c:pt>
                <c:pt idx="6">
                  <c:v>111.9</c:v>
                </c:pt>
                <c:pt idx="7">
                  <c:v>107.6</c:v>
                </c:pt>
                <c:pt idx="8">
                  <c:v>99.6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45475616"/>
        <c:axId val="2145472352"/>
      </c:barChart>
      <c:catAx>
        <c:axId val="21454756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4547235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145472352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4547561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6924066924066924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0"/>
                  <c:y val="5.14800514800514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aseline="0">
                      <a:solidFill>
                        <a:srgbClr val="001D77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980661956117516E-2"/>
                      <c:h val="7.722007722007721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>
                    <a:solidFill>
                      <a:srgbClr val="001D77"/>
                    </a:solidFill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  <c:pt idx="94">
                  <c:v>130.30000000000001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2.2313127556712532E-2"/>
                  <c:y val="-4.6332046332046357E-2"/>
                </c:manualLayout>
              </c:layout>
              <c:tx>
                <c:rich>
                  <a:bodyPr/>
                  <a:lstStyle/>
                  <a:p>
                    <a:fld id="{14138AA7-093D-4347-A12F-A9BF3E722050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  <c:pt idx="94">
                  <c:v>131.19999999999999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45476160"/>
        <c:axId val="2145471808"/>
      </c:lineChart>
      <c:catAx>
        <c:axId val="2145476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45471808"/>
        <c:crosses val="autoZero"/>
        <c:auto val="1"/>
        <c:lblAlgn val="ctr"/>
        <c:lblOffset val="100"/>
        <c:tickMarkSkip val="12"/>
        <c:noMultiLvlLbl val="0"/>
      </c:catAx>
      <c:valAx>
        <c:axId val="214547180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4547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0.24032</cdr:x>
      <cdr:y>0.18673</cdr:y>
    </cdr:from>
    <cdr:to>
      <cdr:x>0.38631</cdr:x>
      <cdr:y>0.28415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32287" y="547687"/>
          <a:ext cx="748582" cy="2857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105,2</a:t>
          </a:r>
        </a:p>
      </cdr:txBody>
    </cdr:sp>
  </cdr:relSizeAnchor>
  <cdr:relSizeAnchor xmlns:cdr="http://schemas.openxmlformats.org/drawingml/2006/chartDrawing">
    <cdr:from>
      <cdr:x>0.26107</cdr:x>
      <cdr:y>0.26998</cdr:y>
    </cdr:from>
    <cdr:to>
      <cdr:x>0.30425</cdr:x>
      <cdr:y>0.35813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38657" y="791866"/>
          <a:ext cx="221411" cy="2585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0.06254</cdr:x>
      <cdr:y>0.36452</cdr:y>
    </cdr:from>
    <cdr:to>
      <cdr:x>0.9952</cdr:x>
      <cdr:y>0.36848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0694" y="1069170"/>
          <a:ext cx="4782331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54E4C65-7BF3-402D-9E3D-4BC7F7EA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2019-12-18T10:23:00Z</cp:lastPrinted>
  <dcterms:created xsi:type="dcterms:W3CDTF">2019-12-18T09:06:00Z</dcterms:created>
  <dcterms:modified xsi:type="dcterms:W3CDTF">2019-12-18T10:27:00Z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