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65C0D578" w:rsidR="00C11430" w:rsidRPr="00C11430" w:rsidRDefault="00C11430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4E6362">
        <w:rPr>
          <w:shd w:val="clear" w:color="auto" w:fill="FFFFFF"/>
        </w:rPr>
        <w:t xml:space="preserve">w </w:t>
      </w:r>
      <w:r w:rsidR="00666826" w:rsidRPr="004E6362">
        <w:rPr>
          <w:shd w:val="clear" w:color="auto" w:fill="FFFFFF"/>
        </w:rPr>
        <w:t>marcu</w:t>
      </w:r>
      <w:r w:rsidRPr="004E6362">
        <w:rPr>
          <w:shd w:val="clear" w:color="auto" w:fill="FFFFFF"/>
        </w:rPr>
        <w:t xml:space="preserve"> 201</w:t>
      </w:r>
      <w:r w:rsidR="001A5254" w:rsidRPr="004E6362">
        <w:rPr>
          <w:shd w:val="clear" w:color="auto" w:fill="FFFFFF"/>
        </w:rPr>
        <w:t>9</w:t>
      </w:r>
      <w:r w:rsidRPr="004E6362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3118FCA5" w:rsidR="005916D7" w:rsidRPr="00BA3F73" w:rsidRDefault="002B5719" w:rsidP="00D350AE">
      <w:pPr>
        <w:pStyle w:val="tytuinformacji"/>
        <w:rPr>
          <w:color w:val="auto"/>
        </w:rPr>
      </w:pPr>
      <w:r w:rsidRPr="00BA3F73">
        <w:rPr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131B51C0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B34D3" w:rsidRPr="00F439F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</w:t>
                            </w:r>
                            <w:r w:rsidR="00F439F8" w:rsidRPr="00F439F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0348F6" w:rsidRPr="00F439F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31B3EB93" w:rsidR="00933EC1" w:rsidRPr="00EB6683" w:rsidRDefault="008B2FBE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 poprzednim miesią</w:t>
                            </w:r>
                            <w:r w:rsidR="00954DB9">
                              <w:t>cem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131B51C0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B34D3" w:rsidRPr="00F439F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</w:t>
                      </w:r>
                      <w:r w:rsidR="00F439F8" w:rsidRPr="00F439F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0348F6" w:rsidRPr="00F439F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31B3EB93" w:rsidR="00933EC1" w:rsidRPr="00EB6683" w:rsidRDefault="008B2FBE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 w </w:t>
                      </w:r>
                      <w:r w:rsidR="002B5719">
                        <w:t xml:space="preserve"> budownictwie </w:t>
                      </w:r>
                      <w:r w:rsidR="006F1680">
                        <w:t>w porównaniu z poprzednim miesią</w:t>
                      </w:r>
                      <w:r w:rsidR="00954DB9">
                        <w:t>cem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BA3F73">
        <w:rPr>
          <w:rFonts w:eastAsia="Times New Roman" w:cs="Times New Roman"/>
          <w:bCs/>
          <w:color w:val="auto"/>
          <w:sz w:val="19"/>
          <w:szCs w:val="19"/>
        </w:rPr>
        <w:t xml:space="preserve">Według </w:t>
      </w:r>
      <w:r w:rsidR="00954DB9" w:rsidRPr="00BA3F73">
        <w:rPr>
          <w:rFonts w:eastAsia="Times New Roman" w:cs="Times New Roman"/>
          <w:bCs/>
          <w:color w:val="auto"/>
          <w:sz w:val="19"/>
          <w:szCs w:val="19"/>
        </w:rPr>
        <w:t xml:space="preserve">wstępnych danych w </w:t>
      </w:r>
      <w:r w:rsidR="004B55B6" w:rsidRPr="00BA3F73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F86FF8" w:rsidRPr="00BA3F73">
        <w:rPr>
          <w:rFonts w:eastAsia="Times New Roman" w:cs="Times New Roman"/>
          <w:bCs/>
          <w:color w:val="auto"/>
          <w:sz w:val="19"/>
          <w:szCs w:val="19"/>
        </w:rPr>
        <w:t>marcu</w:t>
      </w:r>
      <w:r w:rsidR="00954DB9" w:rsidRPr="00BA3F73">
        <w:rPr>
          <w:rFonts w:eastAsia="Times New Roman" w:cs="Times New Roman"/>
          <w:bCs/>
          <w:color w:val="auto"/>
          <w:sz w:val="19"/>
          <w:szCs w:val="19"/>
        </w:rPr>
        <w:t xml:space="preserve"> 201</w:t>
      </w:r>
      <w:r w:rsidR="008B2FBE" w:rsidRPr="00BA3F73">
        <w:rPr>
          <w:rFonts w:eastAsia="Times New Roman" w:cs="Times New Roman"/>
          <w:bCs/>
          <w:color w:val="auto"/>
          <w:sz w:val="19"/>
          <w:szCs w:val="19"/>
        </w:rPr>
        <w:t>9</w:t>
      </w:r>
      <w:r w:rsidR="00CC44C5" w:rsidRPr="00BA3F73">
        <w:rPr>
          <w:rFonts w:eastAsia="Times New Roman" w:cs="Times New Roman"/>
          <w:bCs/>
          <w:color w:val="auto"/>
          <w:sz w:val="19"/>
          <w:szCs w:val="19"/>
        </w:rPr>
        <w:t xml:space="preserve"> r.</w:t>
      </w:r>
      <w:r w:rsidRPr="00BA3F73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CC44C5" w:rsidRPr="00BA3F73">
        <w:rPr>
          <w:rFonts w:eastAsia="Times New Roman" w:cs="Times New Roman"/>
          <w:bCs/>
          <w:color w:val="auto"/>
          <w:sz w:val="19"/>
          <w:szCs w:val="19"/>
        </w:rPr>
        <w:t xml:space="preserve">ceny produkcji </w:t>
      </w:r>
      <w:r w:rsidRPr="00BA3F73">
        <w:rPr>
          <w:rFonts w:eastAsia="Times New Roman" w:cs="Times New Roman"/>
          <w:bCs/>
          <w:color w:val="auto"/>
          <w:sz w:val="19"/>
          <w:szCs w:val="19"/>
        </w:rPr>
        <w:t xml:space="preserve"> budowlano-montażowej</w:t>
      </w:r>
      <w:r w:rsidR="00CC44C5" w:rsidRPr="00BA3F73">
        <w:rPr>
          <w:rFonts w:eastAsia="Times New Roman" w:cs="Times New Roman"/>
          <w:bCs/>
          <w:color w:val="auto"/>
          <w:sz w:val="19"/>
          <w:szCs w:val="19"/>
        </w:rPr>
        <w:t xml:space="preserve"> były </w:t>
      </w:r>
      <w:r w:rsidR="002B34D3" w:rsidRPr="00BA3F73">
        <w:rPr>
          <w:rFonts w:eastAsia="Times New Roman" w:cs="Times New Roman"/>
          <w:bCs/>
          <w:color w:val="auto"/>
          <w:sz w:val="19"/>
          <w:szCs w:val="19"/>
        </w:rPr>
        <w:t>wyższe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 xml:space="preserve"> o 0,</w:t>
      </w:r>
      <w:r w:rsidR="00F10B10" w:rsidRPr="00BA3F73">
        <w:rPr>
          <w:rFonts w:eastAsia="Times New Roman" w:cs="Times New Roman"/>
          <w:bCs/>
          <w:color w:val="auto"/>
          <w:sz w:val="19"/>
          <w:szCs w:val="19"/>
        </w:rPr>
        <w:t>3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>%</w:t>
      </w:r>
      <w:r w:rsidR="004B55B6" w:rsidRPr="00BA3F73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CC44C5" w:rsidRPr="00BA3F73">
        <w:rPr>
          <w:rFonts w:eastAsia="Times New Roman" w:cs="Times New Roman"/>
          <w:bCs/>
          <w:color w:val="auto"/>
          <w:sz w:val="19"/>
          <w:szCs w:val="19"/>
        </w:rPr>
        <w:t>w porównaniu z</w:t>
      </w:r>
      <w:r w:rsidR="004B55B6" w:rsidRPr="00BA3F73">
        <w:rPr>
          <w:rFonts w:eastAsia="Times New Roman" w:cs="Times New Roman"/>
          <w:bCs/>
          <w:color w:val="auto"/>
          <w:sz w:val="19"/>
          <w:szCs w:val="19"/>
        </w:rPr>
        <w:t xml:space="preserve"> ubiegłym miesiącem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 xml:space="preserve">  </w:t>
      </w:r>
      <w:r w:rsidR="00BF5F94" w:rsidRPr="00BA3F73">
        <w:rPr>
          <w:rFonts w:eastAsia="Times New Roman" w:cs="Times New Roman"/>
          <w:bCs/>
          <w:color w:val="auto"/>
          <w:sz w:val="19"/>
          <w:szCs w:val="19"/>
        </w:rPr>
        <w:t>i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 xml:space="preserve"> o 3,</w:t>
      </w:r>
      <w:r w:rsidR="00FD0AAC" w:rsidRPr="00BA3F73">
        <w:rPr>
          <w:rFonts w:eastAsia="Times New Roman" w:cs="Times New Roman"/>
          <w:bCs/>
          <w:color w:val="auto"/>
          <w:sz w:val="19"/>
          <w:szCs w:val="19"/>
        </w:rPr>
        <w:t>7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>%</w:t>
      </w:r>
      <w:r w:rsidR="008A1520" w:rsidRPr="00BA3F73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 xml:space="preserve"> w  porównaniu z</w:t>
      </w:r>
      <w:r w:rsidR="004B55B6" w:rsidRPr="00BA3F73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F86FF8" w:rsidRPr="00BA3F73">
        <w:rPr>
          <w:rFonts w:eastAsia="Times New Roman" w:cs="Times New Roman"/>
          <w:bCs/>
          <w:color w:val="auto"/>
          <w:sz w:val="19"/>
          <w:szCs w:val="19"/>
        </w:rPr>
        <w:t>marcem</w:t>
      </w:r>
      <w:r w:rsidR="004B55B6" w:rsidRPr="00BA3F73">
        <w:rPr>
          <w:rFonts w:eastAsia="Times New Roman" w:cs="Times New Roman"/>
          <w:bCs/>
          <w:color w:val="auto"/>
          <w:sz w:val="19"/>
          <w:szCs w:val="19"/>
        </w:rPr>
        <w:t xml:space="preserve"> </w:t>
      </w:r>
      <w:r w:rsidR="00620C47" w:rsidRPr="00BA3F73">
        <w:rPr>
          <w:rFonts w:eastAsia="Times New Roman" w:cs="Times New Roman"/>
          <w:bCs/>
          <w:color w:val="auto"/>
          <w:sz w:val="19"/>
          <w:szCs w:val="19"/>
        </w:rPr>
        <w:t xml:space="preserve"> 2018 r.</w:t>
      </w:r>
      <w:r w:rsidR="00620C47" w:rsidRPr="00BA3F73">
        <w:rPr>
          <w:rFonts w:eastAsia="Times New Roman" w:cs="Times New Roman"/>
          <w:bCs/>
          <w:color w:val="auto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2EEE8E05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 budowy budynków</w:t>
      </w:r>
      <w:r w:rsidR="00627847">
        <w:rPr>
          <w:shd w:val="clear" w:color="auto" w:fill="FFFFFF"/>
        </w:rPr>
        <w:t xml:space="preserve"> </w:t>
      </w:r>
      <w:r w:rsidR="00627847" w:rsidRPr="00DF3177">
        <w:rPr>
          <w:shd w:val="clear" w:color="auto" w:fill="FFFFFF"/>
        </w:rPr>
        <w:t>o 0,</w:t>
      </w:r>
      <w:r w:rsidR="00DF3177" w:rsidRPr="00DF3177">
        <w:rPr>
          <w:shd w:val="clear" w:color="auto" w:fill="FFFFFF"/>
        </w:rPr>
        <w:t>3</w:t>
      </w:r>
      <w:r w:rsidR="00627847" w:rsidRPr="00DF3177">
        <w:rPr>
          <w:shd w:val="clear" w:color="auto" w:fill="FFFFFF"/>
        </w:rPr>
        <w:t>%</w:t>
      </w:r>
      <w:r w:rsidR="00761645">
        <w:rPr>
          <w:shd w:val="clear" w:color="auto" w:fill="FFFFFF"/>
        </w:rPr>
        <w:t>. Ceny</w:t>
      </w:r>
      <w:r w:rsidR="00627847">
        <w:rPr>
          <w:shd w:val="clear" w:color="auto" w:fill="FFFFFF"/>
        </w:rPr>
        <w:t xml:space="preserve"> </w:t>
      </w:r>
      <w:r w:rsidR="00627847" w:rsidRPr="009B7A1C">
        <w:rPr>
          <w:shd w:val="clear" w:color="auto" w:fill="FFFFFF"/>
        </w:rPr>
        <w:t>budowy obiektów inżynierii lądowej i</w:t>
      </w:r>
      <w:r w:rsidR="00627847">
        <w:rPr>
          <w:shd w:val="clear" w:color="auto" w:fill="FFFFFF"/>
        </w:rPr>
        <w:t> </w:t>
      </w:r>
      <w:r w:rsidR="00627847" w:rsidRPr="00250625">
        <w:rPr>
          <w:shd w:val="clear" w:color="auto" w:fill="FFFFFF"/>
        </w:rPr>
        <w:t xml:space="preserve">wodnej </w:t>
      </w:r>
      <w:r w:rsidR="00761645">
        <w:rPr>
          <w:shd w:val="clear" w:color="auto" w:fill="FFFFFF"/>
        </w:rPr>
        <w:t xml:space="preserve"> oraz robót </w:t>
      </w:r>
      <w:r w:rsidR="00761645" w:rsidRPr="009B7A1C">
        <w:rPr>
          <w:shd w:val="clear" w:color="auto" w:fill="FFFFFF"/>
        </w:rPr>
        <w:t>budowlanych specjalistycznych</w:t>
      </w:r>
      <w:r w:rsidR="00761645">
        <w:rPr>
          <w:shd w:val="clear" w:color="auto" w:fill="FFFFFF"/>
        </w:rPr>
        <w:t xml:space="preserve"> zwiększyły się </w:t>
      </w:r>
      <w:r w:rsidR="00761645" w:rsidRPr="00353039">
        <w:rPr>
          <w:shd w:val="clear" w:color="auto" w:fill="FFFFFF"/>
        </w:rPr>
        <w:t>po</w:t>
      </w:r>
      <w:r w:rsidRPr="00353039">
        <w:rPr>
          <w:shd w:val="clear" w:color="auto" w:fill="FFFFFF"/>
        </w:rPr>
        <w:t xml:space="preserve"> 0,</w:t>
      </w:r>
      <w:r w:rsidR="00353039" w:rsidRPr="00353039">
        <w:rPr>
          <w:shd w:val="clear" w:color="auto" w:fill="FFFFFF"/>
        </w:rPr>
        <w:t>2</w:t>
      </w:r>
      <w:r w:rsidRPr="00353039">
        <w:rPr>
          <w:shd w:val="clear" w:color="auto" w:fill="FFFFFF"/>
        </w:rPr>
        <w:t>%.</w:t>
      </w:r>
      <w:r>
        <w:rPr>
          <w:shd w:val="clear" w:color="auto" w:fill="FFFFFF"/>
        </w:rPr>
        <w:t xml:space="preserve"> </w:t>
      </w:r>
    </w:p>
    <w:p w14:paraId="5C4C4BCD" w14:textId="21357330" w:rsidR="00705796" w:rsidRDefault="00620C47" w:rsidP="001973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5D76D9">
        <w:rPr>
          <w:shd w:val="clear" w:color="auto" w:fill="FFFFFF"/>
        </w:rPr>
        <w:t xml:space="preserve">porównaniu </w:t>
      </w:r>
      <w:r w:rsidR="00535396" w:rsidRPr="00C51DAA">
        <w:rPr>
          <w:shd w:val="clear" w:color="auto" w:fill="FFFFFF"/>
        </w:rPr>
        <w:t xml:space="preserve">z </w:t>
      </w:r>
      <w:r w:rsidR="00F86FF8" w:rsidRPr="00C51DAA">
        <w:rPr>
          <w:shd w:val="clear" w:color="auto" w:fill="FFFFFF"/>
        </w:rPr>
        <w:t>marcem</w:t>
      </w:r>
      <w:r w:rsidR="00535396" w:rsidRPr="00C51DAA">
        <w:rPr>
          <w:shd w:val="clear" w:color="auto" w:fill="FFFFFF"/>
        </w:rPr>
        <w:t xml:space="preserve"> 2018</w:t>
      </w:r>
      <w:r w:rsidR="008A1520" w:rsidRPr="005D76D9">
        <w:rPr>
          <w:shd w:val="clear" w:color="auto" w:fill="FFFFFF"/>
        </w:rPr>
        <w:t xml:space="preserve"> </w:t>
      </w:r>
      <w:r w:rsidR="00535396" w:rsidRPr="005D76D9">
        <w:rPr>
          <w:shd w:val="clear" w:color="auto" w:fill="FFFFFF"/>
        </w:rPr>
        <w:t>r.</w:t>
      </w:r>
      <w:r w:rsidR="00C424B8" w:rsidRPr="005D76D9">
        <w:rPr>
          <w:shd w:val="clear" w:color="auto" w:fill="FFFFFF"/>
        </w:rPr>
        <w:t xml:space="preserve"> </w:t>
      </w:r>
      <w:r w:rsidRPr="005D76D9">
        <w:rPr>
          <w:shd w:val="clear" w:color="auto" w:fill="FFFFFF"/>
        </w:rPr>
        <w:t>p</w:t>
      </w:r>
      <w:r w:rsidR="00705796" w:rsidRPr="005D76D9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C51DAA">
        <w:rPr>
          <w:shd w:val="clear" w:color="auto" w:fill="FFFFFF"/>
        </w:rPr>
        <w:t>budynków (o 4,3%),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wodnej </w:t>
      </w:r>
      <w:r w:rsidR="00705796" w:rsidRPr="00454766">
        <w:rPr>
          <w:shd w:val="clear" w:color="auto" w:fill="FFFFFF"/>
        </w:rPr>
        <w:t>(o 3,</w:t>
      </w:r>
      <w:r w:rsidR="00454766" w:rsidRPr="00454766">
        <w:rPr>
          <w:shd w:val="clear" w:color="auto" w:fill="FFFFFF"/>
        </w:rPr>
        <w:t>5</w:t>
      </w:r>
      <w:r w:rsidR="00705796" w:rsidRPr="00454766">
        <w:rPr>
          <w:shd w:val="clear" w:color="auto" w:fill="FFFFFF"/>
        </w:rPr>
        <w:t>%)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B34B6E">
        <w:rPr>
          <w:shd w:val="clear" w:color="auto" w:fill="FFFFFF"/>
        </w:rPr>
        <w:t xml:space="preserve">specjalistycznych </w:t>
      </w:r>
      <w:r w:rsidRPr="00B34B6E">
        <w:rPr>
          <w:shd w:val="clear" w:color="auto" w:fill="FFFFFF"/>
        </w:rPr>
        <w:t xml:space="preserve"> </w:t>
      </w:r>
      <w:r w:rsidR="00705796" w:rsidRPr="00B34B6E">
        <w:rPr>
          <w:shd w:val="clear" w:color="auto" w:fill="FFFFFF"/>
        </w:rPr>
        <w:t xml:space="preserve">(o </w:t>
      </w:r>
      <w:r w:rsidR="00B34B6E" w:rsidRPr="00B34B6E">
        <w:rPr>
          <w:shd w:val="clear" w:color="auto" w:fill="FFFFFF"/>
        </w:rPr>
        <w:t>3</w:t>
      </w:r>
      <w:r w:rsidR="00705796" w:rsidRPr="00B34B6E">
        <w:rPr>
          <w:shd w:val="clear" w:color="auto" w:fill="FFFFFF"/>
        </w:rPr>
        <w:t>,</w:t>
      </w:r>
      <w:r w:rsidR="00B34B6E" w:rsidRPr="00B34B6E">
        <w:rPr>
          <w:shd w:val="clear" w:color="auto" w:fill="FFFFFF"/>
        </w:rPr>
        <w:t>1</w:t>
      </w:r>
      <w:r w:rsidR="00705796" w:rsidRPr="00B34B6E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38B087D9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6E15DE">
        <w:rPr>
          <w:b/>
          <w:shd w:val="clear" w:color="auto" w:fill="FFFFFF"/>
        </w:rPr>
        <w:t xml:space="preserve">montażowej  w </w:t>
      </w:r>
      <w:r w:rsidR="00666826" w:rsidRPr="006E15DE">
        <w:rPr>
          <w:b/>
          <w:shd w:val="clear" w:color="auto" w:fill="FFFFFF"/>
        </w:rPr>
        <w:t xml:space="preserve">marcu </w:t>
      </w:r>
      <w:r w:rsidRPr="006E15DE">
        <w:rPr>
          <w:b/>
          <w:shd w:val="clear" w:color="auto" w:fill="FFFFFF"/>
        </w:rPr>
        <w:t>2019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07685" w14:paraId="28418B20" w14:textId="77777777" w:rsidTr="00407685">
        <w:tc>
          <w:tcPr>
            <w:tcW w:w="2194" w:type="dxa"/>
          </w:tcPr>
          <w:p w14:paraId="698542A5" w14:textId="77777777" w:rsidR="00407685" w:rsidRDefault="00407685" w:rsidP="0040768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85AA95B" w14:textId="67586805" w:rsidR="00407685" w:rsidRPr="006E15DE" w:rsidRDefault="00407685" w:rsidP="00666826">
            <w:pPr>
              <w:jc w:val="center"/>
              <w:rPr>
                <w:shd w:val="clear" w:color="auto" w:fill="FFFFFF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I</w:t>
            </w:r>
            <w:r w:rsidR="00666826" w:rsidRPr="006E15DE">
              <w:rPr>
                <w:color w:val="000000" w:themeColor="text1"/>
                <w:sz w:val="16"/>
                <w:szCs w:val="16"/>
              </w:rPr>
              <w:t>I</w:t>
            </w:r>
            <w:r w:rsidRPr="006E15D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091FD3BD" w14:textId="4FF8A572" w:rsidR="00407685" w:rsidRPr="006E15DE" w:rsidRDefault="00407685" w:rsidP="002B776D">
            <w:pPr>
              <w:jc w:val="center"/>
              <w:rPr>
                <w:shd w:val="clear" w:color="auto" w:fill="FFFFFF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II</w:t>
            </w:r>
            <w:r w:rsidR="002B776D" w:rsidRPr="006E15DE">
              <w:rPr>
                <w:color w:val="000000" w:themeColor="text1"/>
                <w:sz w:val="16"/>
                <w:szCs w:val="16"/>
              </w:rPr>
              <w:t>I</w:t>
            </w:r>
            <w:r w:rsidRPr="006E15D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250ABEAC" w14:textId="5FDF33BD" w:rsidR="00407685" w:rsidRPr="006E15DE" w:rsidRDefault="00407685" w:rsidP="004157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I-II</w:t>
            </w:r>
            <w:r w:rsidR="002B776D" w:rsidRPr="006E15DE">
              <w:rPr>
                <w:color w:val="000000" w:themeColor="text1"/>
                <w:sz w:val="16"/>
                <w:szCs w:val="16"/>
              </w:rPr>
              <w:t>I</w:t>
            </w:r>
            <w:r w:rsidRPr="006E15D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407685" w14:paraId="7C2DEADD" w14:textId="77777777" w:rsidTr="00407685">
        <w:tc>
          <w:tcPr>
            <w:tcW w:w="2194" w:type="dxa"/>
            <w:tcBorders>
              <w:bottom w:val="single" w:sz="12" w:space="0" w:color="001D77"/>
            </w:tcBorders>
          </w:tcPr>
          <w:p w14:paraId="75831EC4" w14:textId="77777777" w:rsidR="00407685" w:rsidRDefault="00407685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24044BB" w14:textId="57E896CA" w:rsidR="00407685" w:rsidRPr="006E15DE" w:rsidRDefault="00666826" w:rsidP="002B776D">
            <w:pPr>
              <w:rPr>
                <w:spacing w:val="-12"/>
                <w:shd w:val="clear" w:color="auto" w:fill="FFFFFF"/>
              </w:rPr>
            </w:pPr>
            <w:r w:rsidRPr="006E15D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2B776D" w:rsidRPr="006E15D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69999C5" w14:textId="06C4891F" w:rsidR="00407685" w:rsidRPr="006E15DE" w:rsidRDefault="00407685" w:rsidP="0041575A">
            <w:pPr>
              <w:jc w:val="center"/>
              <w:rPr>
                <w:shd w:val="clear" w:color="auto" w:fill="FFFFFF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analogiczny okres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8</w:t>
            </w:r>
            <w:r w:rsidRPr="006E15D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DACDA42" w14:textId="10EFF037" w:rsidR="00407685" w:rsidRPr="006E15DE" w:rsidRDefault="002B776D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E15D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>I 201</w:t>
            </w:r>
            <w:r w:rsidR="0041575A" w:rsidRPr="006E15D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B3DD897" w14:textId="6DAF888B" w:rsidR="00407685" w:rsidRPr="006E15DE" w:rsidRDefault="00407685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E15DE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41575A" w:rsidRPr="006E15DE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6E15D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EAADEAF" w14:textId="17AE8608" w:rsidR="002B776D" w:rsidRPr="006E15DE" w:rsidRDefault="00407685" w:rsidP="002B77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I-II</w:t>
            </w:r>
            <w:r w:rsidR="002B776D" w:rsidRPr="006E15DE">
              <w:rPr>
                <w:color w:val="000000" w:themeColor="text1"/>
                <w:sz w:val="16"/>
                <w:szCs w:val="16"/>
              </w:rPr>
              <w:t>I</w:t>
            </w:r>
            <w:r w:rsidRPr="006E15D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8</w:t>
            </w:r>
            <w:r w:rsidR="002B776D" w:rsidRPr="006E15D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685" w14:paraId="5BEE1FA3" w14:textId="77777777" w:rsidTr="00407685">
        <w:tc>
          <w:tcPr>
            <w:tcW w:w="2194" w:type="dxa"/>
          </w:tcPr>
          <w:p w14:paraId="3552BA42" w14:textId="77777777" w:rsidR="00407685" w:rsidRDefault="00407685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41C04DDE" w14:textId="2A3D6790" w:rsidR="00407685" w:rsidRPr="00BD58DB" w:rsidRDefault="00407685" w:rsidP="006E15D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58D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6E15DE" w:rsidRPr="00BD58D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97819F7" w14:textId="317871FF" w:rsidR="00407685" w:rsidRPr="00BD58DB" w:rsidRDefault="00407685" w:rsidP="00BD58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58DB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BD58DB" w:rsidRPr="00BD58DB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="005542FA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88C3D0" w14:textId="400C00C3" w:rsidR="00407685" w:rsidRPr="00F86FF8" w:rsidRDefault="00407685" w:rsidP="00BD58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15FA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33AA0" w:rsidRPr="00B15FA9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B15FA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D58DB" w:rsidRPr="00B15FA9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CCCED6A" w14:textId="58C0EDEF" w:rsidR="00407685" w:rsidRPr="00F86FF8" w:rsidRDefault="00407685" w:rsidP="00645ED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45ED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947BF" w:rsidRPr="00645ED4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645ED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45ED4" w:rsidRPr="00645ED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CBCAFBB" w14:textId="28E766E3" w:rsidR="00407685" w:rsidRPr="00F86FF8" w:rsidRDefault="00407685" w:rsidP="00645ED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45ED4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645ED4" w:rsidRPr="00645ED4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DAE89EC" w14:textId="70BE8717" w:rsidR="00407685" w:rsidRPr="00F86FF8" w:rsidRDefault="00407685" w:rsidP="001454E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454E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F01AE" w:rsidRPr="001454E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1454E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454E4" w:rsidRPr="001454E4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407685" w14:paraId="7CD16B2D" w14:textId="77777777" w:rsidTr="00407685">
        <w:tc>
          <w:tcPr>
            <w:tcW w:w="2194" w:type="dxa"/>
          </w:tcPr>
          <w:p w14:paraId="5940A8A0" w14:textId="77777777" w:rsidR="00407685" w:rsidRDefault="00407685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>Budowa 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2091D7FF" w14:textId="68460C5F" w:rsidR="00407685" w:rsidRPr="00F86FF8" w:rsidRDefault="00407685" w:rsidP="00A773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A0F2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77359" w:rsidRPr="003A0F2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6180B42" w14:textId="63632355" w:rsidR="00407685" w:rsidRPr="00F86FF8" w:rsidRDefault="00407685" w:rsidP="002709F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620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709F6" w:rsidRPr="00ED620B">
              <w:rPr>
                <w:rFonts w:cs="Arial"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953" w:type="dxa"/>
            <w:vAlign w:val="center"/>
          </w:tcPr>
          <w:p w14:paraId="3374B09A" w14:textId="52892FEC" w:rsidR="00407685" w:rsidRPr="00F86FF8" w:rsidRDefault="00407685" w:rsidP="0095058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620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0587" w:rsidRPr="00ED620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ED620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50587" w:rsidRPr="00ED620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EA7E4AE" w14:textId="76A666A7" w:rsidR="00407685" w:rsidRPr="00F86FF8" w:rsidRDefault="00407685" w:rsidP="00ED620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620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3CE5" w:rsidRPr="00ED620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D620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D620B" w:rsidRPr="00ED620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9FCADCC" w14:textId="230C97AD" w:rsidR="00407685" w:rsidRPr="00F86FF8" w:rsidRDefault="00407685" w:rsidP="00632F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32F4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32F43" w:rsidRPr="00632F4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DA422A1" w14:textId="1F6F1BC1" w:rsidR="00407685" w:rsidRPr="00F86FF8" w:rsidRDefault="00152DBA" w:rsidP="00152D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32F43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407685" w:rsidRPr="00632F4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32F4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07685" w14:paraId="0BCE35C0" w14:textId="77777777" w:rsidTr="008D3407">
        <w:tc>
          <w:tcPr>
            <w:tcW w:w="2194" w:type="dxa"/>
          </w:tcPr>
          <w:p w14:paraId="0909A4BF" w14:textId="3FF3D0F8" w:rsidR="00407685" w:rsidRDefault="00407685" w:rsidP="0041575A">
            <w:pPr>
              <w:rPr>
                <w:shd w:val="clear" w:color="auto" w:fill="FFFFFF"/>
              </w:rPr>
            </w:pPr>
            <w:r w:rsidRPr="00BA3F73">
              <w:rPr>
                <w:color w:val="000000" w:themeColor="text1"/>
                <w:sz w:val="16"/>
                <w:szCs w:val="16"/>
              </w:rPr>
              <w:t>Budowa</w:t>
            </w:r>
            <w:r w:rsidR="00B65525" w:rsidRPr="00BA3F73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BA3F73">
              <w:rPr>
                <w:color w:val="000000" w:themeColor="text1"/>
                <w:sz w:val="16"/>
                <w:szCs w:val="16"/>
              </w:rPr>
              <w:t xml:space="preserve"> inżynier</w:t>
            </w:r>
            <w:r w:rsidR="0041575A" w:rsidRPr="00BA3F73">
              <w:rPr>
                <w:color w:val="000000" w:themeColor="text1"/>
                <w:sz w:val="16"/>
                <w:szCs w:val="16"/>
              </w:rPr>
              <w:t>i</w:t>
            </w:r>
            <w:r w:rsidRPr="00BA3F73">
              <w:rPr>
                <w:color w:val="000000" w:themeColor="text1"/>
                <w:sz w:val="16"/>
                <w:szCs w:val="16"/>
              </w:rPr>
              <w:t>i</w:t>
            </w:r>
            <w:r w:rsidR="0041575A" w:rsidRPr="00BA3F7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A3F73">
              <w:rPr>
                <w:color w:val="000000" w:themeColor="text1"/>
                <w:sz w:val="16"/>
                <w:szCs w:val="16"/>
              </w:rPr>
              <w:t xml:space="preserve"> lądowej i 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201EF8E" w14:textId="065BD148" w:rsidR="00407685" w:rsidRPr="00F86FF8" w:rsidRDefault="00407685" w:rsidP="00AC7A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2288C" w:rsidRPr="00AC7A9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4FEEF5" w14:textId="06E9AF3A" w:rsidR="00407685" w:rsidRPr="00F86FF8" w:rsidRDefault="00407685" w:rsidP="00AC7A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AC7A99" w:rsidRPr="00AC7A9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8EF4B6" w14:textId="21B4BB52" w:rsidR="00407685" w:rsidRPr="00F86FF8" w:rsidRDefault="00407685" w:rsidP="00AC7A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876A2" w:rsidRPr="00AC7A9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C7A99" w:rsidRPr="00AC7A9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F4EBD71" w14:textId="151E8250" w:rsidR="00407685" w:rsidRPr="00F86FF8" w:rsidRDefault="00407685" w:rsidP="00AC7A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F0EB7" w:rsidRPr="00AC7A9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C7A99" w:rsidRPr="00AC7A9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C64AED" w14:textId="3A0CF4EE" w:rsidR="00407685" w:rsidRPr="00F86FF8" w:rsidRDefault="00407685" w:rsidP="00AC7A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C7A99" w:rsidRPr="00AC7A9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354CC1" w14:textId="77ED2F7F" w:rsidR="00407685" w:rsidRPr="00F86FF8" w:rsidRDefault="00407685" w:rsidP="008D340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3407" w:rsidRPr="00AC7A9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C7A9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3407" w:rsidRPr="00AC7A9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07685" w14:paraId="2C4DED67" w14:textId="77777777" w:rsidTr="00407685">
        <w:tc>
          <w:tcPr>
            <w:tcW w:w="2194" w:type="dxa"/>
          </w:tcPr>
          <w:p w14:paraId="00F0AB9E" w14:textId="77777777" w:rsidR="00407685" w:rsidRPr="00D97063" w:rsidRDefault="00407685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2BF48DF6" w14:textId="53A28340" w:rsidR="00407685" w:rsidRPr="00F86FF8" w:rsidRDefault="00407685" w:rsidP="00220D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20DB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1D63FD" w:rsidRPr="00220DB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462E4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F6EDBC" w14:textId="6BFE0A0A" w:rsidR="00407685" w:rsidRPr="00F86FF8" w:rsidRDefault="00407685" w:rsidP="00CD5A2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5A2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D5A25" w:rsidRPr="00CD5A25">
              <w:rPr>
                <w:rFonts w:cs="Arial"/>
                <w:color w:val="000000" w:themeColor="text1"/>
                <w:sz w:val="16"/>
                <w:szCs w:val="16"/>
              </w:rPr>
              <w:t>3,0</w:t>
            </w:r>
            <w:r w:rsidR="00DD036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F0B22B3" w14:textId="3958787E" w:rsidR="00407685" w:rsidRPr="00F86FF8" w:rsidRDefault="00407685" w:rsidP="00CF4A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F4AA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F4AA5" w:rsidRPr="00CF4AA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F4AA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F4AA5" w:rsidRPr="00CF4AA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93EDD49" w14:textId="51416589" w:rsidR="00407685" w:rsidRPr="00F86FF8" w:rsidRDefault="00407685" w:rsidP="00043A1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3A1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021BD" w:rsidRPr="00043A1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43A1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43A10" w:rsidRPr="00043A1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BBBEC19" w14:textId="69BBC5BF" w:rsidR="00407685" w:rsidRPr="00F86FF8" w:rsidRDefault="00407685" w:rsidP="00EF57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F573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F5731" w:rsidRPr="00EF573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35D45DD" w14:textId="3081BBB2" w:rsidR="00407685" w:rsidRPr="00F86FF8" w:rsidRDefault="008E5058" w:rsidP="00EB06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B06B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B06B4" w:rsidRPr="00EB06B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07685" w:rsidRPr="00EB06B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B06B4" w:rsidRPr="00EB06B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4FE2C03A" w14:textId="0C75DC05" w:rsidR="00407685" w:rsidRPr="00D11337" w:rsidRDefault="00407685" w:rsidP="00101CE3">
      <w:pPr>
        <w:rPr>
          <w:b/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852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DC168" w14:textId="77F8FC31" w:rsidR="000740BA" w:rsidRPr="006F302E" w:rsidRDefault="000740BA" w:rsidP="00407685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4FC3944D" w14:textId="3F8D8C50" w:rsidR="007E45BB" w:rsidRDefault="00491A75" w:rsidP="00920414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97504" behindDoc="0" locked="0" layoutInCell="1" allowOverlap="1" wp14:anchorId="26D472B4" wp14:editId="2261F95E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5122545" cy="2452370"/>
            <wp:effectExtent l="0" t="0" r="1905" b="508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6825EA22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C</w:t>
      </w:r>
      <w:r w:rsidR="00920414" w:rsidRPr="00CD555D">
        <w:rPr>
          <w:bCs/>
          <w:shd w:val="clear" w:color="auto" w:fill="FFFFFF"/>
        </w:rPr>
        <w:t>eny</w:t>
      </w:r>
      <w:r w:rsidR="00920414">
        <w:rPr>
          <w:bCs/>
          <w:shd w:val="clear" w:color="auto" w:fill="FFFFFF"/>
        </w:rPr>
        <w:t xml:space="preserve"> produkcji  budowlano-montażowej</w:t>
      </w:r>
      <w:r w:rsidR="0046113A">
        <w:rPr>
          <w:bCs/>
          <w:shd w:val="clear" w:color="auto" w:fill="FFFFFF"/>
        </w:rPr>
        <w:t xml:space="preserve"> w latach 2017-2019</w:t>
      </w:r>
      <w:r w:rsidR="00920414">
        <w:rPr>
          <w:bCs/>
          <w:shd w:val="clear" w:color="auto" w:fill="FFFFFF"/>
        </w:rPr>
        <w:t xml:space="preserve">  </w:t>
      </w:r>
      <w:r w:rsidR="00920414" w:rsidRPr="00CD555D">
        <w:rPr>
          <w:bCs/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(zmiana w % do okresu poprzedniego)</w:t>
      </w:r>
    </w:p>
    <w:p w14:paraId="11941589" w14:textId="4B79C3C5" w:rsidR="00491A75" w:rsidRDefault="00491A75" w:rsidP="00920414">
      <w:pPr>
        <w:pStyle w:val="tytuwykresu"/>
        <w:rPr>
          <w:shd w:val="clear" w:color="auto" w:fill="FFFFFF"/>
        </w:rPr>
      </w:pPr>
    </w:p>
    <w:p w14:paraId="626EC37C" w14:textId="0465CFAB" w:rsidR="00A304E0" w:rsidRDefault="00A304E0" w:rsidP="00920414">
      <w:pPr>
        <w:pStyle w:val="tytuwykresu"/>
        <w:rPr>
          <w:shd w:val="clear" w:color="auto" w:fill="FFFFFF"/>
        </w:rPr>
      </w:pPr>
    </w:p>
    <w:p w14:paraId="0641D1DB" w14:textId="3DF3EA02" w:rsidR="00BB1E63" w:rsidRDefault="00BB1E63" w:rsidP="00920414">
      <w:pPr>
        <w:pStyle w:val="tytuwykresu"/>
        <w:rPr>
          <w:shd w:val="clear" w:color="auto" w:fill="FFFFFF"/>
        </w:rPr>
      </w:pPr>
    </w:p>
    <w:p w14:paraId="41F53DBF" w14:textId="4385F11B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5558CD01" w:rsidR="00AC7FD1" w:rsidRDefault="00AC7FD1" w:rsidP="00E76D26">
      <w:pPr>
        <w:rPr>
          <w:b/>
          <w:spacing w:val="-2"/>
          <w:sz w:val="18"/>
        </w:rPr>
      </w:pPr>
    </w:p>
    <w:p w14:paraId="3E647B40" w14:textId="6F4737E9" w:rsidR="000F1C91" w:rsidRDefault="00F03D6E" w:rsidP="00920414">
      <w:pPr>
        <w:pStyle w:val="tytuwykresu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053DEA0F" wp14:editId="5A9D6EE9">
            <wp:simplePos x="0" y="0"/>
            <wp:positionH relativeFrom="column">
              <wp:posOffset>-66675</wp:posOffset>
            </wp:positionH>
            <wp:positionV relativeFrom="paragraph">
              <wp:posOffset>339725</wp:posOffset>
            </wp:positionV>
            <wp:extent cx="5122545" cy="2818765"/>
            <wp:effectExtent l="0" t="0" r="1905" b="63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C</w:t>
      </w:r>
      <w:r w:rsidR="00920414" w:rsidRPr="00CD555D">
        <w:rPr>
          <w:bCs/>
          <w:shd w:val="clear" w:color="auto" w:fill="FFFFFF"/>
        </w:rPr>
        <w:t>eny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w latach 2017-2019</w:t>
      </w:r>
      <w:r w:rsidR="00920414">
        <w:rPr>
          <w:bCs/>
          <w:shd w:val="clear" w:color="auto" w:fill="FFFFFF"/>
        </w:rPr>
        <w:t xml:space="preserve"> </w:t>
      </w:r>
      <w:r w:rsidR="00920414" w:rsidRPr="00CD555D">
        <w:rPr>
          <w:bCs/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(zmiana w % 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poprzedniego)</w:t>
      </w:r>
    </w:p>
    <w:p w14:paraId="77E1C97C" w14:textId="1A349BBC" w:rsidR="001430B0" w:rsidRDefault="001430B0" w:rsidP="00920414">
      <w:pPr>
        <w:pStyle w:val="tytuwykresu"/>
        <w:jc w:val="both"/>
        <w:rPr>
          <w:shd w:val="clear" w:color="auto" w:fill="FFFFFF"/>
        </w:rPr>
      </w:pPr>
    </w:p>
    <w:p w14:paraId="0467A6AD" w14:textId="757DD320" w:rsidR="00920414" w:rsidRDefault="00920414" w:rsidP="00920414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  <w:r w:rsidRPr="00CD555D">
        <w:rPr>
          <w:b w:val="0"/>
          <w:noProof/>
          <w:shd w:val="clear" w:color="auto" w:fill="FFFFFF"/>
          <w:lang w:eastAsia="pl-PL"/>
        </w:rPr>
        <w:t xml:space="preserve"> </w:t>
      </w:r>
    </w:p>
    <w:p w14:paraId="0CDA9EF7" w14:textId="30CD4555" w:rsidR="000923D4" w:rsidRDefault="000923D4" w:rsidP="00920414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3DBBC964" w14:textId="6936B436" w:rsidR="009E5D8D" w:rsidRDefault="009E5D8D" w:rsidP="00920414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771FAC4" w14:textId="670F06D9" w:rsidR="00920414" w:rsidRDefault="0092041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3C1EA824" w14:textId="77777777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7F254770" w14:textId="77777777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54329623" w14:textId="77777777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33B69FB2" w14:textId="77777777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0019477C" w14:textId="77777777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4D80F06" w14:textId="1B81BEFB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3940A984" w14:textId="75E6A193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00B3F710" w14:textId="663F53E1" w:rsidR="000923D4" w:rsidRPr="00CD555D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2971D30" w14:textId="024A8A42" w:rsidR="00D46AF7" w:rsidRDefault="00233A37" w:rsidP="00D46AF7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 wp14:anchorId="4E2E28B3" wp14:editId="61021055">
            <wp:simplePos x="0" y="0"/>
            <wp:positionH relativeFrom="column">
              <wp:posOffset>-95250</wp:posOffset>
            </wp:positionH>
            <wp:positionV relativeFrom="paragraph">
              <wp:posOffset>285750</wp:posOffset>
            </wp:positionV>
            <wp:extent cx="5122545" cy="26885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46AF7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D46AF7">
        <w:rPr>
          <w:b/>
          <w:bCs/>
          <w:spacing w:val="-2"/>
          <w:sz w:val="18"/>
          <w:shd w:val="clear" w:color="auto" w:fill="FFFFFF"/>
        </w:rPr>
        <w:t>3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. </w:t>
      </w:r>
      <w:r w:rsidR="00D46AF7">
        <w:rPr>
          <w:b/>
          <w:spacing w:val="-2"/>
          <w:sz w:val="18"/>
          <w:shd w:val="clear" w:color="auto" w:fill="FFFFFF"/>
        </w:rPr>
        <w:t>C</w:t>
      </w:r>
      <w:r w:rsidR="00D46AF7" w:rsidRPr="00667717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y 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produkcji budowlano-montażowej w latach 201</w:t>
      </w:r>
      <w:r w:rsidR="00BA6AA2">
        <w:rPr>
          <w:b/>
          <w:spacing w:val="-2"/>
          <w:sz w:val="18"/>
          <w:shd w:val="clear" w:color="auto" w:fill="FFFFFF"/>
        </w:rPr>
        <w:t>7</w:t>
      </w:r>
      <w:r w:rsidR="00D46AF7" w:rsidRPr="00667717">
        <w:rPr>
          <w:b/>
          <w:spacing w:val="-2"/>
          <w:sz w:val="18"/>
          <w:shd w:val="clear" w:color="auto" w:fill="FFFFFF"/>
        </w:rPr>
        <w:t>-201</w:t>
      </w:r>
      <w:r w:rsidR="00D46AF7">
        <w:rPr>
          <w:b/>
          <w:spacing w:val="-2"/>
          <w:sz w:val="18"/>
          <w:shd w:val="clear" w:color="auto" w:fill="FFFFFF"/>
        </w:rPr>
        <w:t>9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(</w:t>
      </w:r>
      <w:r w:rsidR="003845E7">
        <w:rPr>
          <w:b/>
          <w:spacing w:val="-2"/>
          <w:sz w:val="18"/>
          <w:shd w:val="clear" w:color="auto" w:fill="FFFFFF"/>
        </w:rPr>
        <w:t xml:space="preserve">zmiana w % do </w:t>
      </w:r>
      <w:r w:rsidR="00D46AF7" w:rsidRPr="00667717">
        <w:rPr>
          <w:b/>
          <w:spacing w:val="-2"/>
          <w:sz w:val="18"/>
          <w:shd w:val="clear" w:color="auto" w:fill="FFFFFF"/>
        </w:rPr>
        <w:t>XII</w:t>
      </w:r>
      <w:r w:rsidR="00D46AF7">
        <w:rPr>
          <w:b/>
          <w:spacing w:val="-2"/>
          <w:sz w:val="18"/>
          <w:shd w:val="clear" w:color="auto" w:fill="FFFFFF"/>
        </w:rPr>
        <w:t xml:space="preserve"> 2017</w:t>
      </w:r>
      <w:r w:rsidR="00D46AF7" w:rsidRPr="00667717">
        <w:rPr>
          <w:b/>
          <w:spacing w:val="-2"/>
          <w:sz w:val="18"/>
          <w:shd w:val="clear" w:color="auto" w:fill="FFFFFF"/>
        </w:rPr>
        <w:t>)</w:t>
      </w:r>
    </w:p>
    <w:p w14:paraId="549B6149" w14:textId="64E70900" w:rsidR="00030EF4" w:rsidRDefault="00030EF4" w:rsidP="00D46AF7">
      <w:pPr>
        <w:rPr>
          <w:b/>
          <w:spacing w:val="-2"/>
          <w:sz w:val="18"/>
          <w:shd w:val="clear" w:color="auto" w:fill="FFFFFF"/>
        </w:rPr>
      </w:pPr>
    </w:p>
    <w:p w14:paraId="12B82DB2" w14:textId="125664B5" w:rsidR="00A733D4" w:rsidRDefault="00A733D4" w:rsidP="00D46AF7">
      <w:pPr>
        <w:rPr>
          <w:b/>
          <w:spacing w:val="-2"/>
          <w:sz w:val="18"/>
          <w:shd w:val="clear" w:color="auto" w:fill="FFFFFF"/>
        </w:rPr>
      </w:pPr>
    </w:p>
    <w:p w14:paraId="7DF91C86" w14:textId="4D326F5F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51A9561C" w:rsidR="00D46AF7" w:rsidRDefault="00D46AF7" w:rsidP="00D46AF7">
      <w:pPr>
        <w:rPr>
          <w:sz w:val="18"/>
        </w:rPr>
      </w:pPr>
    </w:p>
    <w:p w14:paraId="4D447135" w14:textId="3A3C7DAF" w:rsidR="00A12369" w:rsidRDefault="00D46AF7" w:rsidP="00D46AF7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>Wykres 4</w:t>
      </w:r>
      <w:r w:rsidRPr="008D009F">
        <w:rPr>
          <w:b/>
          <w:spacing w:val="-2"/>
          <w:sz w:val="18"/>
          <w:shd w:val="clear" w:color="auto" w:fill="FFFFFF"/>
        </w:rPr>
        <w:t>.</w:t>
      </w:r>
      <w:r>
        <w:rPr>
          <w:b/>
          <w:spacing w:val="-2"/>
          <w:sz w:val="18"/>
          <w:shd w:val="clear" w:color="auto" w:fill="FFFFFF"/>
        </w:rPr>
        <w:t xml:space="preserve"> C</w:t>
      </w:r>
      <w:r w:rsidRPr="008D009F">
        <w:rPr>
          <w:b/>
          <w:spacing w:val="-2"/>
          <w:sz w:val="18"/>
          <w:shd w:val="clear" w:color="auto" w:fill="FFFFFF"/>
        </w:rPr>
        <w:t>en</w:t>
      </w:r>
      <w:r>
        <w:rPr>
          <w:b/>
          <w:spacing w:val="-2"/>
          <w:sz w:val="18"/>
          <w:shd w:val="clear" w:color="auto" w:fill="FFFFFF"/>
        </w:rPr>
        <w:t xml:space="preserve">y </w:t>
      </w:r>
      <w:r w:rsidRPr="008D009F">
        <w:rPr>
          <w:b/>
          <w:spacing w:val="-2"/>
          <w:sz w:val="18"/>
          <w:shd w:val="clear" w:color="auto" w:fill="FFFFFF"/>
        </w:rPr>
        <w:t xml:space="preserve"> produkcji </w:t>
      </w:r>
      <w:r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="00420999">
        <w:rPr>
          <w:b/>
          <w:spacing w:val="-2"/>
          <w:sz w:val="18"/>
          <w:shd w:val="clear" w:color="auto" w:fill="FFFFFF"/>
        </w:rPr>
        <w:t xml:space="preserve"> PKD</w:t>
      </w:r>
      <w:r w:rsidRPr="008D009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w latach  201</w:t>
      </w:r>
      <w:r w:rsidR="00BA6AA2">
        <w:rPr>
          <w:b/>
          <w:spacing w:val="-2"/>
          <w:sz w:val="18"/>
          <w:shd w:val="clear" w:color="auto" w:fill="FFFFFF"/>
        </w:rPr>
        <w:t>7</w:t>
      </w:r>
      <w:r>
        <w:rPr>
          <w:b/>
          <w:spacing w:val="-2"/>
          <w:sz w:val="18"/>
          <w:shd w:val="clear" w:color="auto" w:fill="FFFFFF"/>
        </w:rPr>
        <w:t xml:space="preserve">-2019 </w:t>
      </w:r>
    </w:p>
    <w:p w14:paraId="15E6AA6B" w14:textId="3DAE6DBA" w:rsidR="00D46AF7" w:rsidRDefault="00C04BC7" w:rsidP="00A12369">
      <w:pPr>
        <w:ind w:firstLine="708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6603D3A1" wp14:editId="0EC2FC47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5122545" cy="294322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A12369">
        <w:rPr>
          <w:b/>
          <w:spacing w:val="-2"/>
          <w:sz w:val="18"/>
          <w:shd w:val="clear" w:color="auto" w:fill="FFFFFF"/>
        </w:rPr>
        <w:t xml:space="preserve">   </w:t>
      </w:r>
      <w:r w:rsidR="00D46AF7" w:rsidRPr="008C083F">
        <w:rPr>
          <w:b/>
          <w:spacing w:val="-2"/>
          <w:sz w:val="18"/>
          <w:shd w:val="clear" w:color="auto" w:fill="FFFFFF"/>
        </w:rPr>
        <w:t xml:space="preserve"> </w:t>
      </w:r>
      <w:r w:rsidR="00D46AF7">
        <w:rPr>
          <w:b/>
          <w:spacing w:val="-2"/>
          <w:sz w:val="18"/>
          <w:shd w:val="clear" w:color="auto" w:fill="FFFFFF"/>
        </w:rPr>
        <w:t>(</w:t>
      </w:r>
      <w:r w:rsidR="00AC0BE4">
        <w:rPr>
          <w:b/>
          <w:spacing w:val="-2"/>
          <w:sz w:val="18"/>
          <w:shd w:val="clear" w:color="auto" w:fill="FFFFFF"/>
        </w:rPr>
        <w:t xml:space="preserve">zmiana w % do </w:t>
      </w:r>
      <w:r w:rsidR="00D46AF7">
        <w:rPr>
          <w:b/>
          <w:spacing w:val="-2"/>
          <w:sz w:val="18"/>
          <w:shd w:val="clear" w:color="auto" w:fill="FFFFFF"/>
        </w:rPr>
        <w:t>XII 2017 roku)</w:t>
      </w:r>
    </w:p>
    <w:p w14:paraId="2F7BB59B" w14:textId="09392FBB" w:rsidR="00233A37" w:rsidRDefault="00233A37" w:rsidP="00A12369">
      <w:pPr>
        <w:ind w:firstLine="708"/>
        <w:rPr>
          <w:b/>
          <w:spacing w:val="-2"/>
          <w:sz w:val="18"/>
          <w:shd w:val="clear" w:color="auto" w:fill="FFFFFF"/>
        </w:rPr>
      </w:pPr>
    </w:p>
    <w:p w14:paraId="65EAC85C" w14:textId="77777777" w:rsidR="00233A37" w:rsidRDefault="00233A37" w:rsidP="00A12369">
      <w:pPr>
        <w:ind w:firstLine="708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6E75B1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02D278F5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08CA62D0" w14:textId="77777777" w:rsidR="00A46416" w:rsidRPr="007E35D8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BA3F73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1401E17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BA3F7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12BBF502" w:rsidR="00A46416" w:rsidRPr="006E75B1" w:rsidRDefault="006E75B1" w:rsidP="006D0159">
            <w:pPr>
              <w:rPr>
                <w:sz w:val="20"/>
              </w:rPr>
            </w:pPr>
            <w:r>
              <w:rPr>
                <w:sz w:val="20"/>
              </w:rPr>
              <w:t>Te</w:t>
            </w:r>
            <w:r w:rsidRPr="006E75B1">
              <w:rPr>
                <w:sz w:val="20"/>
              </w:rPr>
              <w:t>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BA3F73">
              <w:rPr>
                <w:sz w:val="20"/>
              </w:rPr>
              <w:t>22 608 3491, 22 608 38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6E75B1" w:rsidRDefault="003D38C8" w:rsidP="006D0159">
            <w:pPr>
              <w:rPr>
                <w:sz w:val="20"/>
              </w:rPr>
            </w:pPr>
            <w:r w:rsidRPr="006E75B1">
              <w:rPr>
                <w:b/>
                <w:sz w:val="20"/>
              </w:rPr>
              <w:t>e-mail:</w:t>
            </w:r>
            <w:r w:rsidRPr="006E75B1">
              <w:rPr>
                <w:sz w:val="20"/>
              </w:rPr>
              <w:t xml:space="preserve"> </w:t>
            </w:r>
            <w:hyperlink r:id="rId22" w:history="1">
              <w:r w:rsidRPr="006E75B1">
                <w:rPr>
                  <w:rStyle w:val="Hipercze"/>
                  <w:rFonts w:cstheme="minorBidi"/>
                  <w:b/>
                  <w:color w:val="auto"/>
                  <w:sz w:val="20"/>
                </w:rPr>
                <w:t>obslugaprasowa@stat.gov.pl</w:t>
              </w:r>
            </w:hyperlink>
          </w:p>
          <w:p w14:paraId="685D25D0" w14:textId="04EF110F" w:rsidR="00A46416" w:rsidRPr="006E75B1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6E75B1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2B6EACA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BA3F73" w:rsidRDefault="00342909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A46416" w:rsidRPr="00BA3F7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BA3F73" w:rsidRDefault="00342909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7" w:history="1">
                              <w:r w:rsidR="00A46416" w:rsidRPr="00BA3F7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BA3F73" w:rsidRDefault="0034290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BA3F7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BA3F73" w:rsidRDefault="0034290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BA3F7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BA3F73" w:rsidRDefault="0034290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BA3F7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BA3F73" w:rsidRDefault="0034290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BA3F7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3A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M84s&#10;GOrRHWrJgnzwAQfJFlGjofcVhd73FBzG9zhSfKrX97coHjyzuO7AbuWVczh0EhriOI8vs5OnE46P&#10;IJvhMzaUC3YBE9DYOhMFJEkYoVOvHp/7I8fABF2eleWyLMklyFcUxdt8WaYcUB2f986HjxINi4ea&#10;OxqABA/7Wx8iHaiOITGbR62aG6V1MuLQybV2bA80LpvtVKLeGeI63S3LPE9DQzhpRmN4Qn2BpC0b&#10;ar4sF+Uk0l+yTLxeIBgVaC+0MjU/p5RTUqiish9sQw+gCqD0dCYy2h6kjupOOodxM6bOFscObrB5&#10;JO0dTmtAa0uHDt1PzgZagZr7HztwkjP9yVL/lvOiiDuTjKJ8tyDDnXo2px6wgqBqHjibjuuQ9ixS&#10;tXhFfW5V6kAciInJgTKNdpLwsIZxd07tFPXrZ7F6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NC23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BA3F73" w:rsidRDefault="009F590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A46416" w:rsidRPr="00BA3F7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BA3F73" w:rsidRDefault="009F590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3" w:history="1">
                        <w:r w:rsidR="00A46416" w:rsidRPr="00BA3F7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BA3F73" w:rsidRDefault="009F590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BA3F7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BA3F73" w:rsidRDefault="009F590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BA3F7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BA3F73" w:rsidRDefault="009F590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BA3F7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BA3F73" w:rsidRDefault="009F590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BA3F7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sectPr w:rsidR="00FD122C" w:rsidSect="00A449E4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D5D01" w14:textId="77777777" w:rsidR="00342909" w:rsidRDefault="00342909" w:rsidP="000662E2">
      <w:pPr>
        <w:spacing w:after="0" w:line="240" w:lineRule="auto"/>
      </w:pPr>
      <w:r>
        <w:separator/>
      </w:r>
    </w:p>
  </w:endnote>
  <w:endnote w:type="continuationSeparator" w:id="0">
    <w:p w14:paraId="29D46140" w14:textId="77777777" w:rsidR="00342909" w:rsidRDefault="0034290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C22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C22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26822" w14:textId="77777777" w:rsidR="00342909" w:rsidRDefault="00342909" w:rsidP="000662E2">
      <w:pPr>
        <w:spacing w:after="0" w:line="240" w:lineRule="auto"/>
      </w:pPr>
      <w:r>
        <w:separator/>
      </w:r>
    </w:p>
  </w:footnote>
  <w:footnote w:type="continuationSeparator" w:id="0">
    <w:p w14:paraId="6B891F18" w14:textId="77777777" w:rsidR="00342909" w:rsidRDefault="0034290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57C549A2" w:rsidR="00F37172" w:rsidRPr="00C97596" w:rsidRDefault="008468E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57C549A2" w:rsidR="00F37172" w:rsidRPr="00C97596" w:rsidRDefault="008468E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709F"/>
    <w:rsid w:val="000108B8"/>
    <w:rsid w:val="000152F5"/>
    <w:rsid w:val="000155EF"/>
    <w:rsid w:val="00021DF6"/>
    <w:rsid w:val="0002419D"/>
    <w:rsid w:val="00030C63"/>
    <w:rsid w:val="00030EF4"/>
    <w:rsid w:val="00033AA0"/>
    <w:rsid w:val="000348F6"/>
    <w:rsid w:val="00037A95"/>
    <w:rsid w:val="00043A10"/>
    <w:rsid w:val="000443E5"/>
    <w:rsid w:val="0004582E"/>
    <w:rsid w:val="000470AA"/>
    <w:rsid w:val="00057CA1"/>
    <w:rsid w:val="000662E2"/>
    <w:rsid w:val="00066883"/>
    <w:rsid w:val="000740BA"/>
    <w:rsid w:val="00074DD8"/>
    <w:rsid w:val="0008050F"/>
    <w:rsid w:val="000806F7"/>
    <w:rsid w:val="00081537"/>
    <w:rsid w:val="000876A2"/>
    <w:rsid w:val="00087F7A"/>
    <w:rsid w:val="000923D4"/>
    <w:rsid w:val="00094A75"/>
    <w:rsid w:val="000965D2"/>
    <w:rsid w:val="000A560F"/>
    <w:rsid w:val="000A679B"/>
    <w:rsid w:val="000A6E7C"/>
    <w:rsid w:val="000A6F6A"/>
    <w:rsid w:val="000B0727"/>
    <w:rsid w:val="000B6975"/>
    <w:rsid w:val="000B7243"/>
    <w:rsid w:val="000C135D"/>
    <w:rsid w:val="000C31CC"/>
    <w:rsid w:val="000C5D21"/>
    <w:rsid w:val="000D1D43"/>
    <w:rsid w:val="000D225C"/>
    <w:rsid w:val="000D250B"/>
    <w:rsid w:val="000D2A5C"/>
    <w:rsid w:val="000D6C2C"/>
    <w:rsid w:val="000E0918"/>
    <w:rsid w:val="000E3B71"/>
    <w:rsid w:val="000F1ADD"/>
    <w:rsid w:val="000F1C91"/>
    <w:rsid w:val="0010064B"/>
    <w:rsid w:val="001011C3"/>
    <w:rsid w:val="00101CE3"/>
    <w:rsid w:val="00110D87"/>
    <w:rsid w:val="0011365E"/>
    <w:rsid w:val="001141F8"/>
    <w:rsid w:val="00114DB9"/>
    <w:rsid w:val="00116087"/>
    <w:rsid w:val="00120EDA"/>
    <w:rsid w:val="00122460"/>
    <w:rsid w:val="00122E15"/>
    <w:rsid w:val="00127824"/>
    <w:rsid w:val="00130296"/>
    <w:rsid w:val="00136991"/>
    <w:rsid w:val="0013710F"/>
    <w:rsid w:val="001423B6"/>
    <w:rsid w:val="001430B0"/>
    <w:rsid w:val="001448A7"/>
    <w:rsid w:val="0014523A"/>
    <w:rsid w:val="001454E4"/>
    <w:rsid w:val="00146621"/>
    <w:rsid w:val="00147181"/>
    <w:rsid w:val="00152273"/>
    <w:rsid w:val="0015283D"/>
    <w:rsid w:val="00152DBA"/>
    <w:rsid w:val="00161F82"/>
    <w:rsid w:val="00162325"/>
    <w:rsid w:val="00165BF0"/>
    <w:rsid w:val="00165FBF"/>
    <w:rsid w:val="001717B6"/>
    <w:rsid w:val="00171894"/>
    <w:rsid w:val="00172895"/>
    <w:rsid w:val="0019280B"/>
    <w:rsid w:val="001951DA"/>
    <w:rsid w:val="001973FB"/>
    <w:rsid w:val="001A5254"/>
    <w:rsid w:val="001A6033"/>
    <w:rsid w:val="001C280B"/>
    <w:rsid w:val="001C3269"/>
    <w:rsid w:val="001D1DB4"/>
    <w:rsid w:val="001D63FD"/>
    <w:rsid w:val="001E197F"/>
    <w:rsid w:val="001E4A70"/>
    <w:rsid w:val="001E7A98"/>
    <w:rsid w:val="00205CB3"/>
    <w:rsid w:val="0021357F"/>
    <w:rsid w:val="0022042A"/>
    <w:rsid w:val="00220DB2"/>
    <w:rsid w:val="00233A37"/>
    <w:rsid w:val="00234748"/>
    <w:rsid w:val="00240F50"/>
    <w:rsid w:val="00243063"/>
    <w:rsid w:val="00250625"/>
    <w:rsid w:val="00252E43"/>
    <w:rsid w:val="002574F9"/>
    <w:rsid w:val="002603B5"/>
    <w:rsid w:val="00262ED1"/>
    <w:rsid w:val="00266DB5"/>
    <w:rsid w:val="002709F6"/>
    <w:rsid w:val="00274572"/>
    <w:rsid w:val="00276811"/>
    <w:rsid w:val="00282699"/>
    <w:rsid w:val="002852C5"/>
    <w:rsid w:val="002915CD"/>
    <w:rsid w:val="002926DF"/>
    <w:rsid w:val="00293606"/>
    <w:rsid w:val="00294C70"/>
    <w:rsid w:val="00295714"/>
    <w:rsid w:val="00296697"/>
    <w:rsid w:val="002A6B5A"/>
    <w:rsid w:val="002B0472"/>
    <w:rsid w:val="002B34D3"/>
    <w:rsid w:val="002B5719"/>
    <w:rsid w:val="002B6B12"/>
    <w:rsid w:val="002B776D"/>
    <w:rsid w:val="002C1896"/>
    <w:rsid w:val="002C7363"/>
    <w:rsid w:val="002D23A4"/>
    <w:rsid w:val="002D7BD2"/>
    <w:rsid w:val="002E3889"/>
    <w:rsid w:val="002E6140"/>
    <w:rsid w:val="002E6985"/>
    <w:rsid w:val="002E71B6"/>
    <w:rsid w:val="002F77C8"/>
    <w:rsid w:val="002F7F71"/>
    <w:rsid w:val="00300C4E"/>
    <w:rsid w:val="00302707"/>
    <w:rsid w:val="003028F1"/>
    <w:rsid w:val="00304F22"/>
    <w:rsid w:val="00306C7C"/>
    <w:rsid w:val="003072A5"/>
    <w:rsid w:val="00317BEC"/>
    <w:rsid w:val="0032288C"/>
    <w:rsid w:val="00322EDD"/>
    <w:rsid w:val="00324BB4"/>
    <w:rsid w:val="003256D6"/>
    <w:rsid w:val="00327C12"/>
    <w:rsid w:val="00332320"/>
    <w:rsid w:val="00334189"/>
    <w:rsid w:val="003349DB"/>
    <w:rsid w:val="00336933"/>
    <w:rsid w:val="00342909"/>
    <w:rsid w:val="00345571"/>
    <w:rsid w:val="00345CE6"/>
    <w:rsid w:val="00346C61"/>
    <w:rsid w:val="00347D72"/>
    <w:rsid w:val="00353039"/>
    <w:rsid w:val="00357611"/>
    <w:rsid w:val="00362AF6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7D18"/>
    <w:rsid w:val="003A0F2C"/>
    <w:rsid w:val="003A1B36"/>
    <w:rsid w:val="003A2381"/>
    <w:rsid w:val="003A7EF6"/>
    <w:rsid w:val="003B1454"/>
    <w:rsid w:val="003B61EA"/>
    <w:rsid w:val="003B6336"/>
    <w:rsid w:val="003B6FE1"/>
    <w:rsid w:val="003C1A52"/>
    <w:rsid w:val="003C4B9E"/>
    <w:rsid w:val="003C59E0"/>
    <w:rsid w:val="003C6C8D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5111"/>
    <w:rsid w:val="003E5705"/>
    <w:rsid w:val="003E5F8B"/>
    <w:rsid w:val="003F4C97"/>
    <w:rsid w:val="003F7FE6"/>
    <w:rsid w:val="00400193"/>
    <w:rsid w:val="00402519"/>
    <w:rsid w:val="00407685"/>
    <w:rsid w:val="00411144"/>
    <w:rsid w:val="0041235C"/>
    <w:rsid w:val="00413DC7"/>
    <w:rsid w:val="00414069"/>
    <w:rsid w:val="0041575A"/>
    <w:rsid w:val="00416C1A"/>
    <w:rsid w:val="00420999"/>
    <w:rsid w:val="004212E7"/>
    <w:rsid w:val="0042244A"/>
    <w:rsid w:val="00423D46"/>
    <w:rsid w:val="0042446D"/>
    <w:rsid w:val="00427BF8"/>
    <w:rsid w:val="00431C02"/>
    <w:rsid w:val="00432A29"/>
    <w:rsid w:val="004360B5"/>
    <w:rsid w:val="00437395"/>
    <w:rsid w:val="00445047"/>
    <w:rsid w:val="00451C94"/>
    <w:rsid w:val="00454766"/>
    <w:rsid w:val="004572C5"/>
    <w:rsid w:val="0046113A"/>
    <w:rsid w:val="00462E49"/>
    <w:rsid w:val="00463E39"/>
    <w:rsid w:val="00465448"/>
    <w:rsid w:val="004657FC"/>
    <w:rsid w:val="004723E7"/>
    <w:rsid w:val="004733F6"/>
    <w:rsid w:val="004737E3"/>
    <w:rsid w:val="00474E69"/>
    <w:rsid w:val="0048353A"/>
    <w:rsid w:val="00487448"/>
    <w:rsid w:val="00487ABD"/>
    <w:rsid w:val="00491A75"/>
    <w:rsid w:val="0049621B"/>
    <w:rsid w:val="004B1E9D"/>
    <w:rsid w:val="004B55B6"/>
    <w:rsid w:val="004C1895"/>
    <w:rsid w:val="004C19A8"/>
    <w:rsid w:val="004C24DF"/>
    <w:rsid w:val="004C42CE"/>
    <w:rsid w:val="004C4790"/>
    <w:rsid w:val="004C5E68"/>
    <w:rsid w:val="004C63F7"/>
    <w:rsid w:val="004C6D40"/>
    <w:rsid w:val="004D453A"/>
    <w:rsid w:val="004E514C"/>
    <w:rsid w:val="004E6362"/>
    <w:rsid w:val="004F0C3C"/>
    <w:rsid w:val="004F63FC"/>
    <w:rsid w:val="004F7147"/>
    <w:rsid w:val="005003A9"/>
    <w:rsid w:val="005009C8"/>
    <w:rsid w:val="00505A92"/>
    <w:rsid w:val="005144B0"/>
    <w:rsid w:val="005203F1"/>
    <w:rsid w:val="00521BC3"/>
    <w:rsid w:val="00526065"/>
    <w:rsid w:val="00530547"/>
    <w:rsid w:val="00533632"/>
    <w:rsid w:val="00535396"/>
    <w:rsid w:val="00536109"/>
    <w:rsid w:val="00541896"/>
    <w:rsid w:val="0054251F"/>
    <w:rsid w:val="00550618"/>
    <w:rsid w:val="005520D8"/>
    <w:rsid w:val="00552567"/>
    <w:rsid w:val="00552A70"/>
    <w:rsid w:val="005542FA"/>
    <w:rsid w:val="00556CF1"/>
    <w:rsid w:val="0056762A"/>
    <w:rsid w:val="005738DC"/>
    <w:rsid w:val="00574442"/>
    <w:rsid w:val="005762A7"/>
    <w:rsid w:val="00576963"/>
    <w:rsid w:val="00581575"/>
    <w:rsid w:val="005916D7"/>
    <w:rsid w:val="005A698C"/>
    <w:rsid w:val="005C3773"/>
    <w:rsid w:val="005D76D9"/>
    <w:rsid w:val="005E0799"/>
    <w:rsid w:val="005E16BE"/>
    <w:rsid w:val="005E3415"/>
    <w:rsid w:val="005F11C4"/>
    <w:rsid w:val="005F30D3"/>
    <w:rsid w:val="005F5A80"/>
    <w:rsid w:val="00601499"/>
    <w:rsid w:val="006044FF"/>
    <w:rsid w:val="00607940"/>
    <w:rsid w:val="00607CC5"/>
    <w:rsid w:val="006129CE"/>
    <w:rsid w:val="00614E41"/>
    <w:rsid w:val="0061519F"/>
    <w:rsid w:val="00620C47"/>
    <w:rsid w:val="00620E3F"/>
    <w:rsid w:val="00627847"/>
    <w:rsid w:val="00627E7D"/>
    <w:rsid w:val="00632F43"/>
    <w:rsid w:val="00633014"/>
    <w:rsid w:val="0063437B"/>
    <w:rsid w:val="00645ED4"/>
    <w:rsid w:val="00666826"/>
    <w:rsid w:val="006673CA"/>
    <w:rsid w:val="00670FCA"/>
    <w:rsid w:val="00673C26"/>
    <w:rsid w:val="00677B8E"/>
    <w:rsid w:val="006812AF"/>
    <w:rsid w:val="0068327D"/>
    <w:rsid w:val="00685CCB"/>
    <w:rsid w:val="006863D3"/>
    <w:rsid w:val="00686A8C"/>
    <w:rsid w:val="0069050C"/>
    <w:rsid w:val="00693D09"/>
    <w:rsid w:val="00694AF0"/>
    <w:rsid w:val="00696ABE"/>
    <w:rsid w:val="006A561E"/>
    <w:rsid w:val="006B0E9E"/>
    <w:rsid w:val="006B4730"/>
    <w:rsid w:val="006B591B"/>
    <w:rsid w:val="006B5AE4"/>
    <w:rsid w:val="006C2C34"/>
    <w:rsid w:val="006D4054"/>
    <w:rsid w:val="006D65B8"/>
    <w:rsid w:val="006D797E"/>
    <w:rsid w:val="006E02EC"/>
    <w:rsid w:val="006E05D7"/>
    <w:rsid w:val="006E15DE"/>
    <w:rsid w:val="006E75B1"/>
    <w:rsid w:val="006F0773"/>
    <w:rsid w:val="006F1680"/>
    <w:rsid w:val="00705796"/>
    <w:rsid w:val="00710B81"/>
    <w:rsid w:val="0071293F"/>
    <w:rsid w:val="007149A9"/>
    <w:rsid w:val="007211B1"/>
    <w:rsid w:val="007237A7"/>
    <w:rsid w:val="007264F7"/>
    <w:rsid w:val="00730E89"/>
    <w:rsid w:val="00745D56"/>
    <w:rsid w:val="00746187"/>
    <w:rsid w:val="00750B3D"/>
    <w:rsid w:val="00752273"/>
    <w:rsid w:val="00761614"/>
    <w:rsid w:val="00761645"/>
    <w:rsid w:val="0076254F"/>
    <w:rsid w:val="00767ADB"/>
    <w:rsid w:val="007721D0"/>
    <w:rsid w:val="00777463"/>
    <w:rsid w:val="007801F5"/>
    <w:rsid w:val="00783CA4"/>
    <w:rsid w:val="007842FB"/>
    <w:rsid w:val="007844B8"/>
    <w:rsid w:val="00786124"/>
    <w:rsid w:val="007909F7"/>
    <w:rsid w:val="0079514B"/>
    <w:rsid w:val="007A0AA5"/>
    <w:rsid w:val="007A2DC1"/>
    <w:rsid w:val="007B0737"/>
    <w:rsid w:val="007B488B"/>
    <w:rsid w:val="007B4A0D"/>
    <w:rsid w:val="007B4D7A"/>
    <w:rsid w:val="007C0366"/>
    <w:rsid w:val="007D0308"/>
    <w:rsid w:val="007D091F"/>
    <w:rsid w:val="007D3319"/>
    <w:rsid w:val="007D335D"/>
    <w:rsid w:val="007E0B2F"/>
    <w:rsid w:val="007E3314"/>
    <w:rsid w:val="007E45BB"/>
    <w:rsid w:val="007E4B03"/>
    <w:rsid w:val="007F0EB7"/>
    <w:rsid w:val="007F324B"/>
    <w:rsid w:val="0080553C"/>
    <w:rsid w:val="00805B46"/>
    <w:rsid w:val="00817288"/>
    <w:rsid w:val="00821B14"/>
    <w:rsid w:val="008226A0"/>
    <w:rsid w:val="00825DC2"/>
    <w:rsid w:val="00834AD3"/>
    <w:rsid w:val="00835628"/>
    <w:rsid w:val="00843795"/>
    <w:rsid w:val="0084425E"/>
    <w:rsid w:val="008468E2"/>
    <w:rsid w:val="00847F0F"/>
    <w:rsid w:val="00852448"/>
    <w:rsid w:val="0085490C"/>
    <w:rsid w:val="00860DB8"/>
    <w:rsid w:val="0088258A"/>
    <w:rsid w:val="00886332"/>
    <w:rsid w:val="008A0ABF"/>
    <w:rsid w:val="008A1520"/>
    <w:rsid w:val="008A26D9"/>
    <w:rsid w:val="008B2647"/>
    <w:rsid w:val="008B2FBE"/>
    <w:rsid w:val="008C083F"/>
    <w:rsid w:val="008C0C29"/>
    <w:rsid w:val="008C1FC0"/>
    <w:rsid w:val="008D009F"/>
    <w:rsid w:val="008D05C6"/>
    <w:rsid w:val="008D18C7"/>
    <w:rsid w:val="008D3407"/>
    <w:rsid w:val="008D39DA"/>
    <w:rsid w:val="008E5058"/>
    <w:rsid w:val="008E54A7"/>
    <w:rsid w:val="008E5D15"/>
    <w:rsid w:val="008F0A50"/>
    <w:rsid w:val="008F1323"/>
    <w:rsid w:val="008F1D7A"/>
    <w:rsid w:val="008F3638"/>
    <w:rsid w:val="008F4036"/>
    <w:rsid w:val="008F6F31"/>
    <w:rsid w:val="008F74DF"/>
    <w:rsid w:val="009127BA"/>
    <w:rsid w:val="0091334C"/>
    <w:rsid w:val="009201F5"/>
    <w:rsid w:val="00920414"/>
    <w:rsid w:val="00922181"/>
    <w:rsid w:val="009227A6"/>
    <w:rsid w:val="00933EC1"/>
    <w:rsid w:val="0094069B"/>
    <w:rsid w:val="0094373E"/>
    <w:rsid w:val="00945005"/>
    <w:rsid w:val="00945E5B"/>
    <w:rsid w:val="00950587"/>
    <w:rsid w:val="009530DB"/>
    <w:rsid w:val="00953676"/>
    <w:rsid w:val="00954DB9"/>
    <w:rsid w:val="00954ECC"/>
    <w:rsid w:val="00960493"/>
    <w:rsid w:val="00964608"/>
    <w:rsid w:val="009650A5"/>
    <w:rsid w:val="009705EE"/>
    <w:rsid w:val="00977927"/>
    <w:rsid w:val="0098135C"/>
    <w:rsid w:val="0098156A"/>
    <w:rsid w:val="00991BAC"/>
    <w:rsid w:val="00993B1D"/>
    <w:rsid w:val="00996B56"/>
    <w:rsid w:val="009A6EA0"/>
    <w:rsid w:val="009B7A1C"/>
    <w:rsid w:val="009C1335"/>
    <w:rsid w:val="009C1AB2"/>
    <w:rsid w:val="009C7251"/>
    <w:rsid w:val="009D6273"/>
    <w:rsid w:val="009D6BB2"/>
    <w:rsid w:val="009E2E91"/>
    <w:rsid w:val="009E5D8D"/>
    <w:rsid w:val="009F590D"/>
    <w:rsid w:val="009F6370"/>
    <w:rsid w:val="00A01131"/>
    <w:rsid w:val="00A033AC"/>
    <w:rsid w:val="00A03CE5"/>
    <w:rsid w:val="00A04979"/>
    <w:rsid w:val="00A12369"/>
    <w:rsid w:val="00A139F5"/>
    <w:rsid w:val="00A23F14"/>
    <w:rsid w:val="00A26D0E"/>
    <w:rsid w:val="00A304E0"/>
    <w:rsid w:val="00A35DA0"/>
    <w:rsid w:val="00A365F4"/>
    <w:rsid w:val="00A4348D"/>
    <w:rsid w:val="00A449E4"/>
    <w:rsid w:val="00A46416"/>
    <w:rsid w:val="00A47D80"/>
    <w:rsid w:val="00A52BCD"/>
    <w:rsid w:val="00A53132"/>
    <w:rsid w:val="00A555FD"/>
    <w:rsid w:val="00A563F2"/>
    <w:rsid w:val="00A566E8"/>
    <w:rsid w:val="00A5681F"/>
    <w:rsid w:val="00A57C52"/>
    <w:rsid w:val="00A62745"/>
    <w:rsid w:val="00A65D12"/>
    <w:rsid w:val="00A7230E"/>
    <w:rsid w:val="00A733D4"/>
    <w:rsid w:val="00A74826"/>
    <w:rsid w:val="00A77359"/>
    <w:rsid w:val="00A810F9"/>
    <w:rsid w:val="00A86ECC"/>
    <w:rsid w:val="00A86FCC"/>
    <w:rsid w:val="00A90CC1"/>
    <w:rsid w:val="00A923E0"/>
    <w:rsid w:val="00AA2B3D"/>
    <w:rsid w:val="00AA710D"/>
    <w:rsid w:val="00AB6D25"/>
    <w:rsid w:val="00AC0BE4"/>
    <w:rsid w:val="00AC6DB5"/>
    <w:rsid w:val="00AC7A99"/>
    <w:rsid w:val="00AC7FD1"/>
    <w:rsid w:val="00AD71F9"/>
    <w:rsid w:val="00AE0B00"/>
    <w:rsid w:val="00AE2D4B"/>
    <w:rsid w:val="00AE4F99"/>
    <w:rsid w:val="00AF6A50"/>
    <w:rsid w:val="00B116DF"/>
    <w:rsid w:val="00B14952"/>
    <w:rsid w:val="00B15FA9"/>
    <w:rsid w:val="00B31E5A"/>
    <w:rsid w:val="00B334AE"/>
    <w:rsid w:val="00B34B6E"/>
    <w:rsid w:val="00B56E8A"/>
    <w:rsid w:val="00B57C5D"/>
    <w:rsid w:val="00B63830"/>
    <w:rsid w:val="00B64608"/>
    <w:rsid w:val="00B6471C"/>
    <w:rsid w:val="00B653AB"/>
    <w:rsid w:val="00B65525"/>
    <w:rsid w:val="00B65F9E"/>
    <w:rsid w:val="00B66B19"/>
    <w:rsid w:val="00B801D6"/>
    <w:rsid w:val="00B875EE"/>
    <w:rsid w:val="00B914E9"/>
    <w:rsid w:val="00B947BF"/>
    <w:rsid w:val="00B956EE"/>
    <w:rsid w:val="00B96ACB"/>
    <w:rsid w:val="00BA2BA1"/>
    <w:rsid w:val="00BA366D"/>
    <w:rsid w:val="00BA3F73"/>
    <w:rsid w:val="00BA616E"/>
    <w:rsid w:val="00BA6AA2"/>
    <w:rsid w:val="00BB1E63"/>
    <w:rsid w:val="00BB2312"/>
    <w:rsid w:val="00BB264F"/>
    <w:rsid w:val="00BB4F09"/>
    <w:rsid w:val="00BB5B7D"/>
    <w:rsid w:val="00BD10FC"/>
    <w:rsid w:val="00BD1F9B"/>
    <w:rsid w:val="00BD4E33"/>
    <w:rsid w:val="00BD58DB"/>
    <w:rsid w:val="00BE039A"/>
    <w:rsid w:val="00BF01AE"/>
    <w:rsid w:val="00BF49E9"/>
    <w:rsid w:val="00BF5F94"/>
    <w:rsid w:val="00C030DE"/>
    <w:rsid w:val="00C04BC7"/>
    <w:rsid w:val="00C04E8D"/>
    <w:rsid w:val="00C069C9"/>
    <w:rsid w:val="00C10012"/>
    <w:rsid w:val="00C11430"/>
    <w:rsid w:val="00C16EA5"/>
    <w:rsid w:val="00C22105"/>
    <w:rsid w:val="00C244B6"/>
    <w:rsid w:val="00C3702F"/>
    <w:rsid w:val="00C424B8"/>
    <w:rsid w:val="00C468F0"/>
    <w:rsid w:val="00C50BAE"/>
    <w:rsid w:val="00C51DAA"/>
    <w:rsid w:val="00C60255"/>
    <w:rsid w:val="00C64A37"/>
    <w:rsid w:val="00C655A9"/>
    <w:rsid w:val="00C7158E"/>
    <w:rsid w:val="00C7250B"/>
    <w:rsid w:val="00C72A3B"/>
    <w:rsid w:val="00C7346B"/>
    <w:rsid w:val="00C76984"/>
    <w:rsid w:val="00C76EB1"/>
    <w:rsid w:val="00C77C0E"/>
    <w:rsid w:val="00C82F78"/>
    <w:rsid w:val="00C835C9"/>
    <w:rsid w:val="00C84AE0"/>
    <w:rsid w:val="00C864AE"/>
    <w:rsid w:val="00C87C22"/>
    <w:rsid w:val="00C91687"/>
    <w:rsid w:val="00C924A8"/>
    <w:rsid w:val="00C945FE"/>
    <w:rsid w:val="00C95A53"/>
    <w:rsid w:val="00C9660B"/>
    <w:rsid w:val="00C96FAA"/>
    <w:rsid w:val="00C97A04"/>
    <w:rsid w:val="00CA107B"/>
    <w:rsid w:val="00CA484D"/>
    <w:rsid w:val="00CC183C"/>
    <w:rsid w:val="00CC44C5"/>
    <w:rsid w:val="00CC739E"/>
    <w:rsid w:val="00CD3B93"/>
    <w:rsid w:val="00CD58B7"/>
    <w:rsid w:val="00CD5A25"/>
    <w:rsid w:val="00CE54F7"/>
    <w:rsid w:val="00CF36E2"/>
    <w:rsid w:val="00CF4099"/>
    <w:rsid w:val="00CF4AA5"/>
    <w:rsid w:val="00CF6547"/>
    <w:rsid w:val="00D00796"/>
    <w:rsid w:val="00D14B9F"/>
    <w:rsid w:val="00D16BE7"/>
    <w:rsid w:val="00D16EB8"/>
    <w:rsid w:val="00D261A2"/>
    <w:rsid w:val="00D34BF1"/>
    <w:rsid w:val="00D350AE"/>
    <w:rsid w:val="00D36A60"/>
    <w:rsid w:val="00D434EF"/>
    <w:rsid w:val="00D46AF7"/>
    <w:rsid w:val="00D50BF0"/>
    <w:rsid w:val="00D616D2"/>
    <w:rsid w:val="00D63B5F"/>
    <w:rsid w:val="00D653A7"/>
    <w:rsid w:val="00D70EF7"/>
    <w:rsid w:val="00D7204F"/>
    <w:rsid w:val="00D8397C"/>
    <w:rsid w:val="00D87CBC"/>
    <w:rsid w:val="00D915B3"/>
    <w:rsid w:val="00D94EED"/>
    <w:rsid w:val="00D95E98"/>
    <w:rsid w:val="00D96026"/>
    <w:rsid w:val="00D96B20"/>
    <w:rsid w:val="00DA02F6"/>
    <w:rsid w:val="00DA0B1B"/>
    <w:rsid w:val="00DA29C0"/>
    <w:rsid w:val="00DA3317"/>
    <w:rsid w:val="00DA3EBD"/>
    <w:rsid w:val="00DA7C1C"/>
    <w:rsid w:val="00DA7C38"/>
    <w:rsid w:val="00DB147A"/>
    <w:rsid w:val="00DB1B7A"/>
    <w:rsid w:val="00DB4DAA"/>
    <w:rsid w:val="00DB7F78"/>
    <w:rsid w:val="00DC2B24"/>
    <w:rsid w:val="00DC6708"/>
    <w:rsid w:val="00DD036F"/>
    <w:rsid w:val="00DD52EC"/>
    <w:rsid w:val="00DE351C"/>
    <w:rsid w:val="00DE3A4A"/>
    <w:rsid w:val="00DF3177"/>
    <w:rsid w:val="00DF45C5"/>
    <w:rsid w:val="00DF4C87"/>
    <w:rsid w:val="00E01436"/>
    <w:rsid w:val="00E021BD"/>
    <w:rsid w:val="00E045BD"/>
    <w:rsid w:val="00E10389"/>
    <w:rsid w:val="00E17B77"/>
    <w:rsid w:val="00E229EA"/>
    <w:rsid w:val="00E23337"/>
    <w:rsid w:val="00E259EA"/>
    <w:rsid w:val="00E32061"/>
    <w:rsid w:val="00E353C5"/>
    <w:rsid w:val="00E42FF9"/>
    <w:rsid w:val="00E4714C"/>
    <w:rsid w:val="00E51AEB"/>
    <w:rsid w:val="00E51B91"/>
    <w:rsid w:val="00E522A7"/>
    <w:rsid w:val="00E54452"/>
    <w:rsid w:val="00E6241A"/>
    <w:rsid w:val="00E664C5"/>
    <w:rsid w:val="00E671A2"/>
    <w:rsid w:val="00E71995"/>
    <w:rsid w:val="00E76D26"/>
    <w:rsid w:val="00E80378"/>
    <w:rsid w:val="00E81482"/>
    <w:rsid w:val="00E83224"/>
    <w:rsid w:val="00EA34D5"/>
    <w:rsid w:val="00EA55C6"/>
    <w:rsid w:val="00EB06B4"/>
    <w:rsid w:val="00EB1390"/>
    <w:rsid w:val="00EB2C71"/>
    <w:rsid w:val="00EB4340"/>
    <w:rsid w:val="00EB556D"/>
    <w:rsid w:val="00EB5A7D"/>
    <w:rsid w:val="00EB6683"/>
    <w:rsid w:val="00EC2F3A"/>
    <w:rsid w:val="00EC354D"/>
    <w:rsid w:val="00ED24D2"/>
    <w:rsid w:val="00ED5481"/>
    <w:rsid w:val="00ED55C0"/>
    <w:rsid w:val="00ED620B"/>
    <w:rsid w:val="00ED682B"/>
    <w:rsid w:val="00ED6A5C"/>
    <w:rsid w:val="00EE20FF"/>
    <w:rsid w:val="00EE41D5"/>
    <w:rsid w:val="00EE424A"/>
    <w:rsid w:val="00EE6219"/>
    <w:rsid w:val="00EE635E"/>
    <w:rsid w:val="00EE7644"/>
    <w:rsid w:val="00EE77D4"/>
    <w:rsid w:val="00EF5731"/>
    <w:rsid w:val="00EF6CB8"/>
    <w:rsid w:val="00EF6E00"/>
    <w:rsid w:val="00F012D5"/>
    <w:rsid w:val="00F037A4"/>
    <w:rsid w:val="00F03D6E"/>
    <w:rsid w:val="00F041C3"/>
    <w:rsid w:val="00F10B10"/>
    <w:rsid w:val="00F17710"/>
    <w:rsid w:val="00F2710A"/>
    <w:rsid w:val="00F27C01"/>
    <w:rsid w:val="00F27C8F"/>
    <w:rsid w:val="00F32749"/>
    <w:rsid w:val="00F36549"/>
    <w:rsid w:val="00F37172"/>
    <w:rsid w:val="00F439F8"/>
    <w:rsid w:val="00F4477E"/>
    <w:rsid w:val="00F45CCA"/>
    <w:rsid w:val="00F60878"/>
    <w:rsid w:val="00F642C8"/>
    <w:rsid w:val="00F67D8F"/>
    <w:rsid w:val="00F74599"/>
    <w:rsid w:val="00F76BDA"/>
    <w:rsid w:val="00F802BE"/>
    <w:rsid w:val="00F83D6A"/>
    <w:rsid w:val="00F86024"/>
    <w:rsid w:val="00F8611A"/>
    <w:rsid w:val="00F86FF8"/>
    <w:rsid w:val="00F8758F"/>
    <w:rsid w:val="00F8797B"/>
    <w:rsid w:val="00FA0176"/>
    <w:rsid w:val="00FA2122"/>
    <w:rsid w:val="00FA5128"/>
    <w:rsid w:val="00FA7BA7"/>
    <w:rsid w:val="00FB09B2"/>
    <w:rsid w:val="00FB42D4"/>
    <w:rsid w:val="00FB5906"/>
    <w:rsid w:val="00FB762F"/>
    <w:rsid w:val="00FB7BBF"/>
    <w:rsid w:val="00FC02AB"/>
    <w:rsid w:val="00FC2AED"/>
    <w:rsid w:val="00FC580C"/>
    <w:rsid w:val="00FC6644"/>
    <w:rsid w:val="00FD050E"/>
    <w:rsid w:val="00FD0AAC"/>
    <w:rsid w:val="00FD122C"/>
    <w:rsid w:val="00FD16FF"/>
    <w:rsid w:val="00FD5C20"/>
    <w:rsid w:val="00FD5EA7"/>
    <w:rsid w:val="00FD6ACC"/>
    <w:rsid w:val="00FD720F"/>
    <w:rsid w:val="00FE0992"/>
    <w:rsid w:val="00FE0E3A"/>
    <w:rsid w:val="00FE2D4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7" Type="http://schemas.openxmlformats.org/officeDocument/2006/relationships/hyperlink" Target="http://stat.gov.pl/metainformacje/slownik-pojec/pojecia-stosowane-w-statystyce-publicznej/70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709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Marzec2019\Wykresy\WST03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Marzec2019\Wykresy\WST03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Marzec2019\Wykresy\WST03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Prasa\Marzec2019\Wykresy\WST03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334A92"/>
              </a:solidFill>
              <a:ln w="9525">
                <a:solidFill>
                  <a:srgbClr val="334A92"/>
                </a:solidFill>
              </a:ln>
              <a:effectLst/>
            </c:spPr>
          </c:marker>
          <c:dLbls>
            <c:dLbl>
              <c:idx val="13"/>
              <c:layout>
                <c:manualLayout>
                  <c:x val="-3.6504375063285403E-2"/>
                  <c:y val="-6.8462011707264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6.2286555589989634E-2"/>
                  <c:y val="-1.101137251235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650437506328557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2521433108252382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1'!$A$9:$B$35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1'!$C$9:$C$35</c:f>
              <c:numCache>
                <c:formatCode>0.0</c:formatCode>
                <c:ptCount val="27"/>
                <c:pt idx="0">
                  <c:v>0</c:v>
                </c:pt>
                <c:pt idx="1">
                  <c:v>-0.1</c:v>
                </c:pt>
                <c:pt idx="2">
                  <c:v>0</c:v>
                </c:pt>
                <c:pt idx="3">
                  <c:v>0.1</c:v>
                </c:pt>
                <c:pt idx="4">
                  <c:v>0</c:v>
                </c:pt>
                <c:pt idx="5">
                  <c:v>0</c:v>
                </c:pt>
                <c:pt idx="6">
                  <c:v>0.1</c:v>
                </c:pt>
                <c:pt idx="7">
                  <c:v>0.2</c:v>
                </c:pt>
                <c:pt idx="8">
                  <c:v>0.3</c:v>
                </c:pt>
                <c:pt idx="9">
                  <c:v>0.3</c:v>
                </c:pt>
                <c:pt idx="10">
                  <c:v>0.3</c:v>
                </c:pt>
                <c:pt idx="11">
                  <c:v>0.2</c:v>
                </c:pt>
                <c:pt idx="12" formatCode="General">
                  <c:v>0.1</c:v>
                </c:pt>
                <c:pt idx="13">
                  <c:v>0.1</c:v>
                </c:pt>
                <c:pt idx="14">
                  <c:v>0.3</c:v>
                </c:pt>
                <c:pt idx="15">
                  <c:v>0.3</c:v>
                </c:pt>
                <c:pt idx="16" formatCode="General">
                  <c:v>0.3</c:v>
                </c:pt>
                <c:pt idx="17" formatCode="General">
                  <c:v>0.4</c:v>
                </c:pt>
                <c:pt idx="18" formatCode="General">
                  <c:v>0.3</c:v>
                </c:pt>
                <c:pt idx="19" formatCode="General">
                  <c:v>0.3</c:v>
                </c:pt>
                <c:pt idx="20">
                  <c:v>0.4</c:v>
                </c:pt>
                <c:pt idx="21" formatCode="General">
                  <c:v>0.4</c:v>
                </c:pt>
                <c:pt idx="22">
                  <c:v>0.4</c:v>
                </c:pt>
                <c:pt idx="23" formatCode="General">
                  <c:v>0.4</c:v>
                </c:pt>
                <c:pt idx="24" formatCode="General">
                  <c:v>0.2</c:v>
                </c:pt>
                <c:pt idx="25" formatCode="General">
                  <c:v>0.1</c:v>
                </c:pt>
                <c:pt idx="26" formatCode="General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8960160"/>
        <c:axId val="-2108962880"/>
      </c:lineChart>
      <c:catAx>
        <c:axId val="-21089601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08962880"/>
        <c:crosses val="autoZero"/>
        <c:auto val="0"/>
        <c:lblAlgn val="ctr"/>
        <c:lblOffset val="12"/>
        <c:noMultiLvlLbl val="0"/>
      </c:catAx>
      <c:valAx>
        <c:axId val="-2108962880"/>
        <c:scaling>
          <c:orientation val="minMax"/>
          <c:max val="0.5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0896016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334A92"/>
              </a:solidFill>
              <a:ln w="9525">
                <a:solidFill>
                  <a:srgbClr val="334A92"/>
                </a:solidFill>
              </a:ln>
              <a:effectLst/>
            </c:spPr>
          </c:marker>
          <c:dLbls>
            <c:dLbl>
              <c:idx val="23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3923597248197507E-4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2'!$A$10:$B$36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2'!$C$10:$C$36</c:f>
              <c:numCache>
                <c:formatCode>0.0</c:formatCode>
                <c:ptCount val="27"/>
                <c:pt idx="0">
                  <c:v>0.3</c:v>
                </c:pt>
                <c:pt idx="1">
                  <c:v>0.3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  <c:pt idx="5">
                  <c:v>0.3</c:v>
                </c:pt>
                <c:pt idx="6">
                  <c:v>0.3</c:v>
                </c:pt>
                <c:pt idx="7">
                  <c:v>0.4</c:v>
                </c:pt>
                <c:pt idx="8">
                  <c:v>0.7</c:v>
                </c:pt>
                <c:pt idx="9">
                  <c:v>1</c:v>
                </c:pt>
                <c:pt idx="10">
                  <c:v>1.2</c:v>
                </c:pt>
                <c:pt idx="11">
                  <c:v>1.4</c:v>
                </c:pt>
                <c:pt idx="12" formatCode="General">
                  <c:v>1.5</c:v>
                </c:pt>
                <c:pt idx="13">
                  <c:v>1.7000000000000028</c:v>
                </c:pt>
                <c:pt idx="14">
                  <c:v>1.9</c:v>
                </c:pt>
                <c:pt idx="15">
                  <c:v>2.1</c:v>
                </c:pt>
                <c:pt idx="16" formatCode="General">
                  <c:v>2.4</c:v>
                </c:pt>
                <c:pt idx="17" formatCode="General">
                  <c:v>2.7999999999999972</c:v>
                </c:pt>
                <c:pt idx="18" formatCode="General">
                  <c:v>3.1</c:v>
                </c:pt>
                <c:pt idx="19" formatCode="General">
                  <c:v>3.2000000000000028</c:v>
                </c:pt>
                <c:pt idx="20">
                  <c:v>3.2999999999999972</c:v>
                </c:pt>
                <c:pt idx="21" formatCode="General">
                  <c:v>3.2999999999999972</c:v>
                </c:pt>
                <c:pt idx="22">
                  <c:v>3.4</c:v>
                </c:pt>
                <c:pt idx="23" formatCode="General">
                  <c:v>3.7000000000000028</c:v>
                </c:pt>
                <c:pt idx="24" formatCode="General">
                  <c:v>3.6</c:v>
                </c:pt>
                <c:pt idx="25" formatCode="General">
                  <c:v>3.7</c:v>
                </c:pt>
                <c:pt idx="26" formatCode="General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8963424"/>
        <c:axId val="-2108962336"/>
      </c:lineChart>
      <c:catAx>
        <c:axId val="-21089634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08962336"/>
        <c:crossesAt val="0"/>
        <c:auto val="0"/>
        <c:lblAlgn val="ctr"/>
        <c:lblOffset val="12"/>
        <c:tickLblSkip val="1"/>
        <c:noMultiLvlLbl val="0"/>
      </c:catAx>
      <c:valAx>
        <c:axId val="-210896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08963424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334A92"/>
              </a:solidFill>
              <a:ln w="9525">
                <a:solidFill>
                  <a:srgbClr val="334A9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7868656721888619E-2"/>
                  <c:y val="-0.112177377882158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75820128367756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837854728290201E-2"/>
                  <c:y val="-9.8875712520637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165368970569817E-2"/>
                  <c:y val="-0.196421258505123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643385415282602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27463843349125E-2"/>
                  <c:y val="-4.123516262071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3.5321036605201264E-2"/>
                  <c:y val="2.9707052640729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038228046913193E-2"/>
                  <c:y val="-8.1140158705276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5388186307435309E-2"/>
                  <c:y val="-0.112177377882158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6.3162871932652451E-2"/>
                  <c:y val="-9.8875712520637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6111841641062653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333000394944363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5.4469331334481208E-3"/>
                  <c:y val="-4.123516262071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Wykres3!$A$10:$B$36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Wykres3!$C$10:$C$36</c:f>
              <c:numCache>
                <c:formatCode>0.0</c:formatCode>
                <c:ptCount val="27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  <c:pt idx="26">
                  <c:v>4.2999999999999972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8961248"/>
        <c:axId val="-2108961792"/>
      </c:lineChart>
      <c:catAx>
        <c:axId val="-21089612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08961792"/>
        <c:crossesAt val="0"/>
        <c:auto val="0"/>
        <c:lblAlgn val="ctr"/>
        <c:lblOffset val="12"/>
        <c:tickLblSkip val="1"/>
        <c:noMultiLvlLbl val="0"/>
      </c:catAx>
      <c:valAx>
        <c:axId val="-2108961792"/>
        <c:scaling>
          <c:orientation val="minMax"/>
          <c:max val="5"/>
          <c:min val="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08961248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6"/>
              <c:layout>
                <c:manualLayout>
                  <c:x val="4.1787431833200099E-2"/>
                  <c:y val="4.275625086337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wyk4_bud!$A$6:$B$32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wyk4_bud!$C$6:$C$32</c:f>
              <c:numCache>
                <c:formatCode>0.0</c:formatCode>
                <c:ptCount val="27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  <c:pt idx="26">
                  <c:v>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4215376"/>
        <c:axId val="-2104215920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4.0721945829660846E-3"/>
                  <c:y val="-2.0557397430584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wyk4_bud!$D$6:$D$32</c:f>
              <c:numCache>
                <c:formatCode>0.0</c:formatCode>
                <c:ptCount val="27"/>
                <c:pt idx="0">
                  <c:v>-1.7000000000000028</c:v>
                </c:pt>
                <c:pt idx="1">
                  <c:v>-1.7999999999999972</c:v>
                </c:pt>
                <c:pt idx="2">
                  <c:v>-1.7999999999999972</c:v>
                </c:pt>
                <c:pt idx="3">
                  <c:v>-1.7000000000000028</c:v>
                </c:pt>
                <c:pt idx="4">
                  <c:v>-1.5999999999999943</c:v>
                </c:pt>
                <c:pt idx="5">
                  <c:v>-1.5999999999999943</c:v>
                </c:pt>
                <c:pt idx="6">
                  <c:v>-1.5</c:v>
                </c:pt>
                <c:pt idx="7">
                  <c:v>-1.2999999999999972</c:v>
                </c:pt>
                <c:pt idx="8">
                  <c:v>-1</c:v>
                </c:pt>
                <c:pt idx="9">
                  <c:v>-0.59999999999999432</c:v>
                </c:pt>
                <c:pt idx="10">
                  <c:v>-0.29999999999999716</c:v>
                </c:pt>
                <c:pt idx="11">
                  <c:v>0</c:v>
                </c:pt>
                <c:pt idx="12">
                  <c:v>0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2.5999999999999943</c:v>
                </c:pt>
                <c:pt idx="21">
                  <c:v>3.0999999999999943</c:v>
                </c:pt>
                <c:pt idx="22">
                  <c:v>3.5</c:v>
                </c:pt>
                <c:pt idx="23">
                  <c:v>3.9000000000000057</c:v>
                </c:pt>
                <c:pt idx="24">
                  <c:v>4.0999999999999943</c:v>
                </c:pt>
                <c:pt idx="25">
                  <c:v>4.2999999999999972</c:v>
                </c:pt>
                <c:pt idx="26">
                  <c:v>4.5999999999999996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5.4295277054667163E-3"/>
                  <c:y val="1.3431413178615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212966406346846E-2"/>
                      <c:h val="6.1403508771929821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wyk4_bud!$E$6:$E$32</c:f>
              <c:numCache>
                <c:formatCode>0.0</c:formatCode>
                <c:ptCount val="27"/>
                <c:pt idx="0">
                  <c:v>-1.2000000000000028</c:v>
                </c:pt>
                <c:pt idx="1">
                  <c:v>-1.2000000000000028</c:v>
                </c:pt>
                <c:pt idx="2">
                  <c:v>-1.2000000000000028</c:v>
                </c:pt>
                <c:pt idx="3">
                  <c:v>-1.2000000000000028</c:v>
                </c:pt>
                <c:pt idx="4">
                  <c:v>-1.2000000000000028</c:v>
                </c:pt>
                <c:pt idx="5">
                  <c:v>-1.2999999999999972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-0.40000000000000568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0.29999999999999716</c:v>
                </c:pt>
                <c:pt idx="14">
                  <c:v>0.59999999999999432</c:v>
                </c:pt>
                <c:pt idx="15">
                  <c:v>0.90000000000000568</c:v>
                </c:pt>
                <c:pt idx="16">
                  <c:v>1.2999999999999972</c:v>
                </c:pt>
                <c:pt idx="17">
                  <c:v>1.5999999999999943</c:v>
                </c:pt>
                <c:pt idx="18">
                  <c:v>1.9000000000000057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2.7999999999999972</c:v>
                </c:pt>
                <c:pt idx="22">
                  <c:v>3.2000000000000028</c:v>
                </c:pt>
                <c:pt idx="23">
                  <c:v>3.5</c:v>
                </c:pt>
                <c:pt idx="24">
                  <c:v>3.5999999999999943</c:v>
                </c:pt>
                <c:pt idx="25">
                  <c:v>3.7000000000000028</c:v>
                </c:pt>
                <c:pt idx="26">
                  <c:v>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5.4295277054667163E-3"/>
                  <c:y val="1.0691393838928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wyk4_bud!$F$6:$F$32</c:f>
              <c:numCache>
                <c:formatCode>0.0</c:formatCode>
                <c:ptCount val="27"/>
                <c:pt idx="0">
                  <c:v>-1.5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9.9999999999994316E-2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0.70000000000000284</c:v>
                </c:pt>
                <c:pt idx="17">
                  <c:v>1</c:v>
                </c:pt>
                <c:pt idx="18">
                  <c:v>1.2999999999999972</c:v>
                </c:pt>
                <c:pt idx="19">
                  <c:v>1.5</c:v>
                </c:pt>
                <c:pt idx="20">
                  <c:v>1.9000000000000057</c:v>
                </c:pt>
                <c:pt idx="21">
                  <c:v>2.2999999999999972</c:v>
                </c:pt>
                <c:pt idx="22">
                  <c:v>2.5999999999999943</c:v>
                </c:pt>
                <c:pt idx="23">
                  <c:v>2.7999999999999972</c:v>
                </c:pt>
                <c:pt idx="24">
                  <c:v>2.9000000000000057</c:v>
                </c:pt>
                <c:pt idx="25">
                  <c:v>3</c:v>
                </c:pt>
                <c:pt idx="26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4215376"/>
        <c:axId val="-2104215920"/>
      </c:lineChart>
      <c:catAx>
        <c:axId val="-210421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104215920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2104215920"/>
        <c:scaling>
          <c:orientation val="minMax"/>
          <c:max val="5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104215376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1068793585267862"/>
          <c:w val="0.98242189051521933"/>
          <c:h val="0.1843895726626404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B84505-247A-4DB8-9027-B7234463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marcu 2019 roku</dc:title>
  <dc:subject/>
  <cp:keywords/>
  <dc:description/>
  <cp:revision>2</cp:revision>
  <cp:lastPrinted>2019-03-19T08:30:00Z</cp:lastPrinted>
  <dcterms:created xsi:type="dcterms:W3CDTF">2019-04-18T06:43:00Z</dcterms:created>
  <dcterms:modified xsi:type="dcterms:W3CDTF">2019-04-18T06:43:00Z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