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Dynamika produkcji sprzedanej przemysłu </w:t>
      </w:r>
    </w:p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w </w:t>
      </w:r>
      <w:r w:rsidR="00A12EDF">
        <w:rPr>
          <w:shd w:val="clear" w:color="auto" w:fill="FFFFFF"/>
        </w:rPr>
        <w:t>czerwcu</w:t>
      </w:r>
      <w:r w:rsidRPr="00AA640C">
        <w:rPr>
          <w:shd w:val="clear" w:color="auto" w:fill="FFFFFF"/>
        </w:rPr>
        <w:t xml:space="preserve"> 2019 r.</w:t>
      </w:r>
      <w:r w:rsidRPr="00AA640C">
        <w:rPr>
          <w:shd w:val="clear" w:color="auto" w:fill="FFFFFF"/>
          <w:vertAlign w:val="superscript"/>
        </w:rPr>
        <w:t>a)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5229225</wp:posOffset>
                </wp:positionH>
                <wp:positionV relativeFrom="paragraph">
                  <wp:posOffset>245110</wp:posOffset>
                </wp:positionV>
                <wp:extent cx="1682115" cy="3038475"/>
                <wp:effectExtent l="0" t="0" r="0" b="0"/>
                <wp:wrapTight wrapText="bothSides">
                  <wp:wrapPolygon edited="0">
                    <wp:start x="734" y="0"/>
                    <wp:lineTo x="734" y="21397"/>
                    <wp:lineTo x="20793" y="21397"/>
                    <wp:lineTo x="20793" y="0"/>
                    <wp:lineTo x="73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303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D6" w:rsidRDefault="00CA06D6" w:rsidP="00CA06D6">
                            <w:pPr>
                              <w:spacing w:before="0" w:after="0"/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E966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produkcji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sprzedanej przemysłu w czerwcu</w:t>
                            </w:r>
                            <w:r w:rsidR="002538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2</w:t>
                            </w:r>
                            <w:r w:rsidRPr="009D4C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,7%,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wobec wzrostu o 6,7% przed rokiem</w:t>
                            </w: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8681F" w:rsidRPr="00234727" w:rsidRDefault="00CA06D6" w:rsidP="00C8681F">
                            <w:pPr>
                              <w:pStyle w:val="tekstzboku"/>
                              <w:suppressAutoHyphens/>
                            </w:pPr>
                            <w:r>
                              <w:t>Po wyrównaniu sezonowym, w</w:t>
                            </w:r>
                            <w:r w:rsidR="00ED01FD">
                              <w:t xml:space="preserve">zrost </w:t>
                            </w:r>
                            <w:r w:rsidR="00ED01FD" w:rsidRPr="00234727">
                              <w:t>produkcji sprzedanej przemy</w:t>
                            </w:r>
                            <w:r w:rsidR="00ED01FD">
                              <w:t xml:space="preserve">słu w </w:t>
                            </w:r>
                            <w:r w:rsidR="00A12EDF">
                              <w:t>czerwcu</w:t>
                            </w:r>
                            <w:r w:rsidR="00C8681F" w:rsidRPr="00234727">
                              <w:t xml:space="preserve"> 2019 r. </w:t>
                            </w:r>
                            <w:r w:rsidR="00ED01FD">
                              <w:t xml:space="preserve">wyniósł 2,7% </w:t>
                            </w:r>
                            <w:r w:rsidR="0073256C">
                              <w:t xml:space="preserve">w skali roku </w:t>
                            </w:r>
                          </w:p>
                          <w:p w:rsidR="007A2DC1" w:rsidRPr="003B6903" w:rsidRDefault="007A2DC1" w:rsidP="00D0793C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75pt;margin-top:19.3pt;width:132.45pt;height:239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" filled="f" stroked="f">
                <v:textbox>
                  <w:txbxContent>
                    <w:p w:rsidR="00CA06D6" w:rsidRDefault="00CA06D6" w:rsidP="00CA06D6">
                      <w:pPr>
                        <w:spacing w:before="0" w:after="0"/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E966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produkcji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sprzedanej przemysłu w czerwcu</w:t>
                      </w:r>
                      <w:r w:rsidR="002538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2</w:t>
                      </w:r>
                      <w:r w:rsidRPr="009D4C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,7%,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wobec wzrostu o 6,7% przed rokiem</w:t>
                      </w: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8681F" w:rsidRPr="00234727" w:rsidRDefault="00CA06D6" w:rsidP="00C8681F">
                      <w:pPr>
                        <w:pStyle w:val="tekstzboku"/>
                        <w:suppressAutoHyphens/>
                      </w:pPr>
                      <w:r>
                        <w:t>Po wyrównaniu sezonowym, w</w:t>
                      </w:r>
                      <w:r w:rsidR="00ED01FD">
                        <w:t xml:space="preserve">zrost </w:t>
                      </w:r>
                      <w:r w:rsidR="00ED01FD" w:rsidRPr="00234727">
                        <w:t>produkcji sprzedanej przemy</w:t>
                      </w:r>
                      <w:r w:rsidR="00ED01FD">
                        <w:t xml:space="preserve">słu w </w:t>
                      </w:r>
                      <w:r w:rsidR="00A12EDF">
                        <w:t>czerwcu</w:t>
                      </w:r>
                      <w:r w:rsidR="00C8681F" w:rsidRPr="00234727">
                        <w:t xml:space="preserve"> 2019 r. </w:t>
                      </w:r>
                      <w:r w:rsidR="00ED01FD">
                        <w:t xml:space="preserve">wyniósł 2,7% </w:t>
                      </w:r>
                      <w:r w:rsidR="0073256C">
                        <w:t xml:space="preserve">w skali roku </w:t>
                      </w:r>
                    </w:p>
                    <w:p w:rsidR="007A2DC1" w:rsidRPr="003B6903" w:rsidRDefault="007A2DC1" w:rsidP="00D0793C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8681F" w:rsidRPr="00C2742C" w:rsidRDefault="00C8681F" w:rsidP="00C8681F">
      <w:pPr>
        <w:pStyle w:val="LID"/>
        <w:spacing w:before="0" w:after="0"/>
      </w:pPr>
      <w:r w:rsidRPr="002D0E0C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06D7B63" wp14:editId="6323643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0" cy="1330325"/>
                <wp:effectExtent l="0" t="0" r="0" b="317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03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75A34BB" wp14:editId="7AA59DEE">
                                  <wp:extent cx="336550" cy="336550"/>
                                  <wp:effectExtent l="0" t="0" r="6350" b="635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D4C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73256C" w:rsidRPr="009D4C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</w:t>
                            </w:r>
                            <w:r w:rsidR="009D4C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</w:p>
                          <w:p w:rsidR="00C8681F" w:rsidRPr="00364866" w:rsidRDefault="00C8681F" w:rsidP="00C868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Dynamika produkcji sprze</w:t>
                            </w:r>
                            <w:r w:rsidR="00AF4C05" w:rsidRPr="00364866">
                              <w:rPr>
                                <w:sz w:val="20"/>
                              </w:rPr>
                              <w:t>danej przemysłu w porównaniu z</w:t>
                            </w:r>
                            <w:r w:rsidR="0073256C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="00A12EDF">
                              <w:rPr>
                                <w:sz w:val="20"/>
                              </w:rPr>
                              <w:t>czerwcem</w:t>
                            </w:r>
                            <w:r w:rsidR="00AF4C05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ub.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D7B63" id="_x0000_s1027" type="#_x0000_t202" style="position:absolute;margin-left:0;margin-top:.35pt;width:2in;height:104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75A34BB" wp14:editId="7AA59DEE">
                            <wp:extent cx="336550" cy="336550"/>
                            <wp:effectExtent l="0" t="0" r="6350" b="635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D4C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73256C" w:rsidRPr="009D4C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</w:t>
                      </w:r>
                      <w:r w:rsidR="009D4C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</w:p>
                    <w:p w:rsidR="00C8681F" w:rsidRPr="00364866" w:rsidRDefault="00C8681F" w:rsidP="00C868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64866">
                        <w:rPr>
                          <w:sz w:val="20"/>
                        </w:rPr>
                        <w:t>Dynamika produkcji sprze</w:t>
                      </w:r>
                      <w:r w:rsidR="00AF4C05" w:rsidRPr="00364866">
                        <w:rPr>
                          <w:sz w:val="20"/>
                        </w:rPr>
                        <w:t>danej przemysłu w porównaniu z</w:t>
                      </w:r>
                      <w:r w:rsidR="0073256C" w:rsidRPr="00364866">
                        <w:rPr>
                          <w:sz w:val="20"/>
                        </w:rPr>
                        <w:t xml:space="preserve"> </w:t>
                      </w:r>
                      <w:r w:rsidR="00A12EDF">
                        <w:rPr>
                          <w:sz w:val="20"/>
                        </w:rPr>
                        <w:t>czerwcem</w:t>
                      </w:r>
                      <w:r w:rsidR="00AF4C05" w:rsidRPr="00364866"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ub. roku.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DD8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FC7CD32" wp14:editId="0F17DAB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1950" cy="361950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CD32" id="_x0000_s1028" type="#_x0000_t202" style="position:absolute;margin-left:0;margin-top:6.55pt;width:2in;height:93.7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1950" cy="36195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2721">
        <w:t xml:space="preserve">W </w:t>
      </w:r>
      <w:r w:rsidR="00A12EDF">
        <w:t>czerwcu</w:t>
      </w:r>
      <w:r>
        <w:t xml:space="preserve"> br.</w:t>
      </w:r>
      <w:r w:rsidRPr="002D0E0C">
        <w:t xml:space="preserve"> produkcja sprzedana przemysłu była </w:t>
      </w:r>
      <w:r w:rsidR="009D4C87">
        <w:t>ni</w:t>
      </w:r>
      <w:r w:rsidRPr="002D0E0C">
        <w:t>ższa o</w:t>
      </w:r>
      <w:r w:rsidR="00AE6CAD">
        <w:t xml:space="preserve"> </w:t>
      </w:r>
      <w:r w:rsidR="009D4C87">
        <w:t>2</w:t>
      </w:r>
      <w:r w:rsidR="0073256C" w:rsidRPr="009D4C87">
        <w:t>,7</w:t>
      </w:r>
      <w:r w:rsidRPr="00A12EDF">
        <w:rPr>
          <w:i/>
        </w:rPr>
        <w:t>%</w:t>
      </w:r>
      <w:r>
        <w:t xml:space="preserve"> w porównaniu z </w:t>
      </w:r>
      <w:r w:rsidR="009D4C87">
        <w:t>czerwcem</w:t>
      </w:r>
      <w:r>
        <w:t xml:space="preserve"> ub. roku, kiedy notowano </w:t>
      </w:r>
      <w:r w:rsidR="00854BD8">
        <w:t xml:space="preserve">wzrost o </w:t>
      </w:r>
      <w:r w:rsidR="00A12EDF">
        <w:t>6</w:t>
      </w:r>
      <w:r w:rsidR="0073256C">
        <w:t>,</w:t>
      </w:r>
      <w:r w:rsidR="00A12EDF">
        <w:t>7</w:t>
      </w:r>
      <w:r>
        <w:t>%, nat</w:t>
      </w:r>
      <w:r w:rsidR="00B96EE4">
        <w:t>omiast w porównaniu z</w:t>
      </w:r>
      <w:r w:rsidR="00AE6CAD">
        <w:t> </w:t>
      </w:r>
      <w:r w:rsidR="00A12EDF">
        <w:t>majem</w:t>
      </w:r>
      <w:r>
        <w:t xml:space="preserve"> br. </w:t>
      </w:r>
      <w:r w:rsidR="009D4C87">
        <w:t>spadła o 5,9%.</w:t>
      </w:r>
      <w:r w:rsidR="00AF4C05" w:rsidRPr="00AF4C05">
        <w:t xml:space="preserve"> </w:t>
      </w:r>
      <w:r w:rsidR="00AF4C05" w:rsidRPr="00C2742C">
        <w:t>W okresie styczeń</w:t>
      </w:r>
      <w:r w:rsidR="00AF4C05">
        <w:t xml:space="preserve"> – </w:t>
      </w:r>
      <w:r w:rsidR="00A12EDF">
        <w:t>czerwiec</w:t>
      </w:r>
      <w:r w:rsidR="00AF4C05">
        <w:t xml:space="preserve"> br</w:t>
      </w:r>
      <w:r w:rsidR="00AF4C05" w:rsidRPr="00C2742C">
        <w:t>. produ</w:t>
      </w:r>
      <w:r w:rsidR="00AF4C05">
        <w:t>kcj</w:t>
      </w:r>
      <w:r w:rsidR="00E52721">
        <w:t xml:space="preserve">a sprzedana przemysłu była </w:t>
      </w:r>
      <w:r w:rsidR="00E52721" w:rsidRPr="009D4C87">
        <w:t>o</w:t>
      </w:r>
      <w:r w:rsidR="00EC4562" w:rsidRPr="009D4C87">
        <w:t> </w:t>
      </w:r>
      <w:r w:rsidR="009D4C87">
        <w:t>5</w:t>
      </w:r>
      <w:r w:rsidR="0073256C" w:rsidRPr="009D4C87">
        <w:t>,</w:t>
      </w:r>
      <w:r w:rsidR="009D4C87">
        <w:t>1</w:t>
      </w:r>
      <w:r w:rsidR="00AF4C05" w:rsidRPr="00A12EDF">
        <w:rPr>
          <w:i/>
        </w:rPr>
        <w:t>%</w:t>
      </w:r>
      <w:r w:rsidR="00AF4C05">
        <w:t xml:space="preserve"> wyższa w</w:t>
      </w:r>
      <w:r w:rsidR="00AE6CAD">
        <w:t> </w:t>
      </w:r>
      <w:r w:rsidR="00AF4C05" w:rsidRPr="00C2742C">
        <w:t>porównaniu z</w:t>
      </w:r>
      <w:r w:rsidR="00AE6CAD">
        <w:t xml:space="preserve"> </w:t>
      </w:r>
      <w:r w:rsidR="00AF4C05" w:rsidRPr="00C2742C">
        <w:t xml:space="preserve">analogicznym okresem </w:t>
      </w:r>
      <w:r w:rsidR="00AF4C05">
        <w:t>ub. roku</w:t>
      </w:r>
      <w:r w:rsidR="00AF4C05" w:rsidRPr="00C2742C">
        <w:t xml:space="preserve">, kiedy notowano wzrost o </w:t>
      </w:r>
      <w:r w:rsidR="00E52721">
        <w:t>6</w:t>
      </w:r>
      <w:r w:rsidR="0073256C">
        <w:t>,</w:t>
      </w:r>
      <w:r w:rsidR="00A12EDF">
        <w:t>2</w:t>
      </w:r>
      <w:r w:rsidR="00AF4C05" w:rsidRPr="00C2742C">
        <w:t>%</w:t>
      </w:r>
      <w:r w:rsidR="00950875">
        <w:t>.</w:t>
      </w:r>
    </w:p>
    <w:p w:rsidR="002D0E0C" w:rsidRDefault="002D0E0C" w:rsidP="00A41DEF">
      <w:pPr>
        <w:pStyle w:val="LID"/>
        <w:jc w:val="both"/>
      </w:pPr>
    </w:p>
    <w:p w:rsidR="00C8681F" w:rsidRDefault="00C8681F" w:rsidP="00A41DEF">
      <w:pPr>
        <w:pStyle w:val="LID"/>
        <w:jc w:val="both"/>
      </w:pPr>
    </w:p>
    <w:p w:rsidR="00D95EEA" w:rsidRDefault="00D95EEA" w:rsidP="00A41DEF">
      <w:pPr>
        <w:pStyle w:val="LID"/>
        <w:jc w:val="both"/>
      </w:pPr>
    </w:p>
    <w:p w:rsidR="00ED01FD" w:rsidRPr="00D95EEA" w:rsidRDefault="00D95EEA" w:rsidP="00A41DEF">
      <w:pPr>
        <w:pStyle w:val="LID"/>
        <w:jc w:val="both"/>
        <w:rPr>
          <w:b w:val="0"/>
        </w:rPr>
      </w:pPr>
      <w:r w:rsidRPr="00D95EEA">
        <w:rPr>
          <w:b w:val="0"/>
        </w:rPr>
        <w:t>Po wyeliminowaniu wpływu czynników o charakterze sezonowym</w:t>
      </w:r>
      <w:r w:rsidR="00F449BE">
        <w:rPr>
          <w:b w:val="0"/>
        </w:rPr>
        <w:t>, w czerwcu br.</w:t>
      </w:r>
      <w:bookmarkStart w:id="0" w:name="_GoBack"/>
      <w:bookmarkEnd w:id="0"/>
      <w:r w:rsidRPr="00D95EEA">
        <w:rPr>
          <w:b w:val="0"/>
        </w:rPr>
        <w:t xml:space="preserve"> produkcja sprzedana przemysłu ukształtowała się na poziomie o 2,7% wyższym niż w analogicznym miesiącu ub. roku i o 2,0% niższym w porównaniu z majem br.</w:t>
      </w:r>
    </w:p>
    <w:p w:rsidR="00ED01FD" w:rsidRDefault="00ED01FD" w:rsidP="00A41DEF">
      <w:pPr>
        <w:pStyle w:val="LID"/>
        <w:jc w:val="both"/>
      </w:pPr>
    </w:p>
    <w:p w:rsidR="00ED01FD" w:rsidRDefault="007663D3" w:rsidP="00ED01FD">
      <w:pPr>
        <w:pStyle w:val="tytuwykresu"/>
        <w:rPr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5696" behindDoc="0" locked="0" layoutInCell="1" allowOverlap="1" wp14:anchorId="08D725CF" wp14:editId="00F8CF8F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5122545" cy="2628900"/>
            <wp:effectExtent l="0" t="0" r="1905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1FD" w:rsidRPr="00F840E9">
        <w:rPr>
          <w:szCs w:val="18"/>
        </w:rPr>
        <w:t>Wykres 1.</w:t>
      </w:r>
      <w:r w:rsidR="00ED01FD" w:rsidRPr="00F840E9">
        <w:rPr>
          <w:szCs w:val="18"/>
          <w:shd w:val="clear" w:color="auto" w:fill="FFFFFF"/>
        </w:rPr>
        <w:t xml:space="preserve"> Produkcja sprzedana przemysłu (przeciętna miesięczna 2015=100)</w:t>
      </w:r>
    </w:p>
    <w:p w:rsidR="00A05838" w:rsidRDefault="00A05838" w:rsidP="00ED01FD">
      <w:pPr>
        <w:pStyle w:val="LID"/>
        <w:jc w:val="both"/>
        <w:rPr>
          <w:b w:val="0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D95EEA" w:rsidRDefault="00D95EEA" w:rsidP="00D95EEA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DD58F4">
        <w:rPr>
          <w:rFonts w:eastAsia="Calibri" w:cs="Times New Roman"/>
        </w:rPr>
        <w:t xml:space="preserve">W większości głównych grupowań przemysłowych w </w:t>
      </w:r>
      <w:r>
        <w:rPr>
          <w:rFonts w:eastAsia="Calibri" w:cs="Times New Roman"/>
        </w:rPr>
        <w:t>czerwcu</w:t>
      </w:r>
      <w:r w:rsidRPr="00DD58F4">
        <w:rPr>
          <w:rFonts w:eastAsia="Calibri" w:cs="Times New Roman"/>
        </w:rPr>
        <w:t xml:space="preserve"> br. odnotowano </w:t>
      </w:r>
      <w:r>
        <w:rPr>
          <w:rFonts w:eastAsia="Calibri" w:cs="Times New Roman"/>
        </w:rPr>
        <w:t>spadek</w:t>
      </w:r>
      <w:r w:rsidRPr="00DD58F4">
        <w:rPr>
          <w:rFonts w:eastAsia="Calibri" w:cs="Times New Roman"/>
        </w:rPr>
        <w:t xml:space="preserve"> produkcji w skali roku. Produkcja dóbr zaopatrzeniowych </w:t>
      </w:r>
      <w:r>
        <w:rPr>
          <w:rFonts w:eastAsia="Calibri" w:cs="Times New Roman"/>
        </w:rPr>
        <w:t>spadła</w:t>
      </w:r>
      <w:r w:rsidRPr="00DD58F4">
        <w:rPr>
          <w:rFonts w:eastAsia="Calibri" w:cs="Times New Roman"/>
        </w:rPr>
        <w:t xml:space="preserve"> o </w:t>
      </w:r>
      <w:r>
        <w:rPr>
          <w:rFonts w:eastAsia="Calibri" w:cs="Times New Roman"/>
        </w:rPr>
        <w:t>5</w:t>
      </w:r>
      <w:r w:rsidRPr="00DD58F4">
        <w:rPr>
          <w:rFonts w:eastAsia="Calibri" w:cs="Times New Roman"/>
        </w:rPr>
        <w:t>,</w:t>
      </w:r>
      <w:r>
        <w:rPr>
          <w:rFonts w:eastAsia="Calibri" w:cs="Times New Roman"/>
        </w:rPr>
        <w:t>3</w:t>
      </w:r>
      <w:r w:rsidRPr="00DD58F4">
        <w:rPr>
          <w:rFonts w:eastAsia="Calibri" w:cs="Times New Roman"/>
        </w:rPr>
        <w:t xml:space="preserve">%, dóbr inwestycyjnych </w:t>
      </w:r>
      <w:r w:rsidR="002538EC" w:rsidRPr="00DD58F4">
        <w:rPr>
          <w:rFonts w:eastAsia="Calibri" w:cs="Times New Roman"/>
        </w:rPr>
        <w:t>–</w:t>
      </w:r>
      <w:r>
        <w:rPr>
          <w:rFonts w:eastAsia="Calibri" w:cs="Times New Roman"/>
        </w:rPr>
        <w:t xml:space="preserve"> o 3</w:t>
      </w:r>
      <w:r w:rsidRPr="00DD58F4">
        <w:rPr>
          <w:rFonts w:eastAsia="Calibri" w:cs="Times New Roman"/>
        </w:rPr>
        <w:t>,</w:t>
      </w:r>
      <w:r>
        <w:rPr>
          <w:rFonts w:eastAsia="Calibri" w:cs="Times New Roman"/>
        </w:rPr>
        <w:t>6</w:t>
      </w:r>
      <w:r w:rsidRPr="00DD58F4">
        <w:rPr>
          <w:rFonts w:eastAsia="Calibri" w:cs="Times New Roman"/>
        </w:rPr>
        <w:t>%, dóbr konsumpcyjnych trwałych – o 3,</w:t>
      </w:r>
      <w:r>
        <w:rPr>
          <w:rFonts w:eastAsia="Calibri" w:cs="Times New Roman"/>
        </w:rPr>
        <w:t>3</w:t>
      </w:r>
      <w:r w:rsidRPr="00DD58F4">
        <w:rPr>
          <w:rFonts w:eastAsia="Calibri" w:cs="Times New Roman"/>
        </w:rPr>
        <w:t xml:space="preserve">% a konsumpcyjnych nietrwałych – o </w:t>
      </w:r>
      <w:r>
        <w:rPr>
          <w:rFonts w:eastAsia="Calibri" w:cs="Times New Roman"/>
        </w:rPr>
        <w:t>1</w:t>
      </w:r>
      <w:r w:rsidRPr="00DD58F4">
        <w:rPr>
          <w:rFonts w:eastAsia="Calibri" w:cs="Times New Roman"/>
        </w:rPr>
        <w:t>,0%. Z</w:t>
      </w:r>
      <w:r>
        <w:rPr>
          <w:rFonts w:eastAsia="Calibri" w:cs="Times New Roman"/>
        </w:rPr>
        <w:t>większyła</w:t>
      </w:r>
      <w:r w:rsidRPr="00DD58F4">
        <w:rPr>
          <w:rFonts w:eastAsia="Calibri" w:cs="Times New Roman"/>
        </w:rPr>
        <w:t xml:space="preserve"> się natomiast </w:t>
      </w:r>
      <w:r>
        <w:rPr>
          <w:rFonts w:eastAsia="Calibri" w:cs="Times New Roman"/>
        </w:rPr>
        <w:t xml:space="preserve">nieznacznie </w:t>
      </w:r>
      <w:r w:rsidRPr="00DD58F4">
        <w:rPr>
          <w:rFonts w:eastAsia="Calibri" w:cs="Times New Roman"/>
        </w:rPr>
        <w:t xml:space="preserve">produkcja dóbr związanych z energią – o </w:t>
      </w:r>
      <w:r>
        <w:rPr>
          <w:rFonts w:eastAsia="Calibri" w:cs="Times New Roman"/>
        </w:rPr>
        <w:t>0</w:t>
      </w:r>
      <w:r w:rsidRPr="00DD58F4">
        <w:rPr>
          <w:rFonts w:eastAsia="Calibri" w:cs="Times New Roman"/>
        </w:rPr>
        <w:t>,</w:t>
      </w:r>
      <w:r>
        <w:rPr>
          <w:rFonts w:eastAsia="Calibri" w:cs="Times New Roman"/>
        </w:rPr>
        <w:t>8</w:t>
      </w:r>
      <w:r w:rsidRPr="00DD58F4">
        <w:rPr>
          <w:rFonts w:eastAsia="Calibri" w:cs="Times New Roman"/>
        </w:rPr>
        <w:t>%.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61179" w:rsidRDefault="00761179" w:rsidP="00761179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761179" w:rsidRPr="00E81AF2" w:rsidRDefault="00761179" w:rsidP="00761179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C8681F" w:rsidRPr="00F840E9" w:rsidRDefault="00C8681F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F840E9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400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C8681F" w:rsidRPr="00FE2F2B" w:rsidTr="00761179">
        <w:trPr>
          <w:trHeight w:val="57"/>
        </w:trPr>
        <w:tc>
          <w:tcPr>
            <w:tcW w:w="2552" w:type="dxa"/>
            <w:vMerge w:val="restart"/>
            <w:vAlign w:val="center"/>
          </w:tcPr>
          <w:p w:rsidR="00C8681F" w:rsidRPr="00263373" w:rsidRDefault="00C8681F" w:rsidP="0076117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C8681F" w:rsidRPr="00263373" w:rsidRDefault="00E52721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278" w:type="dxa"/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52721">
              <w:rPr>
                <w:sz w:val="16"/>
                <w:szCs w:val="18"/>
                <w:shd w:val="clear" w:color="auto" w:fill="FFFFFF"/>
              </w:rPr>
              <w:t>V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761179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</w:t>
            </w:r>
            <w:r w:rsidR="00C8681F" w:rsidRPr="00263373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>)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E52721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C8681F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C8681F" w:rsidRPr="00263373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52721">
              <w:rPr>
                <w:sz w:val="16"/>
                <w:szCs w:val="18"/>
                <w:shd w:val="clear" w:color="auto" w:fill="FFFFFF"/>
              </w:rPr>
              <w:t>V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C8681F" w:rsidRPr="009D4C87" w:rsidRDefault="009D4C87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</w:t>
            </w:r>
            <w:r w:rsidR="0073256C" w:rsidRPr="009D4C87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9D4C87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73256C" w:rsidRPr="009D4C87">
              <w:rPr>
                <w:b/>
                <w:sz w:val="16"/>
                <w:szCs w:val="18"/>
                <w:shd w:val="clear" w:color="auto" w:fill="FFFFFF"/>
              </w:rPr>
              <w:t>7,</w:t>
            </w:r>
            <w:r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C8681F" w:rsidRPr="00DD58F4" w:rsidRDefault="00DD58F4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</w:t>
            </w:r>
            <w:r w:rsidR="0073256C" w:rsidRPr="00DD58F4">
              <w:rPr>
                <w:b/>
                <w:sz w:val="16"/>
                <w:szCs w:val="18"/>
                <w:shd w:val="clear" w:color="auto" w:fill="FFFFFF"/>
              </w:rPr>
              <w:t>,</w:t>
            </w:r>
            <w:r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73256C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9D4C87"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9D4C87"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Pr="009D4C87"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9D4C87"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A75AD0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Górnictwo i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417" w:type="dxa"/>
            <w:vAlign w:val="center"/>
          </w:tcPr>
          <w:p w:rsidR="00C8681F" w:rsidRPr="009D4C87" w:rsidRDefault="009D4C87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73256C"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:rsidR="00C8681F" w:rsidRPr="009D4C87" w:rsidRDefault="009D4C87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73256C"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27" w:type="dxa"/>
            <w:vAlign w:val="center"/>
          </w:tcPr>
          <w:p w:rsidR="00C8681F" w:rsidRPr="00DD58F4" w:rsidRDefault="00241F69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DD58F4">
              <w:rPr>
                <w:sz w:val="16"/>
                <w:szCs w:val="18"/>
                <w:shd w:val="clear" w:color="auto" w:fill="FFFFFF"/>
              </w:rPr>
              <w:t>92,</w:t>
            </w:r>
            <w:r w:rsidR="00DD58F4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278" w:type="dxa"/>
            <w:vAlign w:val="center"/>
          </w:tcPr>
          <w:p w:rsidR="00C8681F" w:rsidRPr="009D4C87" w:rsidRDefault="0073256C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10</w:t>
            </w:r>
            <w:r w:rsidR="009D4C87">
              <w:rPr>
                <w:sz w:val="16"/>
                <w:szCs w:val="18"/>
                <w:shd w:val="clear" w:color="auto" w:fill="FFFFFF"/>
              </w:rPr>
              <w:t>5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 w:rsidR="009D4C87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9D4C87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</w:t>
            </w:r>
            <w:r w:rsidR="0073256C"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:rsidR="00C8681F" w:rsidRPr="009D4C87" w:rsidRDefault="009D4C87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</w:t>
            </w:r>
            <w:r w:rsidR="0073256C"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27" w:type="dxa"/>
            <w:vAlign w:val="center"/>
          </w:tcPr>
          <w:p w:rsidR="00C8681F" w:rsidRPr="00DD58F4" w:rsidRDefault="00241F69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DD58F4">
              <w:rPr>
                <w:sz w:val="16"/>
                <w:szCs w:val="18"/>
                <w:shd w:val="clear" w:color="auto" w:fill="FFFFFF"/>
              </w:rPr>
              <w:t>1</w:t>
            </w:r>
            <w:r w:rsidR="00DD58F4">
              <w:rPr>
                <w:sz w:val="16"/>
                <w:szCs w:val="18"/>
                <w:shd w:val="clear" w:color="auto" w:fill="FFFFFF"/>
              </w:rPr>
              <w:t>18</w:t>
            </w:r>
            <w:r w:rsidRPr="00DD58F4">
              <w:rPr>
                <w:sz w:val="16"/>
                <w:szCs w:val="18"/>
                <w:shd w:val="clear" w:color="auto" w:fill="FFFFFF"/>
              </w:rPr>
              <w:t>,6</w:t>
            </w:r>
          </w:p>
        </w:tc>
        <w:tc>
          <w:tcPr>
            <w:tcW w:w="1278" w:type="dxa"/>
            <w:vAlign w:val="center"/>
          </w:tcPr>
          <w:p w:rsidR="00C8681F" w:rsidRPr="009D4C87" w:rsidRDefault="0073256C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10</w:t>
            </w:r>
            <w:r w:rsidR="009D4C87">
              <w:rPr>
                <w:sz w:val="16"/>
                <w:szCs w:val="18"/>
                <w:shd w:val="clear" w:color="auto" w:fill="FFFFFF"/>
              </w:rPr>
              <w:t>5</w:t>
            </w:r>
            <w:r w:rsidRPr="009D4C87">
              <w:rPr>
                <w:sz w:val="16"/>
                <w:szCs w:val="18"/>
                <w:shd w:val="clear" w:color="auto" w:fill="FFFFFF"/>
              </w:rPr>
              <w:t>,3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  <w:vertAlign w:val="superscript"/>
              </w:rPr>
              <w:t>.</w:t>
            </w:r>
          </w:p>
        </w:tc>
        <w:tc>
          <w:tcPr>
            <w:tcW w:w="1417" w:type="dxa"/>
            <w:vAlign w:val="center"/>
          </w:tcPr>
          <w:p w:rsidR="00C8681F" w:rsidRPr="009D4C87" w:rsidRDefault="0073256C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9</w:t>
            </w:r>
            <w:r w:rsidR="009D4C87">
              <w:rPr>
                <w:sz w:val="16"/>
                <w:szCs w:val="18"/>
                <w:shd w:val="clear" w:color="auto" w:fill="FFFFFF"/>
              </w:rPr>
              <w:t>7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 w:rsidR="009D4C87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418" w:type="dxa"/>
            <w:vAlign w:val="center"/>
          </w:tcPr>
          <w:p w:rsidR="00C8681F" w:rsidRPr="009D4C87" w:rsidRDefault="0073256C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10</w:t>
            </w:r>
            <w:r w:rsidR="009D4C87">
              <w:rPr>
                <w:sz w:val="16"/>
                <w:szCs w:val="18"/>
                <w:shd w:val="clear" w:color="auto" w:fill="FFFFFF"/>
              </w:rPr>
              <w:t>5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 w:rsidR="009D4C87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27" w:type="dxa"/>
            <w:vAlign w:val="center"/>
          </w:tcPr>
          <w:p w:rsidR="00C8681F" w:rsidRPr="00DD58F4" w:rsidRDefault="00241F69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DD58F4">
              <w:rPr>
                <w:sz w:val="16"/>
                <w:szCs w:val="18"/>
                <w:shd w:val="clear" w:color="auto" w:fill="FFFFFF"/>
              </w:rPr>
              <w:t>9</w:t>
            </w:r>
            <w:r w:rsidR="00DD58F4">
              <w:rPr>
                <w:sz w:val="16"/>
                <w:szCs w:val="18"/>
                <w:shd w:val="clear" w:color="auto" w:fill="FFFFFF"/>
              </w:rPr>
              <w:t>4</w:t>
            </w:r>
            <w:r w:rsidRPr="00DD58F4">
              <w:rPr>
                <w:sz w:val="16"/>
                <w:szCs w:val="18"/>
                <w:shd w:val="clear" w:color="auto" w:fill="FFFFFF"/>
              </w:rPr>
              <w:t>,6</w:t>
            </w:r>
          </w:p>
        </w:tc>
        <w:tc>
          <w:tcPr>
            <w:tcW w:w="1278" w:type="dxa"/>
            <w:vAlign w:val="center"/>
          </w:tcPr>
          <w:p w:rsidR="00C8681F" w:rsidRPr="009D4C87" w:rsidRDefault="009D4C87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</w:t>
            </w:r>
            <w:r w:rsidR="0073256C"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C8681F" w:rsidRPr="00FE2F2B" w:rsidTr="00761179">
        <w:trPr>
          <w:trHeight w:val="624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9D4C87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 w:rsidR="0073256C" w:rsidRPr="009D4C87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vAlign w:val="center"/>
          </w:tcPr>
          <w:p w:rsidR="00C8681F" w:rsidRPr="009D4C87" w:rsidRDefault="0073256C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10</w:t>
            </w:r>
            <w:r w:rsidR="009D4C87">
              <w:rPr>
                <w:sz w:val="16"/>
                <w:szCs w:val="18"/>
                <w:shd w:val="clear" w:color="auto" w:fill="FFFFFF"/>
              </w:rPr>
              <w:t>2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 w:rsidR="009D4C87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27" w:type="dxa"/>
            <w:vAlign w:val="center"/>
          </w:tcPr>
          <w:p w:rsidR="00C8681F" w:rsidRPr="00DD58F4" w:rsidRDefault="00241F69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DD58F4">
              <w:rPr>
                <w:sz w:val="16"/>
                <w:szCs w:val="18"/>
                <w:shd w:val="clear" w:color="auto" w:fill="FFFFFF"/>
              </w:rPr>
              <w:t>12</w:t>
            </w:r>
            <w:r w:rsidR="00DD58F4">
              <w:rPr>
                <w:sz w:val="16"/>
                <w:szCs w:val="18"/>
                <w:shd w:val="clear" w:color="auto" w:fill="FFFFFF"/>
              </w:rPr>
              <w:t>1</w:t>
            </w:r>
            <w:r w:rsidRPr="00DD58F4">
              <w:rPr>
                <w:sz w:val="16"/>
                <w:szCs w:val="18"/>
                <w:shd w:val="clear" w:color="auto" w:fill="FFFFFF"/>
              </w:rPr>
              <w:t>,</w:t>
            </w:r>
            <w:r w:rsidR="00DD58F4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278" w:type="dxa"/>
            <w:vAlign w:val="center"/>
          </w:tcPr>
          <w:p w:rsidR="00C8681F" w:rsidRPr="009D4C87" w:rsidRDefault="0073256C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D4C87">
              <w:rPr>
                <w:sz w:val="16"/>
                <w:szCs w:val="18"/>
                <w:shd w:val="clear" w:color="auto" w:fill="FFFFFF"/>
              </w:rPr>
              <w:t>1</w:t>
            </w:r>
            <w:r w:rsidR="009D4C87">
              <w:rPr>
                <w:sz w:val="16"/>
                <w:szCs w:val="18"/>
                <w:shd w:val="clear" w:color="auto" w:fill="FFFFFF"/>
              </w:rPr>
              <w:t>09</w:t>
            </w:r>
            <w:r w:rsidRPr="009D4C87">
              <w:rPr>
                <w:sz w:val="16"/>
                <w:szCs w:val="18"/>
                <w:shd w:val="clear" w:color="auto" w:fill="FFFFFF"/>
              </w:rPr>
              <w:t>,</w:t>
            </w:r>
            <w:r w:rsidR="009D4C87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</w:tbl>
    <w:p w:rsidR="004B7D05" w:rsidRPr="00CA06D6" w:rsidRDefault="004B7D05" w:rsidP="00CA06D6">
      <w:pPr>
        <w:spacing w:before="0" w:after="0"/>
        <w:rPr>
          <w:sz w:val="12"/>
          <w:shd w:val="clear" w:color="auto" w:fill="FFFFFF"/>
        </w:rPr>
      </w:pPr>
    </w:p>
    <w:p w:rsidR="00761179" w:rsidRDefault="00761179" w:rsidP="00364866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C8681F" w:rsidRPr="00E81AF2" w:rsidRDefault="00761179" w:rsidP="002A0223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i/>
          <w:sz w:val="16"/>
          <w:szCs w:val="16"/>
          <w:shd w:val="clear" w:color="auto" w:fill="FFFFFF"/>
          <w:vertAlign w:val="superscript"/>
        </w:rPr>
        <w:t>a</w:t>
      </w:r>
      <w:r w:rsidR="00C8681F"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="00C8681F" w:rsidRPr="00E81AF2">
        <w:rPr>
          <w:sz w:val="16"/>
          <w:szCs w:val="16"/>
          <w:shd w:val="clear" w:color="auto" w:fill="FFFFFF"/>
        </w:rPr>
        <w:t xml:space="preserve">Dane z uwzględnieniem ostatecznych informacji o </w:t>
      </w:r>
      <w:r w:rsidR="00241F69" w:rsidRPr="00E81AF2">
        <w:rPr>
          <w:sz w:val="16"/>
          <w:szCs w:val="16"/>
          <w:shd w:val="clear" w:color="auto" w:fill="FFFFFF"/>
        </w:rPr>
        <w:t>produkcji i cenach</w:t>
      </w:r>
      <w:r w:rsidR="00364866">
        <w:rPr>
          <w:sz w:val="16"/>
          <w:szCs w:val="16"/>
          <w:shd w:val="clear" w:color="auto" w:fill="FFFFFF"/>
        </w:rPr>
        <w:t xml:space="preserve"> w </w:t>
      </w:r>
      <w:r w:rsidR="008961BF">
        <w:rPr>
          <w:sz w:val="16"/>
          <w:szCs w:val="16"/>
          <w:shd w:val="clear" w:color="auto" w:fill="FFFFFF"/>
        </w:rPr>
        <w:t>maju</w:t>
      </w:r>
      <w:r w:rsidR="00364866">
        <w:rPr>
          <w:sz w:val="16"/>
          <w:szCs w:val="16"/>
          <w:shd w:val="clear" w:color="auto" w:fill="FFFFFF"/>
        </w:rPr>
        <w:t xml:space="preserve"> oraz meldunkowych </w:t>
      </w:r>
      <w:r w:rsidR="00241F69" w:rsidRPr="00E81AF2">
        <w:rPr>
          <w:sz w:val="16"/>
          <w:szCs w:val="16"/>
          <w:shd w:val="clear" w:color="auto" w:fill="FFFFFF"/>
        </w:rPr>
        <w:t xml:space="preserve">w </w:t>
      </w:r>
      <w:r w:rsidR="008961BF">
        <w:rPr>
          <w:sz w:val="16"/>
          <w:szCs w:val="16"/>
          <w:shd w:val="clear" w:color="auto" w:fill="FFFFFF"/>
        </w:rPr>
        <w:t>czerwcu</w:t>
      </w:r>
      <w:r w:rsidR="00C8681F" w:rsidRPr="00E81AF2">
        <w:rPr>
          <w:sz w:val="16"/>
          <w:szCs w:val="16"/>
          <w:shd w:val="clear" w:color="auto" w:fill="FFFFFF"/>
        </w:rPr>
        <w:t>.</w:t>
      </w:r>
    </w:p>
    <w:p w:rsidR="00FE2F2B" w:rsidRDefault="00FE2F2B" w:rsidP="002A0223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E81AF2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C8681F" w:rsidRPr="00E81AF2">
        <w:rPr>
          <w:sz w:val="16"/>
          <w:szCs w:val="16"/>
          <w:shd w:val="clear" w:color="auto" w:fill="FFFFFF"/>
        </w:rPr>
        <w:t>Nazwa skrócona według PKD 200</w:t>
      </w:r>
      <w:r w:rsidR="008D1C22" w:rsidRPr="00E81AF2">
        <w:rPr>
          <w:sz w:val="16"/>
          <w:szCs w:val="16"/>
          <w:shd w:val="clear" w:color="auto" w:fill="FFFFFF"/>
        </w:rPr>
        <w:t>7</w:t>
      </w:r>
    </w:p>
    <w:p w:rsidR="00ED01FD" w:rsidRDefault="00ED01FD" w:rsidP="0036486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:rsidR="00761179" w:rsidRPr="00D364A7" w:rsidRDefault="00761179" w:rsidP="00761179">
      <w:pPr>
        <w:suppressAutoHyphens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2BDDCA7" wp14:editId="28C6E7A2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79" w:rsidRPr="007B06A0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których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spadek,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Pr="007B0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76,0%</w:t>
                            </w:r>
                          </w:p>
                          <w:p w:rsidR="00761179" w:rsidRPr="00D616D2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DCA7" id="Pole tekstowe 10" o:spid="_x0000_s1029" type="#_x0000_t202" style="position:absolute;margin-left:411.75pt;margin-top:.95pt;width:136.45pt;height:66.7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" filled="f" stroked="f">
                <v:textbox>
                  <w:txbxContent>
                    <w:p w:rsidR="00761179" w:rsidRPr="007B06A0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których 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spadek,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Pr="007B0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76,0%</w:t>
                      </w:r>
                    </w:p>
                    <w:p w:rsidR="00761179" w:rsidRPr="00D616D2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055A7">
        <w:rPr>
          <w:shd w:val="clear" w:color="auto" w:fill="FFFFFF"/>
        </w:rPr>
        <w:t xml:space="preserve">Według wstępnych danych </w:t>
      </w:r>
      <w:r>
        <w:rPr>
          <w:shd w:val="clear" w:color="auto" w:fill="FFFFFF"/>
        </w:rPr>
        <w:t>w czerwcu br</w:t>
      </w:r>
      <w:r w:rsidRPr="001055A7">
        <w:rPr>
          <w:shd w:val="clear" w:color="auto" w:fill="FFFFFF"/>
        </w:rPr>
        <w:t>.</w:t>
      </w:r>
      <w:r>
        <w:rPr>
          <w:shd w:val="clear" w:color="auto" w:fill="FFFFFF"/>
        </w:rPr>
        <w:t>, w</w:t>
      </w:r>
      <w:r w:rsidRPr="001055A7">
        <w:rPr>
          <w:shd w:val="clear" w:color="auto" w:fill="FFFFFF"/>
        </w:rPr>
        <w:t xml:space="preserve"> stosunku do </w:t>
      </w:r>
      <w:r>
        <w:rPr>
          <w:shd w:val="clear" w:color="auto" w:fill="FFFFFF"/>
        </w:rPr>
        <w:t>czerwca ub. roku,</w:t>
      </w:r>
      <w:r w:rsidRPr="001055A7">
        <w:rPr>
          <w:shd w:val="clear" w:color="auto" w:fill="FFFFFF"/>
        </w:rPr>
        <w:t xml:space="preserve"> </w:t>
      </w:r>
      <w:r>
        <w:rPr>
          <w:shd w:val="clear" w:color="auto" w:fill="FFFFFF"/>
        </w:rPr>
        <w:t>spadek</w:t>
      </w:r>
      <w:r w:rsidRPr="001055A7">
        <w:rPr>
          <w:shd w:val="clear" w:color="auto" w:fill="FFFFFF"/>
        </w:rPr>
        <w:t xml:space="preserve"> produkcji sprzedanej </w:t>
      </w:r>
      <w:r w:rsidR="00CA06D6">
        <w:rPr>
          <w:shd w:val="clear" w:color="auto" w:fill="FFFFFF"/>
        </w:rPr>
        <w:t xml:space="preserve">(w cenach stałych) </w:t>
      </w:r>
      <w:r w:rsidRPr="001055A7">
        <w:rPr>
          <w:shd w:val="clear" w:color="auto" w:fill="FFFFFF"/>
        </w:rPr>
        <w:t xml:space="preserve">odnotowano w </w:t>
      </w:r>
      <w:r>
        <w:rPr>
          <w:shd w:val="clear" w:color="auto" w:fill="FFFFFF"/>
        </w:rPr>
        <w:t>20</w:t>
      </w:r>
      <w:r w:rsidRPr="00466F54">
        <w:rPr>
          <w:shd w:val="clear" w:color="auto" w:fill="FFFFFF"/>
        </w:rPr>
        <w:t xml:space="preserve"> (spośród 34) działach przemysłu, m.in. w</w:t>
      </w:r>
      <w:r w:rsidR="002A0223">
        <w:rPr>
          <w:shd w:val="clear" w:color="auto" w:fill="FFFFFF"/>
        </w:rPr>
        <w:t> </w:t>
      </w:r>
      <w:r>
        <w:rPr>
          <w:shd w:val="clear" w:color="auto" w:fill="FFFFFF"/>
        </w:rPr>
        <w:t xml:space="preserve">produkcji odzieży – 13,5%, metali </w:t>
      </w:r>
      <w:r w:rsidRPr="00D63B1C">
        <w:rPr>
          <w:noProof/>
          <w:spacing w:val="-2"/>
          <w:szCs w:val="19"/>
          <w:lang w:eastAsia="pl-PL"/>
        </w:rPr>
        <w:t>–</w:t>
      </w:r>
      <w:r>
        <w:rPr>
          <w:noProof/>
          <w:spacing w:val="-2"/>
          <w:szCs w:val="19"/>
          <w:lang w:eastAsia="pl-PL"/>
        </w:rPr>
        <w:t xml:space="preserve"> </w:t>
      </w:r>
      <w:r>
        <w:rPr>
          <w:shd w:val="clear" w:color="auto" w:fill="FFFFFF"/>
        </w:rPr>
        <w:t>o 11,1%,</w:t>
      </w:r>
      <w:r w:rsidRPr="0060685D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</w:t>
      </w:r>
      <w:r w:rsidRPr="001055A7">
        <w:rPr>
          <w:shd w:val="clear" w:color="auto" w:fill="FFFFFF"/>
        </w:rPr>
        <w:t>wydobywaniu wę</w:t>
      </w:r>
      <w:r>
        <w:rPr>
          <w:shd w:val="clear" w:color="auto" w:fill="FFFFFF"/>
        </w:rPr>
        <w:t xml:space="preserve">gla kamiennego i brunatnego </w:t>
      </w:r>
      <w:r w:rsidRPr="00D63B1C">
        <w:rPr>
          <w:noProof/>
          <w:spacing w:val="-2"/>
          <w:szCs w:val="19"/>
          <w:lang w:eastAsia="pl-PL"/>
        </w:rPr>
        <w:t>–</w:t>
      </w:r>
      <w:r>
        <w:rPr>
          <w:shd w:val="clear" w:color="auto" w:fill="FFFFFF"/>
        </w:rPr>
        <w:t xml:space="preserve"> o 10,7%,</w:t>
      </w:r>
      <w:r w:rsidRPr="00723FB3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produkcji pojazdów samochodowych, przyczep i naczep – o 8,5%, wyrobów z pozostałych mineralnych surowców niemetalicznych – o 7,4%, mebli – o 6,2%, wyrobów z drewna, korka, słomy i wikliny – o 6,0%. Wzrost</w:t>
      </w:r>
      <w:r w:rsidRPr="00466F54">
        <w:rPr>
          <w:shd w:val="clear" w:color="auto" w:fill="FFFFFF"/>
        </w:rPr>
        <w:t xml:space="preserve"> produkcji sprzedanej przemysłu, w</w:t>
      </w:r>
      <w:r w:rsidR="002A0223">
        <w:rPr>
          <w:shd w:val="clear" w:color="auto" w:fill="FFFFFF"/>
        </w:rPr>
        <w:t> </w:t>
      </w:r>
      <w:r w:rsidRPr="00466F54">
        <w:rPr>
          <w:shd w:val="clear" w:color="auto" w:fill="FFFFFF"/>
        </w:rPr>
        <w:t xml:space="preserve">porównaniu </w:t>
      </w:r>
      <w:r>
        <w:rPr>
          <w:shd w:val="clear" w:color="auto" w:fill="FFFFFF"/>
        </w:rPr>
        <w:t>z czerwcem</w:t>
      </w:r>
      <w:r w:rsidRPr="00466F54">
        <w:rPr>
          <w:shd w:val="clear" w:color="auto" w:fill="FFFFFF"/>
        </w:rPr>
        <w:t xml:space="preserve"> </w:t>
      </w:r>
      <w:r>
        <w:rPr>
          <w:shd w:val="clear" w:color="auto" w:fill="FFFFFF"/>
        </w:rPr>
        <w:t>ub. roku,</w:t>
      </w:r>
      <w:r w:rsidRPr="00466F54">
        <w:rPr>
          <w:shd w:val="clear" w:color="auto" w:fill="FFFFFF"/>
        </w:rPr>
        <w:t xml:space="preserve"> wystąpił w </w:t>
      </w:r>
      <w:r>
        <w:rPr>
          <w:shd w:val="clear" w:color="auto" w:fill="FFFFFF"/>
        </w:rPr>
        <w:t>14</w:t>
      </w:r>
      <w:r w:rsidRPr="00466F54">
        <w:rPr>
          <w:shd w:val="clear" w:color="auto" w:fill="FFFFFF"/>
        </w:rPr>
        <w:t xml:space="preserve"> działach</w:t>
      </w:r>
      <w:r>
        <w:rPr>
          <w:shd w:val="clear" w:color="auto" w:fill="FFFFFF"/>
        </w:rPr>
        <w:t>, m.in.</w:t>
      </w:r>
      <w:r w:rsidRPr="00466F54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produkcji pozostałego sprzętu transportowego – o 11,1%,</w:t>
      </w:r>
      <w:r w:rsidRPr="0060685D">
        <w:rPr>
          <w:shd w:val="clear" w:color="auto" w:fill="FFFFFF"/>
        </w:rPr>
        <w:t xml:space="preserve"> </w:t>
      </w:r>
      <w:r>
        <w:rPr>
          <w:shd w:val="clear" w:color="auto" w:fill="FFFFFF"/>
        </w:rPr>
        <w:t>napojów – o 6,6%, komputerów, wyrobów elektronicznych i</w:t>
      </w:r>
      <w:r w:rsidR="002A0223">
        <w:rPr>
          <w:shd w:val="clear" w:color="auto" w:fill="FFFFFF"/>
        </w:rPr>
        <w:t> </w:t>
      </w:r>
      <w:r>
        <w:rPr>
          <w:shd w:val="clear" w:color="auto" w:fill="FFFFFF"/>
        </w:rPr>
        <w:t>optycznych – o 3,5</w:t>
      </w:r>
      <w:r w:rsidRPr="00466F54">
        <w:rPr>
          <w:shd w:val="clear" w:color="auto" w:fill="FFFFFF"/>
        </w:rPr>
        <w:t>%</w:t>
      </w:r>
      <w:r>
        <w:rPr>
          <w:shd w:val="clear" w:color="auto" w:fill="FFFFFF"/>
        </w:rPr>
        <w:t>, urządzeń elektrycznych – o 2,7%.</w:t>
      </w:r>
      <w:r w:rsidRPr="00723FB3">
        <w:rPr>
          <w:shd w:val="clear" w:color="auto" w:fill="FFFFFF"/>
        </w:rPr>
        <w:t xml:space="preserve"> </w:t>
      </w:r>
    </w:p>
    <w:p w:rsidR="00761179" w:rsidRDefault="00761179" w:rsidP="00761179">
      <w:pPr>
        <w:spacing w:before="0" w:after="0"/>
        <w:rPr>
          <w:rFonts w:eastAsia="Calibri" w:cs="Times New Roman"/>
        </w:rPr>
      </w:pPr>
    </w:p>
    <w:p w:rsidR="00761179" w:rsidRDefault="00761179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 w:rsidRPr="0070168F">
        <w:rPr>
          <w:b/>
          <w:sz w:val="18"/>
          <w:szCs w:val="18"/>
          <w:shd w:val="clear" w:color="auto" w:fill="FFFFFF"/>
        </w:rPr>
        <w:t xml:space="preserve">Wykres </w:t>
      </w:r>
      <w:r>
        <w:rPr>
          <w:b/>
          <w:sz w:val="18"/>
          <w:szCs w:val="18"/>
          <w:shd w:val="clear" w:color="auto" w:fill="FFFFFF"/>
        </w:rPr>
        <w:t>2</w:t>
      </w:r>
      <w:r w:rsidRPr="00F840E9">
        <w:rPr>
          <w:b/>
          <w:sz w:val="18"/>
          <w:szCs w:val="18"/>
          <w:shd w:val="clear" w:color="auto" w:fill="FFFFFF"/>
        </w:rPr>
        <w:t xml:space="preserve">. Dynamika produkcji sprzedanej przemysłu </w:t>
      </w:r>
      <w:r>
        <w:rPr>
          <w:b/>
          <w:sz w:val="18"/>
          <w:szCs w:val="18"/>
          <w:shd w:val="clear" w:color="auto" w:fill="FFFFFF"/>
        </w:rPr>
        <w:t xml:space="preserve">według wybranych działów PKD </w:t>
      </w:r>
      <w:r w:rsidRPr="00F840E9">
        <w:rPr>
          <w:b/>
          <w:sz w:val="18"/>
          <w:szCs w:val="18"/>
          <w:shd w:val="clear" w:color="auto" w:fill="FFFFFF"/>
        </w:rPr>
        <w:t>(ceny stałe</w:t>
      </w:r>
      <w:r>
        <w:rPr>
          <w:b/>
          <w:sz w:val="18"/>
          <w:szCs w:val="18"/>
          <w:shd w:val="clear" w:color="auto" w:fill="FFFFFF"/>
        </w:rPr>
        <w:t>;</w:t>
      </w:r>
    </w:p>
    <w:p w:rsidR="00761179" w:rsidRDefault="00CA06D6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223520</wp:posOffset>
            </wp:positionV>
            <wp:extent cx="5113020" cy="3343275"/>
            <wp:effectExtent l="0" t="0" r="0" b="0"/>
            <wp:wrapTopAndBottom/>
            <wp:docPr id="13" name="Wykres 1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179">
        <w:rPr>
          <w:b/>
          <w:sz w:val="18"/>
          <w:szCs w:val="18"/>
          <w:shd w:val="clear" w:color="auto" w:fill="FFFFFF"/>
        </w:rPr>
        <w:t xml:space="preserve">                   poprzedni rok=100</w:t>
      </w:r>
      <w:r w:rsidR="00761179" w:rsidRPr="00F840E9">
        <w:rPr>
          <w:b/>
          <w:sz w:val="18"/>
          <w:szCs w:val="18"/>
          <w:shd w:val="clear" w:color="auto" w:fill="FFFFFF"/>
        </w:rPr>
        <w:t>)</w:t>
      </w:r>
    </w:p>
    <w:p w:rsidR="00ED01FD" w:rsidRDefault="00ED01FD" w:rsidP="0036486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:rsidR="00E3072E" w:rsidRPr="00E81AF2" w:rsidRDefault="00E3072E" w:rsidP="00364866">
      <w:pPr>
        <w:spacing w:before="0" w:after="0" w:line="240" w:lineRule="auto"/>
        <w:rPr>
          <w:sz w:val="16"/>
          <w:szCs w:val="16"/>
          <w:shd w:val="clear" w:color="auto" w:fill="FFFFFF"/>
        </w:rPr>
        <w:sectPr w:rsidR="00E3072E" w:rsidRPr="00E81AF2" w:rsidSect="00B06BC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C8681F" w:rsidRPr="00F449BE" w:rsidTr="00935EC5">
        <w:trPr>
          <w:trHeight w:val="1344"/>
        </w:trPr>
        <w:tc>
          <w:tcPr>
            <w:tcW w:w="4218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 xml:space="preserve">Beata Kaczorowska 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C8681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364866" w:rsidRPr="00D95EEA">
              <w:rPr>
                <w:rFonts w:cs="Arial"/>
                <w:color w:val="000000" w:themeColor="text1"/>
                <w:sz w:val="20"/>
                <w:lang w:val="en-US"/>
              </w:rPr>
              <w:t xml:space="preserve"> 608 34</w:t>
            </w:r>
            <w:r w:rsidRPr="00D95EEA">
              <w:rPr>
                <w:rFonts w:cs="Arial"/>
                <w:color w:val="000000" w:themeColor="text1"/>
                <w:sz w:val="20"/>
                <w:lang w:val="en-US"/>
              </w:rPr>
              <w:t>16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0168F">
              <w:rPr>
                <w:rFonts w:cs="Arial"/>
                <w:b/>
                <w:color w:val="000000" w:themeColor="text1"/>
                <w:sz w:val="20"/>
                <w:lang w:val="en-US"/>
              </w:rPr>
              <w:t>e-mail</w:t>
            </w:r>
            <w:r w:rsidRPr="0070168F">
              <w:rPr>
                <w:rFonts w:cs="Arial"/>
                <w:b/>
                <w:sz w:val="20"/>
                <w:lang w:val="en-US"/>
              </w:rPr>
              <w:t xml:space="preserve">: </w:t>
            </w:r>
            <w:hyperlink r:id="rId18" w:history="1">
              <w:r w:rsidRPr="00E81AF2">
                <w:rPr>
                  <w:rFonts w:cs="Arial"/>
                  <w:b/>
                  <w:sz w:val="20"/>
                  <w:u w:val="single"/>
                  <w:lang w:val="en-US"/>
                </w:rPr>
                <w:t>B.Kaczorowska@stat.gov.pl</w:t>
              </w:r>
            </w:hyperlink>
            <w:r w:rsidRPr="00C8681F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C8681F">
              <w:rPr>
                <w:rFonts w:cs="Arial"/>
                <w:color w:val="000000" w:themeColor="text1"/>
                <w:sz w:val="20"/>
              </w:rPr>
              <w:br/>
            </w:r>
            <w:r w:rsidRPr="00C868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C8681F" w:rsidRPr="00C8681F" w:rsidRDefault="00E81AF2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3475, 22 608 30</w:t>
            </w:r>
            <w:r w:rsidR="00C8681F" w:rsidRPr="00C8681F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09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C8681F">
                <w:rPr>
                  <w:rFonts w:eastAsiaTheme="majorEastAsia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:rsidR="00C8681F" w:rsidRPr="00C8681F" w:rsidRDefault="00C8681F" w:rsidP="00C8681F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8681F" w:rsidRPr="00C8681F" w:rsidTr="00935EC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8681F" w:rsidRPr="00C8681F" w:rsidRDefault="00C8681F" w:rsidP="00E81AF2">
            <w:pPr>
              <w:spacing w:before="0" w:after="0" w:line="276" w:lineRule="auto"/>
              <w:rPr>
                <w:b/>
                <w:sz w:val="20"/>
              </w:rPr>
            </w:pPr>
            <w:r w:rsidRPr="00C8681F">
              <w:rPr>
                <w:b/>
                <w:sz w:val="20"/>
              </w:rPr>
              <w:t xml:space="preserve">Wydział Współpracy z Mediami </w:t>
            </w:r>
          </w:p>
          <w:p w:rsidR="00C8681F" w:rsidRPr="00C8681F" w:rsidRDefault="00E81AF2" w:rsidP="00E81AF2">
            <w:pPr>
              <w:spacing w:before="0" w:after="0" w:line="276" w:lineRule="auto"/>
              <w:rPr>
                <w:sz w:val="20"/>
              </w:rPr>
            </w:pPr>
            <w:r w:rsidRPr="00E81AF2">
              <w:rPr>
                <w:sz w:val="20"/>
              </w:rPr>
              <w:t>T</w:t>
            </w:r>
            <w:r w:rsidR="00C8681F" w:rsidRPr="00E81AF2">
              <w:rPr>
                <w:sz w:val="20"/>
              </w:rPr>
              <w:t>el:</w:t>
            </w:r>
            <w:r w:rsidR="00C8681F" w:rsidRPr="00C8681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608 34</w:t>
            </w:r>
            <w:r w:rsidR="00C8681F" w:rsidRPr="00C8681F">
              <w:rPr>
                <w:sz w:val="20"/>
              </w:rPr>
              <w:t xml:space="preserve">91,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608 38</w:t>
            </w:r>
            <w:r w:rsidR="00C8681F" w:rsidRPr="00C8681F">
              <w:rPr>
                <w:sz w:val="20"/>
              </w:rPr>
              <w:t xml:space="preserve">04 </w:t>
            </w:r>
          </w:p>
          <w:p w:rsidR="00C8681F" w:rsidRPr="00C8681F" w:rsidRDefault="00C8681F" w:rsidP="00E81AF2">
            <w:pPr>
              <w:spacing w:before="0" w:after="0" w:line="276" w:lineRule="auto"/>
              <w:rPr>
                <w:sz w:val="18"/>
                <w:lang w:val="en-US"/>
              </w:rPr>
            </w:pPr>
            <w:r w:rsidRPr="00C8681F">
              <w:rPr>
                <w:b/>
                <w:sz w:val="20"/>
                <w:lang w:val="en-US"/>
              </w:rPr>
              <w:t>e-mail:</w:t>
            </w:r>
            <w:r w:rsidRPr="00C8681F">
              <w:rPr>
                <w:sz w:val="20"/>
                <w:lang w:val="en-US"/>
              </w:rPr>
              <w:t xml:space="preserve"> </w:t>
            </w:r>
            <w:hyperlink r:id="rId20" w:history="1">
              <w:r w:rsidRPr="00364866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  <w:lang w:val="en-US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0E85E15" wp14:editId="7D6E1B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8681F" w:rsidRPr="00364866" w:rsidRDefault="005108FB" w:rsidP="00E81AF2">
            <w:pPr>
              <w:rPr>
                <w:sz w:val="20"/>
                <w:szCs w:val="20"/>
              </w:rPr>
            </w:pPr>
            <w:hyperlink r:id="rId22" w:history="1">
              <w:r w:rsidR="00E81AF2" w:rsidRPr="003648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4332EB2" wp14:editId="3A93080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sz w:val="20"/>
              </w:rPr>
              <w:t>@GUS_STAT</w:t>
            </w:r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5A8CD10" wp14:editId="27CFBF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20"/>
              </w:rPr>
            </w:pPr>
            <w:r w:rsidRPr="00C8681F">
              <w:rPr>
                <w:sz w:val="20"/>
              </w:rPr>
              <w:t>@GlownyUrzadStatystyczny</w:t>
            </w:r>
          </w:p>
        </w:tc>
      </w:tr>
    </w:tbl>
    <w:p w:rsidR="00C8681F" w:rsidRPr="00C8681F" w:rsidRDefault="00C8681F" w:rsidP="00C8681F">
      <w:pPr>
        <w:rPr>
          <w:sz w:val="18"/>
        </w:rPr>
      </w:pPr>
      <w:r w:rsidRPr="00C8681F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7F9E42E" wp14:editId="78B3B4B7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Biuletyn Statystyczny</w:t>
                              </w:r>
                            </w:hyperlink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6" w:history="1">
                              <w:r w:rsidR="009B6898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Sytuacji społeczno-gospodarcza</w:t>
                              </w:r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kraju</w:t>
                              </w:r>
                            </w:hyperlink>
                          </w:p>
                          <w:p w:rsidR="00C8681F" w:rsidRPr="007C79C9" w:rsidRDefault="005108FB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7" w:history="1"/>
                          </w:p>
                          <w:p w:rsidR="00C8681F" w:rsidRPr="007C79C9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C8681F" w:rsidRPr="00364866" w:rsidRDefault="005108FB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C8681F" w:rsidRPr="007C79C9" w:rsidRDefault="00C8681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3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5108FB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8681F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C8681F" w:rsidRPr="00364866" w:rsidRDefault="005108FB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C8681F" w:rsidRDefault="00C8681F" w:rsidP="00C8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E42E" id="_x0000_s1030" type="#_x0000_t202" style="position:absolute;margin-left:0;margin-top:122.3pt;width:516.5pt;height:402.45pt;z-index:251797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AwfVuPRwIA&#10;AJI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C8681F" w:rsidRDefault="00C8681F" w:rsidP="00C8681F">
                      <w:pPr>
                        <w:rPr>
                          <w:b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Biuletyn Statystyczny</w:t>
                        </w:r>
                      </w:hyperlink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9B6898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Sytuacji społeczno-gospodarcza</w:t>
                        </w:r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kraju</w:t>
                        </w:r>
                      </w:hyperlink>
                    </w:p>
                    <w:p w:rsidR="00C8681F" w:rsidRPr="007C79C9" w:rsidRDefault="000453DA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42" w:history="1"/>
                    </w:p>
                    <w:p w:rsidR="00C8681F" w:rsidRPr="007C79C9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C8681F" w:rsidRPr="00364866" w:rsidRDefault="000453DA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C8681F" w:rsidRPr="007C79C9" w:rsidRDefault="00C8681F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0453DA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50" w:history="1">
                        <w:r w:rsidR="00C8681F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1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C8681F" w:rsidRPr="00364866" w:rsidRDefault="000453DA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C8681F" w:rsidRDefault="00C8681F" w:rsidP="00C8681F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AF0457">
      <w:headerReference w:type="default" r:id="rId55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8FB" w:rsidRDefault="005108FB" w:rsidP="000662E2">
      <w:pPr>
        <w:spacing w:after="0" w:line="240" w:lineRule="auto"/>
      </w:pPr>
      <w:r>
        <w:separator/>
      </w:r>
    </w:p>
  </w:endnote>
  <w:endnote w:type="continuationSeparator" w:id="0">
    <w:p w:rsidR="005108FB" w:rsidRDefault="005108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781770"/>
      <w:docPartObj>
        <w:docPartGallery w:val="Page Numbers (Bottom of Page)"/>
        <w:docPartUnique/>
      </w:docPartObj>
    </w:sdtPr>
    <w:sdtEndPr/>
    <w:sdtContent>
      <w:p w:rsidR="00FE2F2B" w:rsidRDefault="00F9454E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F449BE">
          <w:rPr>
            <w:noProof/>
          </w:rPr>
          <w:t>2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500918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9BE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8FB" w:rsidRDefault="005108FB" w:rsidP="000662E2">
      <w:pPr>
        <w:spacing w:after="0" w:line="240" w:lineRule="auto"/>
      </w:pPr>
      <w:r>
        <w:separator/>
      </w:r>
    </w:p>
  </w:footnote>
  <w:footnote w:type="continuationSeparator" w:id="0">
    <w:p w:rsidR="005108FB" w:rsidRDefault="005108F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2155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126B6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BEEE932" wp14:editId="3774EF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EE93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A12ED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E5272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7.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472D0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E80B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A12ED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E5272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7.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472D0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33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1A7E"/>
    <w:rsid w:val="00013323"/>
    <w:rsid w:val="000152F5"/>
    <w:rsid w:val="0001763A"/>
    <w:rsid w:val="00022514"/>
    <w:rsid w:val="00023FB7"/>
    <w:rsid w:val="00025739"/>
    <w:rsid w:val="000317E7"/>
    <w:rsid w:val="0003409F"/>
    <w:rsid w:val="000360CA"/>
    <w:rsid w:val="00037A14"/>
    <w:rsid w:val="00042EB9"/>
    <w:rsid w:val="00042F32"/>
    <w:rsid w:val="00044AB5"/>
    <w:rsid w:val="000453DA"/>
    <w:rsid w:val="0004582E"/>
    <w:rsid w:val="000470AA"/>
    <w:rsid w:val="00052281"/>
    <w:rsid w:val="0005280B"/>
    <w:rsid w:val="0005545D"/>
    <w:rsid w:val="00057CA1"/>
    <w:rsid w:val="00065A62"/>
    <w:rsid w:val="0006602D"/>
    <w:rsid w:val="000662E2"/>
    <w:rsid w:val="00066883"/>
    <w:rsid w:val="0007220F"/>
    <w:rsid w:val="0007379D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34F7"/>
    <w:rsid w:val="0009394E"/>
    <w:rsid w:val="00095FC9"/>
    <w:rsid w:val="000A0B6C"/>
    <w:rsid w:val="000A32F7"/>
    <w:rsid w:val="000A5EEA"/>
    <w:rsid w:val="000A7B6E"/>
    <w:rsid w:val="000B03FC"/>
    <w:rsid w:val="000B0727"/>
    <w:rsid w:val="000B0A9C"/>
    <w:rsid w:val="000B208F"/>
    <w:rsid w:val="000B3D5D"/>
    <w:rsid w:val="000C0F87"/>
    <w:rsid w:val="000C135D"/>
    <w:rsid w:val="000C1F25"/>
    <w:rsid w:val="000C2B07"/>
    <w:rsid w:val="000C46C2"/>
    <w:rsid w:val="000C5181"/>
    <w:rsid w:val="000C5358"/>
    <w:rsid w:val="000C5397"/>
    <w:rsid w:val="000D1D43"/>
    <w:rsid w:val="000D225C"/>
    <w:rsid w:val="000D2A5C"/>
    <w:rsid w:val="000D34FE"/>
    <w:rsid w:val="000D69AA"/>
    <w:rsid w:val="000D7754"/>
    <w:rsid w:val="000E0918"/>
    <w:rsid w:val="000E3E3B"/>
    <w:rsid w:val="000E6579"/>
    <w:rsid w:val="000F21E9"/>
    <w:rsid w:val="000F40A3"/>
    <w:rsid w:val="000F5DD1"/>
    <w:rsid w:val="001011C3"/>
    <w:rsid w:val="001044B6"/>
    <w:rsid w:val="001055A7"/>
    <w:rsid w:val="001075FF"/>
    <w:rsid w:val="00110D87"/>
    <w:rsid w:val="001123D9"/>
    <w:rsid w:val="001130D6"/>
    <w:rsid w:val="00114DB9"/>
    <w:rsid w:val="00116087"/>
    <w:rsid w:val="00116546"/>
    <w:rsid w:val="00120720"/>
    <w:rsid w:val="001236AC"/>
    <w:rsid w:val="00126B69"/>
    <w:rsid w:val="00130296"/>
    <w:rsid w:val="00134347"/>
    <w:rsid w:val="00135CA6"/>
    <w:rsid w:val="00142340"/>
    <w:rsid w:val="001423B6"/>
    <w:rsid w:val="0014263B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14D6"/>
    <w:rsid w:val="00162325"/>
    <w:rsid w:val="00174419"/>
    <w:rsid w:val="001802BD"/>
    <w:rsid w:val="00180640"/>
    <w:rsid w:val="001834E2"/>
    <w:rsid w:val="001951DA"/>
    <w:rsid w:val="001A013B"/>
    <w:rsid w:val="001A402E"/>
    <w:rsid w:val="001A76A5"/>
    <w:rsid w:val="001B0659"/>
    <w:rsid w:val="001B1424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E4F42"/>
    <w:rsid w:val="001E6093"/>
    <w:rsid w:val="001F023F"/>
    <w:rsid w:val="001F1220"/>
    <w:rsid w:val="002000FB"/>
    <w:rsid w:val="00203959"/>
    <w:rsid w:val="00214694"/>
    <w:rsid w:val="002338F4"/>
    <w:rsid w:val="00233D39"/>
    <w:rsid w:val="002376C0"/>
    <w:rsid w:val="00237B0A"/>
    <w:rsid w:val="00241F69"/>
    <w:rsid w:val="002447FE"/>
    <w:rsid w:val="002538EC"/>
    <w:rsid w:val="002568AB"/>
    <w:rsid w:val="002574F9"/>
    <w:rsid w:val="00261F9C"/>
    <w:rsid w:val="00263373"/>
    <w:rsid w:val="002662C2"/>
    <w:rsid w:val="00272778"/>
    <w:rsid w:val="00276811"/>
    <w:rsid w:val="00282699"/>
    <w:rsid w:val="002839B6"/>
    <w:rsid w:val="002847AA"/>
    <w:rsid w:val="00290365"/>
    <w:rsid w:val="002926DF"/>
    <w:rsid w:val="0029551F"/>
    <w:rsid w:val="00296697"/>
    <w:rsid w:val="002A0223"/>
    <w:rsid w:val="002A48BB"/>
    <w:rsid w:val="002A7A55"/>
    <w:rsid w:val="002B046F"/>
    <w:rsid w:val="002B0472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77C8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F83"/>
    <w:rsid w:val="00331E28"/>
    <w:rsid w:val="00332320"/>
    <w:rsid w:val="00334DDA"/>
    <w:rsid w:val="00337EFE"/>
    <w:rsid w:val="00341D35"/>
    <w:rsid w:val="00343E5F"/>
    <w:rsid w:val="00347D72"/>
    <w:rsid w:val="0035304E"/>
    <w:rsid w:val="00357611"/>
    <w:rsid w:val="00364866"/>
    <w:rsid w:val="00367237"/>
    <w:rsid w:val="0037077F"/>
    <w:rsid w:val="00370F96"/>
    <w:rsid w:val="00373882"/>
    <w:rsid w:val="00375BF0"/>
    <w:rsid w:val="0038300B"/>
    <w:rsid w:val="003837B0"/>
    <w:rsid w:val="003843DB"/>
    <w:rsid w:val="00385FF0"/>
    <w:rsid w:val="00392B74"/>
    <w:rsid w:val="00393761"/>
    <w:rsid w:val="00397D18"/>
    <w:rsid w:val="003A03E6"/>
    <w:rsid w:val="003A1B36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6865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3742"/>
    <w:rsid w:val="003E7DD6"/>
    <w:rsid w:val="003F3148"/>
    <w:rsid w:val="003F4C97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212E7"/>
    <w:rsid w:val="0042446D"/>
    <w:rsid w:val="00424FE7"/>
    <w:rsid w:val="00426D90"/>
    <w:rsid w:val="00427BF8"/>
    <w:rsid w:val="00427FC1"/>
    <w:rsid w:val="00431C02"/>
    <w:rsid w:val="00435C0A"/>
    <w:rsid w:val="00437395"/>
    <w:rsid w:val="004438FC"/>
    <w:rsid w:val="00445047"/>
    <w:rsid w:val="00450D27"/>
    <w:rsid w:val="0045393B"/>
    <w:rsid w:val="00455F39"/>
    <w:rsid w:val="00461FC6"/>
    <w:rsid w:val="00463E39"/>
    <w:rsid w:val="004657FC"/>
    <w:rsid w:val="00466F54"/>
    <w:rsid w:val="00472D0F"/>
    <w:rsid w:val="00473092"/>
    <w:rsid w:val="004733F6"/>
    <w:rsid w:val="00474E69"/>
    <w:rsid w:val="00475544"/>
    <w:rsid w:val="00485D27"/>
    <w:rsid w:val="00486816"/>
    <w:rsid w:val="00491500"/>
    <w:rsid w:val="00494266"/>
    <w:rsid w:val="0049621B"/>
    <w:rsid w:val="004974CF"/>
    <w:rsid w:val="004A0666"/>
    <w:rsid w:val="004B43DE"/>
    <w:rsid w:val="004B5D5B"/>
    <w:rsid w:val="004B7D05"/>
    <w:rsid w:val="004C1895"/>
    <w:rsid w:val="004C36E2"/>
    <w:rsid w:val="004C46FE"/>
    <w:rsid w:val="004C6D40"/>
    <w:rsid w:val="004D7AD5"/>
    <w:rsid w:val="004D7C62"/>
    <w:rsid w:val="004E1477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D96"/>
    <w:rsid w:val="00507FDA"/>
    <w:rsid w:val="005108FB"/>
    <w:rsid w:val="005142C6"/>
    <w:rsid w:val="005157E9"/>
    <w:rsid w:val="005179B5"/>
    <w:rsid w:val="005203F1"/>
    <w:rsid w:val="0052161D"/>
    <w:rsid w:val="00521BC3"/>
    <w:rsid w:val="00523A44"/>
    <w:rsid w:val="00523F50"/>
    <w:rsid w:val="0052546F"/>
    <w:rsid w:val="00531AB5"/>
    <w:rsid w:val="00533632"/>
    <w:rsid w:val="00536822"/>
    <w:rsid w:val="0054251F"/>
    <w:rsid w:val="00547DD0"/>
    <w:rsid w:val="00550618"/>
    <w:rsid w:val="005506A2"/>
    <w:rsid w:val="00550FFC"/>
    <w:rsid w:val="005520D8"/>
    <w:rsid w:val="0055617E"/>
    <w:rsid w:val="00556CF1"/>
    <w:rsid w:val="00561867"/>
    <w:rsid w:val="00563C76"/>
    <w:rsid w:val="005645ED"/>
    <w:rsid w:val="005722E0"/>
    <w:rsid w:val="00575940"/>
    <w:rsid w:val="00575D28"/>
    <w:rsid w:val="005762A7"/>
    <w:rsid w:val="00581325"/>
    <w:rsid w:val="00586611"/>
    <w:rsid w:val="005871A3"/>
    <w:rsid w:val="005916D7"/>
    <w:rsid w:val="00591EBB"/>
    <w:rsid w:val="005A2411"/>
    <w:rsid w:val="005A2E64"/>
    <w:rsid w:val="005A3C29"/>
    <w:rsid w:val="005A5994"/>
    <w:rsid w:val="005A698C"/>
    <w:rsid w:val="005B294A"/>
    <w:rsid w:val="005B347F"/>
    <w:rsid w:val="005C63F1"/>
    <w:rsid w:val="005E0799"/>
    <w:rsid w:val="005E726F"/>
    <w:rsid w:val="005E7AA5"/>
    <w:rsid w:val="005F1E67"/>
    <w:rsid w:val="005F5A80"/>
    <w:rsid w:val="0060323D"/>
    <w:rsid w:val="00603C52"/>
    <w:rsid w:val="00603D6E"/>
    <w:rsid w:val="006044FF"/>
    <w:rsid w:val="006046C1"/>
    <w:rsid w:val="0060685D"/>
    <w:rsid w:val="00607CC5"/>
    <w:rsid w:val="00622B75"/>
    <w:rsid w:val="0063104C"/>
    <w:rsid w:val="00633014"/>
    <w:rsid w:val="00633EA6"/>
    <w:rsid w:val="0063437B"/>
    <w:rsid w:val="00643957"/>
    <w:rsid w:val="006460F8"/>
    <w:rsid w:val="0065120E"/>
    <w:rsid w:val="00657BEF"/>
    <w:rsid w:val="00667289"/>
    <w:rsid w:val="006673CA"/>
    <w:rsid w:val="00673C26"/>
    <w:rsid w:val="00676552"/>
    <w:rsid w:val="006812AF"/>
    <w:rsid w:val="0068185F"/>
    <w:rsid w:val="00681BA5"/>
    <w:rsid w:val="0068327D"/>
    <w:rsid w:val="00694AF0"/>
    <w:rsid w:val="006959E8"/>
    <w:rsid w:val="00695C15"/>
    <w:rsid w:val="006977D4"/>
    <w:rsid w:val="0069791B"/>
    <w:rsid w:val="006A09D5"/>
    <w:rsid w:val="006A33E7"/>
    <w:rsid w:val="006A6721"/>
    <w:rsid w:val="006B0E9E"/>
    <w:rsid w:val="006B2B1F"/>
    <w:rsid w:val="006B3384"/>
    <w:rsid w:val="006B5AE4"/>
    <w:rsid w:val="006C4775"/>
    <w:rsid w:val="006D4054"/>
    <w:rsid w:val="006D46F9"/>
    <w:rsid w:val="006D7265"/>
    <w:rsid w:val="006E02EC"/>
    <w:rsid w:val="006E711B"/>
    <w:rsid w:val="006F2195"/>
    <w:rsid w:val="006F56D6"/>
    <w:rsid w:val="006F7CEE"/>
    <w:rsid w:val="0070168F"/>
    <w:rsid w:val="007028FA"/>
    <w:rsid w:val="00704A1A"/>
    <w:rsid w:val="00705AF9"/>
    <w:rsid w:val="00706CDB"/>
    <w:rsid w:val="00707FD2"/>
    <w:rsid w:val="00711B6F"/>
    <w:rsid w:val="00711E1F"/>
    <w:rsid w:val="007120F2"/>
    <w:rsid w:val="0072092C"/>
    <w:rsid w:val="00720FA5"/>
    <w:rsid w:val="007211B1"/>
    <w:rsid w:val="0072190E"/>
    <w:rsid w:val="00723382"/>
    <w:rsid w:val="00723FB3"/>
    <w:rsid w:val="00724E6C"/>
    <w:rsid w:val="00727EB3"/>
    <w:rsid w:val="0073256C"/>
    <w:rsid w:val="00732B5E"/>
    <w:rsid w:val="00741C70"/>
    <w:rsid w:val="00746187"/>
    <w:rsid w:val="00761179"/>
    <w:rsid w:val="00761B1A"/>
    <w:rsid w:val="0076254F"/>
    <w:rsid w:val="00762624"/>
    <w:rsid w:val="00763370"/>
    <w:rsid w:val="007663D3"/>
    <w:rsid w:val="00767C1F"/>
    <w:rsid w:val="0077217E"/>
    <w:rsid w:val="00773968"/>
    <w:rsid w:val="007801F5"/>
    <w:rsid w:val="00783CA4"/>
    <w:rsid w:val="007842FB"/>
    <w:rsid w:val="00784980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B06A0"/>
    <w:rsid w:val="007B4E61"/>
    <w:rsid w:val="007B5CF4"/>
    <w:rsid w:val="007C2F7C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7131"/>
    <w:rsid w:val="007F324B"/>
    <w:rsid w:val="00801E4E"/>
    <w:rsid w:val="0080553C"/>
    <w:rsid w:val="00805B46"/>
    <w:rsid w:val="00823814"/>
    <w:rsid w:val="00825DC2"/>
    <w:rsid w:val="008301CC"/>
    <w:rsid w:val="00834AD3"/>
    <w:rsid w:val="00843795"/>
    <w:rsid w:val="00845D15"/>
    <w:rsid w:val="00846562"/>
    <w:rsid w:val="00847F0F"/>
    <w:rsid w:val="00851A78"/>
    <w:rsid w:val="00852448"/>
    <w:rsid w:val="00854BD8"/>
    <w:rsid w:val="008569B2"/>
    <w:rsid w:val="008619BB"/>
    <w:rsid w:val="0086576C"/>
    <w:rsid w:val="00865964"/>
    <w:rsid w:val="008679DB"/>
    <w:rsid w:val="00867F4F"/>
    <w:rsid w:val="00871D33"/>
    <w:rsid w:val="0087395D"/>
    <w:rsid w:val="00880720"/>
    <w:rsid w:val="00881828"/>
    <w:rsid w:val="0088258A"/>
    <w:rsid w:val="00886332"/>
    <w:rsid w:val="008961BF"/>
    <w:rsid w:val="008A26D9"/>
    <w:rsid w:val="008A4BEB"/>
    <w:rsid w:val="008A5284"/>
    <w:rsid w:val="008B6A2F"/>
    <w:rsid w:val="008C0C29"/>
    <w:rsid w:val="008C431E"/>
    <w:rsid w:val="008C5E1E"/>
    <w:rsid w:val="008D1C22"/>
    <w:rsid w:val="008D729B"/>
    <w:rsid w:val="008E2301"/>
    <w:rsid w:val="008E6266"/>
    <w:rsid w:val="008F1896"/>
    <w:rsid w:val="008F3638"/>
    <w:rsid w:val="008F4063"/>
    <w:rsid w:val="008F6F31"/>
    <w:rsid w:val="008F74DF"/>
    <w:rsid w:val="0090415A"/>
    <w:rsid w:val="00906035"/>
    <w:rsid w:val="009127BA"/>
    <w:rsid w:val="009160A8"/>
    <w:rsid w:val="009176EE"/>
    <w:rsid w:val="00920117"/>
    <w:rsid w:val="009227A6"/>
    <w:rsid w:val="00924298"/>
    <w:rsid w:val="0092720A"/>
    <w:rsid w:val="00930C81"/>
    <w:rsid w:val="00933EC1"/>
    <w:rsid w:val="00937881"/>
    <w:rsid w:val="00940442"/>
    <w:rsid w:val="009423C0"/>
    <w:rsid w:val="0094416F"/>
    <w:rsid w:val="009451ED"/>
    <w:rsid w:val="00950875"/>
    <w:rsid w:val="009530DB"/>
    <w:rsid w:val="00953676"/>
    <w:rsid w:val="00954038"/>
    <w:rsid w:val="00954B4D"/>
    <w:rsid w:val="009552BE"/>
    <w:rsid w:val="009564A2"/>
    <w:rsid w:val="009635A5"/>
    <w:rsid w:val="00966C1F"/>
    <w:rsid w:val="00967FD8"/>
    <w:rsid w:val="009705EE"/>
    <w:rsid w:val="009711F3"/>
    <w:rsid w:val="00976E12"/>
    <w:rsid w:val="00977927"/>
    <w:rsid w:val="0098135C"/>
    <w:rsid w:val="0098156A"/>
    <w:rsid w:val="00981BB4"/>
    <w:rsid w:val="00981FAF"/>
    <w:rsid w:val="00982424"/>
    <w:rsid w:val="00987C5D"/>
    <w:rsid w:val="009900B9"/>
    <w:rsid w:val="00991BAC"/>
    <w:rsid w:val="00993D17"/>
    <w:rsid w:val="009A27F7"/>
    <w:rsid w:val="009A3F21"/>
    <w:rsid w:val="009A6EA0"/>
    <w:rsid w:val="009B125D"/>
    <w:rsid w:val="009B4A1B"/>
    <w:rsid w:val="009B6898"/>
    <w:rsid w:val="009C095A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4C87"/>
    <w:rsid w:val="009D5AAB"/>
    <w:rsid w:val="009D604E"/>
    <w:rsid w:val="009D7003"/>
    <w:rsid w:val="009E1BA5"/>
    <w:rsid w:val="009E2E91"/>
    <w:rsid w:val="009E5C5B"/>
    <w:rsid w:val="009F15D8"/>
    <w:rsid w:val="009F23BA"/>
    <w:rsid w:val="009F7D73"/>
    <w:rsid w:val="00A05838"/>
    <w:rsid w:val="00A072EE"/>
    <w:rsid w:val="00A12EDF"/>
    <w:rsid w:val="00A139F5"/>
    <w:rsid w:val="00A23D98"/>
    <w:rsid w:val="00A2477B"/>
    <w:rsid w:val="00A24AC8"/>
    <w:rsid w:val="00A326FE"/>
    <w:rsid w:val="00A365F4"/>
    <w:rsid w:val="00A36F0A"/>
    <w:rsid w:val="00A40159"/>
    <w:rsid w:val="00A41DEF"/>
    <w:rsid w:val="00A43F34"/>
    <w:rsid w:val="00A47543"/>
    <w:rsid w:val="00A47D80"/>
    <w:rsid w:val="00A52F42"/>
    <w:rsid w:val="00A53132"/>
    <w:rsid w:val="00A563F2"/>
    <w:rsid w:val="00A566E8"/>
    <w:rsid w:val="00A61018"/>
    <w:rsid w:val="00A63D2E"/>
    <w:rsid w:val="00A644CB"/>
    <w:rsid w:val="00A66A5C"/>
    <w:rsid w:val="00A72AC4"/>
    <w:rsid w:val="00A75AD0"/>
    <w:rsid w:val="00A810F9"/>
    <w:rsid w:val="00A8219A"/>
    <w:rsid w:val="00A86ECC"/>
    <w:rsid w:val="00A86FCC"/>
    <w:rsid w:val="00A9351A"/>
    <w:rsid w:val="00A936A6"/>
    <w:rsid w:val="00A969DB"/>
    <w:rsid w:val="00AA0BAD"/>
    <w:rsid w:val="00AA710D"/>
    <w:rsid w:val="00AB3023"/>
    <w:rsid w:val="00AB3A8D"/>
    <w:rsid w:val="00AB6D25"/>
    <w:rsid w:val="00AB710D"/>
    <w:rsid w:val="00AC144D"/>
    <w:rsid w:val="00AD387B"/>
    <w:rsid w:val="00AD3B3E"/>
    <w:rsid w:val="00AD6497"/>
    <w:rsid w:val="00AE02E0"/>
    <w:rsid w:val="00AE2D4B"/>
    <w:rsid w:val="00AE454D"/>
    <w:rsid w:val="00AE4F99"/>
    <w:rsid w:val="00AE6CAD"/>
    <w:rsid w:val="00AF0457"/>
    <w:rsid w:val="00AF217C"/>
    <w:rsid w:val="00AF4C05"/>
    <w:rsid w:val="00B04E87"/>
    <w:rsid w:val="00B06BC2"/>
    <w:rsid w:val="00B132C3"/>
    <w:rsid w:val="00B14952"/>
    <w:rsid w:val="00B15AC0"/>
    <w:rsid w:val="00B31E5A"/>
    <w:rsid w:val="00B3222E"/>
    <w:rsid w:val="00B449E0"/>
    <w:rsid w:val="00B46B52"/>
    <w:rsid w:val="00B46BC0"/>
    <w:rsid w:val="00B5685C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833C0"/>
    <w:rsid w:val="00B914E9"/>
    <w:rsid w:val="00B956EE"/>
    <w:rsid w:val="00B96EE4"/>
    <w:rsid w:val="00BA2BA1"/>
    <w:rsid w:val="00BB36CB"/>
    <w:rsid w:val="00BB4BF4"/>
    <w:rsid w:val="00BB4E3C"/>
    <w:rsid w:val="00BB4F09"/>
    <w:rsid w:val="00BB74B8"/>
    <w:rsid w:val="00BD4E33"/>
    <w:rsid w:val="00BD79BE"/>
    <w:rsid w:val="00BE3861"/>
    <w:rsid w:val="00BF0999"/>
    <w:rsid w:val="00C030DE"/>
    <w:rsid w:val="00C05229"/>
    <w:rsid w:val="00C13062"/>
    <w:rsid w:val="00C22105"/>
    <w:rsid w:val="00C221DB"/>
    <w:rsid w:val="00C244B6"/>
    <w:rsid w:val="00C2742C"/>
    <w:rsid w:val="00C275DE"/>
    <w:rsid w:val="00C313AB"/>
    <w:rsid w:val="00C3175B"/>
    <w:rsid w:val="00C31800"/>
    <w:rsid w:val="00C3702F"/>
    <w:rsid w:val="00C414B5"/>
    <w:rsid w:val="00C47E3B"/>
    <w:rsid w:val="00C5101E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D93"/>
    <w:rsid w:val="00C85E40"/>
    <w:rsid w:val="00C8681F"/>
    <w:rsid w:val="00C902B8"/>
    <w:rsid w:val="00C91687"/>
    <w:rsid w:val="00C924A8"/>
    <w:rsid w:val="00C937A8"/>
    <w:rsid w:val="00C945FE"/>
    <w:rsid w:val="00C946B7"/>
    <w:rsid w:val="00C96FAA"/>
    <w:rsid w:val="00C97A04"/>
    <w:rsid w:val="00CA06D6"/>
    <w:rsid w:val="00CA107B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1D18"/>
    <w:rsid w:val="00CD58B7"/>
    <w:rsid w:val="00CE2C29"/>
    <w:rsid w:val="00CF1168"/>
    <w:rsid w:val="00CF4099"/>
    <w:rsid w:val="00CF6077"/>
    <w:rsid w:val="00CF7C3B"/>
    <w:rsid w:val="00D00796"/>
    <w:rsid w:val="00D01E2E"/>
    <w:rsid w:val="00D0793C"/>
    <w:rsid w:val="00D12BF4"/>
    <w:rsid w:val="00D17A8D"/>
    <w:rsid w:val="00D20E52"/>
    <w:rsid w:val="00D2317F"/>
    <w:rsid w:val="00D261A2"/>
    <w:rsid w:val="00D41ABA"/>
    <w:rsid w:val="00D52A54"/>
    <w:rsid w:val="00D56874"/>
    <w:rsid w:val="00D5786D"/>
    <w:rsid w:val="00D616BE"/>
    <w:rsid w:val="00D616D2"/>
    <w:rsid w:val="00D6245F"/>
    <w:rsid w:val="00D62E48"/>
    <w:rsid w:val="00D63B1C"/>
    <w:rsid w:val="00D63B5F"/>
    <w:rsid w:val="00D66415"/>
    <w:rsid w:val="00D674E0"/>
    <w:rsid w:val="00D70EF7"/>
    <w:rsid w:val="00D7299C"/>
    <w:rsid w:val="00D80066"/>
    <w:rsid w:val="00D8397C"/>
    <w:rsid w:val="00D86A02"/>
    <w:rsid w:val="00D91CC0"/>
    <w:rsid w:val="00D942BC"/>
    <w:rsid w:val="00D94EED"/>
    <w:rsid w:val="00D95EEA"/>
    <w:rsid w:val="00D96026"/>
    <w:rsid w:val="00DA0269"/>
    <w:rsid w:val="00DA64F9"/>
    <w:rsid w:val="00DA7C1C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5C44"/>
    <w:rsid w:val="00DC6708"/>
    <w:rsid w:val="00DD2FE5"/>
    <w:rsid w:val="00DD52B0"/>
    <w:rsid w:val="00DD58F4"/>
    <w:rsid w:val="00DE393E"/>
    <w:rsid w:val="00DE724E"/>
    <w:rsid w:val="00DF117E"/>
    <w:rsid w:val="00DF1D45"/>
    <w:rsid w:val="00DF246D"/>
    <w:rsid w:val="00DF4230"/>
    <w:rsid w:val="00DF7836"/>
    <w:rsid w:val="00DF7D74"/>
    <w:rsid w:val="00E01436"/>
    <w:rsid w:val="00E019BF"/>
    <w:rsid w:val="00E045BD"/>
    <w:rsid w:val="00E125A2"/>
    <w:rsid w:val="00E17B77"/>
    <w:rsid w:val="00E20DFD"/>
    <w:rsid w:val="00E2112C"/>
    <w:rsid w:val="00E22474"/>
    <w:rsid w:val="00E23337"/>
    <w:rsid w:val="00E255AD"/>
    <w:rsid w:val="00E259EA"/>
    <w:rsid w:val="00E27713"/>
    <w:rsid w:val="00E3072E"/>
    <w:rsid w:val="00E30915"/>
    <w:rsid w:val="00E32061"/>
    <w:rsid w:val="00E33500"/>
    <w:rsid w:val="00E35249"/>
    <w:rsid w:val="00E41462"/>
    <w:rsid w:val="00E42FF9"/>
    <w:rsid w:val="00E46147"/>
    <w:rsid w:val="00E4714C"/>
    <w:rsid w:val="00E51AEB"/>
    <w:rsid w:val="00E52002"/>
    <w:rsid w:val="00E522A7"/>
    <w:rsid w:val="00E52721"/>
    <w:rsid w:val="00E54452"/>
    <w:rsid w:val="00E5502A"/>
    <w:rsid w:val="00E576E8"/>
    <w:rsid w:val="00E664C5"/>
    <w:rsid w:val="00E671A2"/>
    <w:rsid w:val="00E72B2E"/>
    <w:rsid w:val="00E73157"/>
    <w:rsid w:val="00E76D26"/>
    <w:rsid w:val="00E81AF2"/>
    <w:rsid w:val="00E8291F"/>
    <w:rsid w:val="00E86D95"/>
    <w:rsid w:val="00E95F9C"/>
    <w:rsid w:val="00E966AB"/>
    <w:rsid w:val="00EA2A04"/>
    <w:rsid w:val="00EB1390"/>
    <w:rsid w:val="00EB1C36"/>
    <w:rsid w:val="00EB2C71"/>
    <w:rsid w:val="00EB4340"/>
    <w:rsid w:val="00EB556D"/>
    <w:rsid w:val="00EB5A7D"/>
    <w:rsid w:val="00EC4562"/>
    <w:rsid w:val="00ED01FD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F2A45"/>
    <w:rsid w:val="00F037A4"/>
    <w:rsid w:val="00F0451D"/>
    <w:rsid w:val="00F04CEF"/>
    <w:rsid w:val="00F1007C"/>
    <w:rsid w:val="00F104DC"/>
    <w:rsid w:val="00F16178"/>
    <w:rsid w:val="00F16287"/>
    <w:rsid w:val="00F225DE"/>
    <w:rsid w:val="00F26D4D"/>
    <w:rsid w:val="00F27C8F"/>
    <w:rsid w:val="00F30E49"/>
    <w:rsid w:val="00F30E78"/>
    <w:rsid w:val="00F32749"/>
    <w:rsid w:val="00F35F3D"/>
    <w:rsid w:val="00F37172"/>
    <w:rsid w:val="00F40CBD"/>
    <w:rsid w:val="00F416CC"/>
    <w:rsid w:val="00F41795"/>
    <w:rsid w:val="00F41E38"/>
    <w:rsid w:val="00F444E4"/>
    <w:rsid w:val="00F4477E"/>
    <w:rsid w:val="00F449BE"/>
    <w:rsid w:val="00F47207"/>
    <w:rsid w:val="00F561B1"/>
    <w:rsid w:val="00F561D4"/>
    <w:rsid w:val="00F6454E"/>
    <w:rsid w:val="00F645E3"/>
    <w:rsid w:val="00F64B60"/>
    <w:rsid w:val="00F67D8F"/>
    <w:rsid w:val="00F70E57"/>
    <w:rsid w:val="00F7377E"/>
    <w:rsid w:val="00F75102"/>
    <w:rsid w:val="00F802BE"/>
    <w:rsid w:val="00F840E9"/>
    <w:rsid w:val="00F86024"/>
    <w:rsid w:val="00F8611A"/>
    <w:rsid w:val="00F9454E"/>
    <w:rsid w:val="00F959E3"/>
    <w:rsid w:val="00F963CF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E0430"/>
    <w:rsid w:val="00FE2F2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B.Kaczorowsk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maju-2019-r-,1,86.html" TargetMode="External"/><Relationship Id="rId39" Type="http://schemas.openxmlformats.org/officeDocument/2006/relationships/hyperlink" Target="http://stat.gov.pl/metainformacje/slownik-pojec/pojecia-stosowane-w-statystyce-publicznej/1313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707,pojecie.html" TargetMode="External"/><Relationship Id="rId4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7" Type="http://schemas.openxmlformats.org/officeDocument/2006/relationships/hyperlink" Target="http://stat.gov.pl/metainformacje/slownik-pojec/pojecia-stosowane-w-statystyce-publicznej/362,pojecie.html" TargetMode="External"/><Relationship Id="rId50" Type="http://schemas.openxmlformats.org/officeDocument/2006/relationships/hyperlink" Target="http://stat.gov.pl/metainformacje/slownik-pojec/pojecia-stosowane-w-statystyce-publicznej/356,pojecie.html" TargetMode="External"/><Relationship Id="rId55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wskazniki-makroekonomiczne/" TargetMode="External"/><Relationship Id="rId11" Type="http://schemas.openxmlformats.org/officeDocument/2006/relationships/image" Target="media/image30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362,pojecie.html" TargetMode="External"/><Relationship Id="rId37" Type="http://schemas.openxmlformats.org/officeDocument/2006/relationships/hyperlink" Target="http://stat.gov.pl/metainformacje/slownik-pojec/pojecia-stosowane-w-statystyce-publicznej/1314,pojecie.html" TargetMode="External"/><Relationship Id="rId40" Type="http://schemas.openxmlformats.org/officeDocument/2006/relationships/hyperlink" Target="https://stat.gov.pl/obszary-tematyczne/inne-opracowania/informacje-o-sytuacji-spoleczno-gospodarczej/biuletyn-statystyczny-nr-52019,4,88.html" TargetMode="External"/><Relationship Id="rId45" Type="http://schemas.openxmlformats.org/officeDocument/2006/relationships/hyperlink" Target="http://bdm.stat.gov.pl/" TargetMode="External"/><Relationship Id="rId53" Type="http://schemas.openxmlformats.org/officeDocument/2006/relationships/hyperlink" Target="http://stat.gov.pl/metainformacje/slownik-pojec/pojecia-stosowane-w-statystyce-publicznej/357,pojecie.html" TargetMode="External"/><Relationship Id="rId5" Type="http://schemas.openxmlformats.org/officeDocument/2006/relationships/styles" Target="styles.xml"/><Relationship Id="rId19" Type="http://schemas.openxmlformats.org/officeDocument/2006/relationships/hyperlink" Target="mailto:rzecznik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56,pojecie.html" TargetMode="External"/><Relationship Id="rId43" Type="http://schemas.openxmlformats.org/officeDocument/2006/relationships/hyperlink" Target="http://swaid.stat.gov.pl/SitePagesDBW/ProdukcjaPrzemyslowa.aspx" TargetMode="External"/><Relationship Id="rId48" Type="http://schemas.openxmlformats.org/officeDocument/2006/relationships/hyperlink" Target="http://stat.gov.pl/metainformacje/slownik-pojec/pojecia-stosowane-w-statystyce-publicznej/700,pojecie.html" TargetMode="Externa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://stat.gov.pl/metainformacje/slownik-pojec/pojecia-stosowane-w-statystyce-publicznej/1317,pojecie.html" TargetMode="Externa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52019,4,88.html" TargetMode="External"/><Relationship Id="rId33" Type="http://schemas.openxmlformats.org/officeDocument/2006/relationships/hyperlink" Target="http://stat.gov.pl/metainformacje/slownik-pojec/pojecia-stosowane-w-statystyce-publicznej/700,pojecie.html" TargetMode="External"/><Relationship Id="rId38" Type="http://schemas.openxmlformats.org/officeDocument/2006/relationships/hyperlink" Target="http://stat.gov.pl/metainformacje/slownik-pojec/pojecia-stosowane-w-statystyce-publicznej/357,pojecie.html" TargetMode="External"/><Relationship Id="rId46" Type="http://schemas.openxmlformats.org/officeDocument/2006/relationships/hyperlink" Target="https://bdl.stat.gov.pl/BDL/dane/podgrup/temat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stat.gov.pl/obszary-tematyczne/inne-opracowania/informacje-o-sytuacji-spoleczno-gospodarczej/sytuacja-spoleczno-gospodarcza-kraju-w-maju-2019-r-,1,86.html" TargetMode="External"/><Relationship Id="rId54" Type="http://schemas.openxmlformats.org/officeDocument/2006/relationships/hyperlink" Target="http://stat.gov.pl/metainformacje/slownik-pojec/pojecia-stosowane-w-statystyce-publicznej/131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SitePagesDBW/ProdukcjaPrzemyslowa.aspx" TargetMode="External"/><Relationship Id="rId36" Type="http://schemas.openxmlformats.org/officeDocument/2006/relationships/hyperlink" Target="http://stat.gov.pl/metainformacje/slownik-pojec/pojecia-stosowane-w-statystyce-publicznej/1317,pojecie.html" TargetMode="External"/><Relationship Id="rId49" Type="http://schemas.openxmlformats.org/officeDocument/2006/relationships/hyperlink" Target="http://stat.gov.pl/metainformacje/slownik-pojec/pojecia-stosowane-w-statystyce-publicznej/707,pojecie.html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emf"/><Relationship Id="rId31" Type="http://schemas.openxmlformats.org/officeDocument/2006/relationships/hyperlink" Target="https://bdl.stat.gov.pl/BDL/dane/podgrup/temat" TargetMode="External"/><Relationship Id="rId44" Type="http://schemas.openxmlformats.org/officeDocument/2006/relationships/hyperlink" Target="http://stat.gov.pl/wskazniki-makroekonomiczne/" TargetMode="External"/><Relationship Id="rId52" Type="http://schemas.openxmlformats.org/officeDocument/2006/relationships/hyperlink" Target="http://stat.gov.pl/metainformacje/slownik-pojec/pojecia-stosowane-w-statystyce-publicznej/131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70972976"/>
        <c:axId val="-2070978960"/>
      </c:lineChart>
      <c:catAx>
        <c:axId val="-207097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0978960"/>
        <c:crossesAt val="100"/>
        <c:auto val="1"/>
        <c:lblAlgn val="ctr"/>
        <c:lblOffset val="100"/>
        <c:noMultiLvlLbl val="0"/>
      </c:catAx>
      <c:valAx>
        <c:axId val="-2070978960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07097297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273382840161761"/>
          <c:y val="4.1841682833124123E-2"/>
          <c:w val="0.47123613731332759"/>
          <c:h val="0.87502003937603412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'2018'!$B$1</c:f>
              <c:strCache>
                <c:ptCount val="1"/>
                <c:pt idx="0">
                  <c:v>VI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'2018'!$A$2:$A$13</c:f>
              <c:strCache>
                <c:ptCount val="12"/>
                <c:pt idx="0">
                  <c:v>Produkcja wyrobów tytoniowych </c:v>
                </c:pt>
                <c:pt idx="1">
                  <c:v>Produkcja odzieży </c:v>
                </c:pt>
                <c:pt idx="2">
                  <c:v>Produkcja skór i wyrobów skórzanych </c:v>
                </c:pt>
                <c:pt idx="3">
                  <c:v>Produkcja metali </c:v>
                </c:pt>
                <c:pt idx="4">
                  <c:v>Wydobywanie węgla kamiennego i węgla brunatnego (lignitu) </c:v>
                </c:pt>
                <c:pt idx="5">
                  <c:v>Produkcja pojazdów samochodowych, przyczep i naczep </c:v>
                </c:pt>
                <c:pt idx="6">
                  <c:v>Produkcja komputerów, wyrobów elektronicznych i optycznych</c:v>
                </c:pt>
                <c:pt idx="7">
                  <c:v>Wytwarzanie i zaopatrywanie w energię  elektryczną, gaz, parę wodną i gorącą wodę</c:v>
                </c:pt>
                <c:pt idx="8">
                  <c:v>Produkcja napojów</c:v>
                </c:pt>
                <c:pt idx="9">
                  <c:v>Gospodarka odpadami; odzysk surowców</c:v>
                </c:pt>
                <c:pt idx="10">
                  <c:v>Naprawa, konserwacja i instalowanie maszyn i urządzeń </c:v>
                </c:pt>
                <c:pt idx="11">
                  <c:v>Produkcja pozostałego sprzętu transportowego</c:v>
                </c:pt>
              </c:strCache>
            </c:strRef>
          </c:cat>
          <c:val>
            <c:numRef>
              <c:f>'2018'!$B$2:$B$13</c:f>
              <c:numCache>
                <c:formatCode>0.0_ ;[Red]\-0.0\ </c:formatCode>
                <c:ptCount val="12"/>
                <c:pt idx="0">
                  <c:v>82.7</c:v>
                </c:pt>
                <c:pt idx="1">
                  <c:v>86.5</c:v>
                </c:pt>
                <c:pt idx="2">
                  <c:v>86.6</c:v>
                </c:pt>
                <c:pt idx="3">
                  <c:v>88.9</c:v>
                </c:pt>
                <c:pt idx="4">
                  <c:v>89.3</c:v>
                </c:pt>
                <c:pt idx="5">
                  <c:v>91.5</c:v>
                </c:pt>
                <c:pt idx="6">
                  <c:v>103.5</c:v>
                </c:pt>
                <c:pt idx="7">
                  <c:v>105.5</c:v>
                </c:pt>
                <c:pt idx="8">
                  <c:v>106.6</c:v>
                </c:pt>
                <c:pt idx="9">
                  <c:v>106.9</c:v>
                </c:pt>
                <c:pt idx="10">
                  <c:v>109.5</c:v>
                </c:pt>
                <c:pt idx="11">
                  <c:v>111.1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'2018'!$C$1</c:f>
              <c:strCache>
                <c:ptCount val="1"/>
                <c:pt idx="0">
                  <c:v>VI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'2018'!$A$2:$A$13</c:f>
              <c:strCache>
                <c:ptCount val="12"/>
                <c:pt idx="0">
                  <c:v>Produkcja wyrobów tytoniowych </c:v>
                </c:pt>
                <c:pt idx="1">
                  <c:v>Produkcja odzieży </c:v>
                </c:pt>
                <c:pt idx="2">
                  <c:v>Produkcja skór i wyrobów skórzanych </c:v>
                </c:pt>
                <c:pt idx="3">
                  <c:v>Produkcja metali </c:v>
                </c:pt>
                <c:pt idx="4">
                  <c:v>Wydobywanie węgla kamiennego i węgla brunatnego (lignitu) </c:v>
                </c:pt>
                <c:pt idx="5">
                  <c:v>Produkcja pojazdów samochodowych, przyczep i naczep </c:v>
                </c:pt>
                <c:pt idx="6">
                  <c:v>Produkcja komputerów, wyrobów elektronicznych i optycznych</c:v>
                </c:pt>
                <c:pt idx="7">
                  <c:v>Wytwarzanie i zaopatrywanie w energię  elektryczną, gaz, parę wodną i gorącą wodę</c:v>
                </c:pt>
                <c:pt idx="8">
                  <c:v>Produkcja napojów</c:v>
                </c:pt>
                <c:pt idx="9">
                  <c:v>Gospodarka odpadami; odzysk surowców</c:v>
                </c:pt>
                <c:pt idx="10">
                  <c:v>Naprawa, konserwacja i instalowanie maszyn i urządzeń </c:v>
                </c:pt>
                <c:pt idx="11">
                  <c:v>Produkcja pozostałego sprzętu transportowego</c:v>
                </c:pt>
              </c:strCache>
            </c:strRef>
          </c:cat>
          <c:val>
            <c:numRef>
              <c:f>'2018'!$C$2:$C$13</c:f>
              <c:numCache>
                <c:formatCode>General</c:formatCode>
                <c:ptCount val="12"/>
                <c:pt idx="0">
                  <c:v>112.4</c:v>
                </c:pt>
                <c:pt idx="1">
                  <c:v>111.3</c:v>
                </c:pt>
                <c:pt idx="2">
                  <c:v>96.7</c:v>
                </c:pt>
                <c:pt idx="3">
                  <c:v>105.8</c:v>
                </c:pt>
                <c:pt idx="4">
                  <c:v>99.6</c:v>
                </c:pt>
                <c:pt idx="5">
                  <c:v>109.6</c:v>
                </c:pt>
                <c:pt idx="6">
                  <c:v>97.6</c:v>
                </c:pt>
                <c:pt idx="7">
                  <c:v>113.6</c:v>
                </c:pt>
                <c:pt idx="8">
                  <c:v>102.9</c:v>
                </c:pt>
                <c:pt idx="9">
                  <c:v>105.7</c:v>
                </c:pt>
                <c:pt idx="10" formatCode="0.0">
                  <c:v>105</c:v>
                </c:pt>
                <c:pt idx="11">
                  <c:v>113.5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70975152"/>
        <c:axId val="-2070987120"/>
      </c:barChart>
      <c:catAx>
        <c:axId val="-20709751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2070987120"/>
        <c:crossesAt val="100"/>
        <c:auto val="1"/>
        <c:lblAlgn val="ctr"/>
        <c:lblOffset val="20"/>
        <c:noMultiLvlLbl val="0"/>
      </c:catAx>
      <c:valAx>
        <c:axId val="-2070987120"/>
        <c:scaling>
          <c:orientation val="minMax"/>
          <c:max val="116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2070975152"/>
        <c:crosses val="max"/>
        <c:crossBetween val="between"/>
        <c:majorUnit val="4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8415701509533524"/>
          <c:y val="0.93118365120408952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49DABFDD-47C8-42A7-B629-7E3D9815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2019-07-17T08:24:00Z</cp:lastPrinted>
  <dcterms:created xsi:type="dcterms:W3CDTF">2019-07-15T13:08:00Z</dcterms:created>
  <dcterms:modified xsi:type="dcterms:W3CDTF">2019-07-17T08:47:00Z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