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302562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we wrześniu</w:t>
      </w:r>
      <w:r w:rsidR="00C8681F" w:rsidRPr="00AA640C">
        <w:rPr>
          <w:shd w:val="clear" w:color="auto" w:fill="FFFFFF"/>
        </w:rPr>
        <w:t xml:space="preserve"> 2019 </w:t>
      </w:r>
      <w:proofErr w:type="spellStart"/>
      <w:r w:rsidR="00C8681F" w:rsidRPr="00AA640C">
        <w:rPr>
          <w:shd w:val="clear" w:color="auto" w:fill="FFFFFF"/>
        </w:rPr>
        <w:t>r.</w:t>
      </w:r>
      <w:r w:rsidR="00C8681F" w:rsidRPr="00AA640C">
        <w:rPr>
          <w:shd w:val="clear" w:color="auto" w:fill="FFFFFF"/>
          <w:vertAlign w:val="superscript"/>
        </w:rPr>
        <w:t>a</w:t>
      </w:r>
      <w:proofErr w:type="spellEnd"/>
      <w:r w:rsidR="00C8681F" w:rsidRPr="00AA640C">
        <w:rPr>
          <w:shd w:val="clear" w:color="auto" w:fill="FFFFFF"/>
          <w:vertAlign w:val="superscript"/>
        </w:rPr>
        <w:t>)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5227955</wp:posOffset>
                </wp:positionH>
                <wp:positionV relativeFrom="paragraph">
                  <wp:posOffset>247650</wp:posOffset>
                </wp:positionV>
                <wp:extent cx="1701165" cy="3038475"/>
                <wp:effectExtent l="0" t="0" r="0" b="0"/>
                <wp:wrapTight wrapText="bothSides">
                  <wp:wrapPolygon edited="0">
                    <wp:start x="726" y="0"/>
                    <wp:lineTo x="726" y="21397"/>
                    <wp:lineTo x="20802" y="21397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302562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CA06D6"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sprzedanej przemysłu we wrześniu 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br.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5,6</w:t>
                            </w:r>
                            <w:r w:rsidR="008538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2,7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302562">
                              <w:t xml:space="preserve">słu we wrześniu </w:t>
                            </w:r>
                            <w:r w:rsidR="00244680">
                              <w:t>b</w:t>
                            </w:r>
                            <w:r w:rsidR="00C8681F" w:rsidRPr="00234727">
                              <w:t xml:space="preserve">r. </w:t>
                            </w:r>
                            <w:r w:rsidR="00ED01FD">
                              <w:t xml:space="preserve">wyniósł </w:t>
                            </w:r>
                            <w:r w:rsidR="00A81C1C">
                              <w:t>3,5</w:t>
                            </w:r>
                            <w:r w:rsidR="00ED01FD">
                              <w:t xml:space="preserve">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65pt;margin-top:19.5pt;width:133.9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" filled="f" stroked="f">
                <v:textbox>
                  <w:txbxContent>
                    <w:p w:rsidR="00CA06D6" w:rsidRDefault="00302562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CA06D6"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sprzedanej przemysłu we wrześniu 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br.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5,6</w:t>
                      </w:r>
                      <w:r w:rsidR="008538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2,7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302562">
                        <w:t xml:space="preserve">słu we wrześniu </w:t>
                      </w:r>
                      <w:r w:rsidR="00244680">
                        <w:t>b</w:t>
                      </w:r>
                      <w:r w:rsidR="00C8681F" w:rsidRPr="00234727">
                        <w:t xml:space="preserve">r. </w:t>
                      </w:r>
                      <w:r w:rsidR="00ED01FD">
                        <w:t xml:space="preserve">wyniósł </w:t>
                      </w:r>
                      <w:r w:rsidR="00A81C1C">
                        <w:t>3,5</w:t>
                      </w:r>
                      <w:r w:rsidR="00ED01FD">
                        <w:t xml:space="preserve">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330325"/>
                <wp:effectExtent l="0" t="0" r="0" b="31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03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75A34BB" wp14:editId="7AA59DEE">
                                  <wp:extent cx="336550" cy="336550"/>
                                  <wp:effectExtent l="0" t="0" r="6350" b="635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25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105,6</w:t>
                            </w:r>
                          </w:p>
                          <w:p w:rsidR="00C8681F" w:rsidRPr="00364866" w:rsidRDefault="00C8681F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Dynamika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73256C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302562">
                              <w:rPr>
                                <w:sz w:val="20"/>
                              </w:rPr>
                              <w:t>wrześniem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7B63" id="_x0000_s1027" type="#_x0000_t202" style="position:absolute;margin-left:0;margin-top:.35pt;width:2in;height:104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75A34BB" wp14:editId="7AA59DEE">
                            <wp:extent cx="336550" cy="336550"/>
                            <wp:effectExtent l="0" t="0" r="6350" b="635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25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105,6</w:t>
                      </w:r>
                    </w:p>
                    <w:p w:rsidR="00C8681F" w:rsidRPr="00364866" w:rsidRDefault="00C8681F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64866">
                        <w:rPr>
                          <w:sz w:val="20"/>
                        </w:rPr>
                        <w:t>Dynamika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73256C" w:rsidRPr="00364866">
                        <w:rPr>
                          <w:sz w:val="20"/>
                        </w:rPr>
                        <w:t xml:space="preserve"> </w:t>
                      </w:r>
                      <w:r w:rsidR="00302562">
                        <w:rPr>
                          <w:sz w:val="20"/>
                        </w:rPr>
                        <w:t>wrześniem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2562">
        <w:t>We wrześniu</w:t>
      </w:r>
      <w:r>
        <w:t xml:space="preserve"> br.</w:t>
      </w:r>
      <w:r w:rsidRPr="002D0E0C">
        <w:t xml:space="preserve"> produkcja sprzedana przemysłu była </w:t>
      </w:r>
      <w:r w:rsidR="00302562">
        <w:t>wyższa</w:t>
      </w:r>
      <w:r w:rsidRPr="002D0E0C">
        <w:t xml:space="preserve"> </w:t>
      </w:r>
      <w:r w:rsidRPr="008C141D">
        <w:t>o</w:t>
      </w:r>
      <w:r w:rsidR="008C141D">
        <w:t> </w:t>
      </w:r>
      <w:r w:rsidR="00302562">
        <w:t>5,6</w:t>
      </w:r>
      <w:r w:rsidRPr="00A12EDF">
        <w:rPr>
          <w:i/>
        </w:rPr>
        <w:t>%</w:t>
      </w:r>
      <w:r>
        <w:t xml:space="preserve"> w porównaniu z </w:t>
      </w:r>
      <w:r w:rsidR="00302562">
        <w:t>wrześniem</w:t>
      </w:r>
      <w:r>
        <w:t xml:space="preserve"> ub. roku, kiedy notowano </w:t>
      </w:r>
      <w:r w:rsidR="00854BD8">
        <w:t xml:space="preserve">wzrost o </w:t>
      </w:r>
      <w:r w:rsidR="00302562">
        <w:t>2,7</w:t>
      </w:r>
      <w:r>
        <w:t>%, nat</w:t>
      </w:r>
      <w:r w:rsidR="00B96EE4">
        <w:t>omiast w porównaniu z</w:t>
      </w:r>
      <w:r w:rsidR="00AE6CAD">
        <w:t> </w:t>
      </w:r>
      <w:r w:rsidR="00302562">
        <w:t>sierpniem</w:t>
      </w:r>
      <w:r>
        <w:t xml:space="preserve"> br. </w:t>
      </w:r>
      <w:r w:rsidR="00302562">
        <w:t>wzrosła</w:t>
      </w:r>
      <w:r w:rsidR="009D4C87">
        <w:t xml:space="preserve"> o </w:t>
      </w:r>
      <w:r w:rsidR="00302562">
        <w:t>10,7</w:t>
      </w:r>
      <w:r w:rsidR="009D4C87">
        <w:t>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302562">
        <w:t>wrzesień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302562">
        <w:t>4,5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7E6424">
        <w:t> 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o </w:t>
      </w:r>
      <w:r w:rsidR="00302562">
        <w:t>5,9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</w:p>
    <w:p w:rsidR="00D95EEA" w:rsidRDefault="00D95EEA" w:rsidP="00A41DEF">
      <w:pPr>
        <w:pStyle w:val="LID"/>
        <w:jc w:val="both"/>
      </w:pP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302562">
        <w:rPr>
          <w:b w:val="0"/>
        </w:rPr>
        <w:t xml:space="preserve">, we wrześniu </w:t>
      </w:r>
      <w:r w:rsidR="00F449BE">
        <w:rPr>
          <w:b w:val="0"/>
        </w:rPr>
        <w:t>br.</w:t>
      </w:r>
      <w:r w:rsidRPr="00D95EEA">
        <w:rPr>
          <w:b w:val="0"/>
        </w:rPr>
        <w:t xml:space="preserve"> produkcja sprzedana przemysłu ukształtowała się na poziomie o </w:t>
      </w:r>
      <w:r w:rsidR="00302562">
        <w:rPr>
          <w:b w:val="0"/>
        </w:rPr>
        <w:t>3,5</w:t>
      </w:r>
      <w:r w:rsidRPr="00D95EEA">
        <w:rPr>
          <w:b w:val="0"/>
        </w:rPr>
        <w:t xml:space="preserve">% wyższym niż w analogicznym miesiącu ub. roku i o </w:t>
      </w:r>
      <w:r w:rsidR="003F5050">
        <w:rPr>
          <w:b w:val="0"/>
        </w:rPr>
        <w:t>1,2</w:t>
      </w:r>
      <w:r w:rsidRPr="00D95EEA">
        <w:rPr>
          <w:b w:val="0"/>
        </w:rPr>
        <w:t xml:space="preserve">% </w:t>
      </w:r>
      <w:r w:rsidR="00302562">
        <w:rPr>
          <w:b w:val="0"/>
        </w:rPr>
        <w:t>wy</w:t>
      </w:r>
      <w:r w:rsidR="00163C94">
        <w:rPr>
          <w:b w:val="0"/>
        </w:rPr>
        <w:t>ższym</w:t>
      </w:r>
      <w:r w:rsidRPr="00D95EEA">
        <w:rPr>
          <w:b w:val="0"/>
        </w:rPr>
        <w:t xml:space="preserve"> w porównaniu z </w:t>
      </w:r>
      <w:r w:rsidR="00302562">
        <w:rPr>
          <w:b w:val="0"/>
        </w:rPr>
        <w:t>sierpniem</w:t>
      </w:r>
      <w:r w:rsidRPr="00D95EEA">
        <w:rPr>
          <w:b w:val="0"/>
        </w:rPr>
        <w:t xml:space="preserve"> br.</w:t>
      </w:r>
    </w:p>
    <w:p w:rsidR="00ED01FD" w:rsidRDefault="00ED01FD" w:rsidP="00A41DEF">
      <w:pPr>
        <w:pStyle w:val="LID"/>
        <w:jc w:val="both"/>
      </w:pPr>
    </w:p>
    <w:p w:rsidR="00ED01FD" w:rsidRDefault="00AD74AD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-59801</wp:posOffset>
            </wp:positionH>
            <wp:positionV relativeFrom="paragraph">
              <wp:posOffset>224624</wp:posOffset>
            </wp:positionV>
            <wp:extent cx="5122545" cy="3151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997C66" w:rsidRDefault="00997C66" w:rsidP="00997C66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 xml:space="preserve">ównych grupowań przemysłowych we wrześniu </w:t>
      </w:r>
      <w:r w:rsidRPr="00DD58F4">
        <w:rPr>
          <w:rFonts w:eastAsia="Calibri" w:cs="Times New Roman"/>
        </w:rPr>
        <w:t xml:space="preserve">br.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dóbr inwestycyjnych </w:t>
      </w:r>
      <w:r>
        <w:rPr>
          <w:rFonts w:eastAsia="Calibri" w:cs="Times New Roman"/>
        </w:rPr>
        <w:t xml:space="preserve">oraz </w:t>
      </w:r>
      <w:r w:rsidRPr="00DD58F4">
        <w:rPr>
          <w:rFonts w:eastAsia="Calibri" w:cs="Times New Roman"/>
        </w:rPr>
        <w:t>dóbr konsumpcyjnych trwałych</w:t>
      </w:r>
      <w:r>
        <w:rPr>
          <w:rFonts w:eastAsia="Calibri" w:cs="Times New Roman"/>
        </w:rPr>
        <w:t xml:space="preserve"> wzrosła</w:t>
      </w:r>
      <w:r w:rsidRPr="00DD58F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po 7,8</w:t>
      </w:r>
      <w:r w:rsidRPr="00DD58F4">
        <w:rPr>
          <w:rFonts w:eastAsia="Calibri" w:cs="Times New Roman"/>
        </w:rPr>
        <w:t xml:space="preserve">%, konsumpcyjnych nietrwałych – o </w:t>
      </w:r>
      <w:r>
        <w:rPr>
          <w:rFonts w:eastAsia="Calibri" w:cs="Times New Roman"/>
        </w:rPr>
        <w:t>7,3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a </w:t>
      </w:r>
      <w:r w:rsidRPr="00DD58F4">
        <w:rPr>
          <w:rFonts w:eastAsia="Calibri" w:cs="Times New Roman"/>
        </w:rPr>
        <w:t>dóbr zaopatrzeniowych</w:t>
      </w:r>
      <w:r>
        <w:rPr>
          <w:rFonts w:eastAsia="Calibri" w:cs="Times New Roman"/>
        </w:rPr>
        <w:t xml:space="preserve"> –</w:t>
      </w:r>
      <w:r w:rsidRPr="00DD58F4">
        <w:rPr>
          <w:rFonts w:eastAsia="Calibri" w:cs="Times New Roman"/>
        </w:rPr>
        <w:t xml:space="preserve"> o </w:t>
      </w:r>
      <w:r>
        <w:rPr>
          <w:rFonts w:eastAsia="Calibri" w:cs="Times New Roman"/>
        </w:rPr>
        <w:t>4,2%</w:t>
      </w:r>
      <w:r w:rsidRPr="00DD58F4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Zmniejszyła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nieznacznie </w:t>
      </w:r>
      <w:r w:rsidRPr="00DD58F4">
        <w:rPr>
          <w:rFonts w:eastAsia="Calibri" w:cs="Times New Roman"/>
        </w:rPr>
        <w:t xml:space="preserve">produkcja dóbr związanych z energią – o </w:t>
      </w:r>
      <w:r>
        <w:rPr>
          <w:rFonts w:eastAsia="Calibri" w:cs="Times New Roman"/>
        </w:rPr>
        <w:t>0</w:t>
      </w:r>
      <w:r w:rsidRPr="00DD58F4">
        <w:rPr>
          <w:rFonts w:eastAsia="Calibri" w:cs="Times New Roman"/>
        </w:rPr>
        <w:t>,</w:t>
      </w:r>
      <w:r>
        <w:rPr>
          <w:rFonts w:eastAsia="Calibri" w:cs="Times New Roman"/>
        </w:rPr>
        <w:t>5</w:t>
      </w:r>
      <w:r w:rsidRPr="00DD58F4">
        <w:rPr>
          <w:rFonts w:eastAsia="Calibri" w:cs="Times New Roman"/>
        </w:rPr>
        <w:t>%.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AD74AD">
              <w:rPr>
                <w:sz w:val="16"/>
                <w:szCs w:val="18"/>
                <w:shd w:val="clear" w:color="auto" w:fill="FFFFFF"/>
              </w:rPr>
              <w:t>IX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AD74AD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AD74AD"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105,6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AD74AD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123,7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104,5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113,8</w:t>
            </w:r>
          </w:p>
        </w:tc>
        <w:tc>
          <w:tcPr>
            <w:tcW w:w="1418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1427" w:type="dxa"/>
            <w:vAlign w:val="center"/>
          </w:tcPr>
          <w:p w:rsidR="00C8681F" w:rsidRPr="00DD58F4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1278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111,5</w:t>
            </w:r>
          </w:p>
        </w:tc>
        <w:tc>
          <w:tcPr>
            <w:tcW w:w="1418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1427" w:type="dxa"/>
            <w:vAlign w:val="center"/>
          </w:tcPr>
          <w:p w:rsidR="00C8681F" w:rsidRPr="00DD58F4" w:rsidRDefault="00AA1C07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127,4</w:t>
            </w:r>
          </w:p>
        </w:tc>
        <w:tc>
          <w:tcPr>
            <w:tcW w:w="1278" w:type="dxa"/>
            <w:vAlign w:val="center"/>
          </w:tcPr>
          <w:p w:rsidR="00C8681F" w:rsidRPr="009D4C87" w:rsidRDefault="00AD74AD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104,9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1418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1427" w:type="dxa"/>
            <w:vAlign w:val="center"/>
          </w:tcPr>
          <w:p w:rsidR="00C8681F" w:rsidRPr="00DD58F4" w:rsidRDefault="00AA1C07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1278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1418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1427" w:type="dxa"/>
            <w:vAlign w:val="center"/>
          </w:tcPr>
          <w:p w:rsidR="00C8681F" w:rsidRPr="00DD58F4" w:rsidRDefault="00AA1C07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125,4</w:t>
            </w:r>
          </w:p>
        </w:tc>
        <w:tc>
          <w:tcPr>
            <w:tcW w:w="1278" w:type="dxa"/>
            <w:vAlign w:val="center"/>
          </w:tcPr>
          <w:p w:rsidR="00C8681F" w:rsidRPr="009D4C87" w:rsidRDefault="00AD74AD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</w:t>
            </w:r>
          </w:p>
        </w:tc>
      </w:tr>
    </w:tbl>
    <w:p w:rsidR="004B7D05" w:rsidRPr="00CA06D6" w:rsidRDefault="004B7D05" w:rsidP="00290E81">
      <w:pPr>
        <w:spacing w:before="0" w:after="0" w:line="180" w:lineRule="exact"/>
        <w:rPr>
          <w:sz w:val="12"/>
          <w:shd w:val="clear" w:color="auto" w:fill="FFFFFF"/>
        </w:rPr>
      </w:pPr>
    </w:p>
    <w:p w:rsidR="00761179" w:rsidRDefault="00761179" w:rsidP="00364866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7014DD">
      <w:pPr>
        <w:spacing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364866">
        <w:rPr>
          <w:sz w:val="16"/>
          <w:szCs w:val="16"/>
          <w:shd w:val="clear" w:color="auto" w:fill="FFFFFF"/>
        </w:rPr>
        <w:t xml:space="preserve"> w </w:t>
      </w:r>
      <w:r w:rsidR="00AA1C07">
        <w:rPr>
          <w:sz w:val="16"/>
          <w:szCs w:val="16"/>
          <w:shd w:val="clear" w:color="auto" w:fill="FFFFFF"/>
        </w:rPr>
        <w:t>sierpniu</w:t>
      </w:r>
      <w:r w:rsidR="00364866">
        <w:rPr>
          <w:sz w:val="16"/>
          <w:szCs w:val="16"/>
          <w:shd w:val="clear" w:color="auto" w:fill="FFFFFF"/>
        </w:rPr>
        <w:t xml:space="preserve"> oraz meldunkowych </w:t>
      </w:r>
      <w:r w:rsidR="007014DD">
        <w:rPr>
          <w:sz w:val="16"/>
          <w:szCs w:val="16"/>
          <w:shd w:val="clear" w:color="auto" w:fill="FFFFFF"/>
        </w:rPr>
        <w:t>we w</w:t>
      </w:r>
      <w:r w:rsidR="00AA1C07">
        <w:rPr>
          <w:sz w:val="16"/>
          <w:szCs w:val="16"/>
          <w:shd w:val="clear" w:color="auto" w:fill="FFFFFF"/>
        </w:rPr>
        <w:t>rześniu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FE2F2B" w:rsidRDefault="00FE2F2B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56321D" w:rsidRDefault="00761179" w:rsidP="0056321D">
      <w:pPr>
        <w:suppressAutoHyphens/>
        <w:spacing w:after="24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2446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3C5C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86,3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DCA7"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2446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3C5C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86,3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56321D">
        <w:rPr>
          <w:shd w:val="clear" w:color="auto" w:fill="FFFFFF"/>
        </w:rPr>
        <w:t xml:space="preserve">we wrześniu </w:t>
      </w:r>
      <w:r w:rsidR="00955D64">
        <w:rPr>
          <w:shd w:val="clear" w:color="auto" w:fill="FFFFFF"/>
        </w:rPr>
        <w:t>br</w:t>
      </w:r>
      <w:r w:rsidR="00955D64" w:rsidRPr="001055A7">
        <w:rPr>
          <w:shd w:val="clear" w:color="auto" w:fill="FFFFFF"/>
        </w:rPr>
        <w:t>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56321D">
        <w:rPr>
          <w:shd w:val="clear" w:color="auto" w:fill="FFFFFF"/>
        </w:rPr>
        <w:t>września</w:t>
      </w:r>
      <w:r w:rsidR="00955D64">
        <w:rPr>
          <w:shd w:val="clear" w:color="auto" w:fill="FFFFFF"/>
        </w:rPr>
        <w:t xml:space="preserve"> ub. roku,</w:t>
      </w:r>
      <w:r w:rsidR="00955D64" w:rsidRPr="001055A7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wzrost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56321D">
        <w:rPr>
          <w:shd w:val="clear" w:color="auto" w:fill="FFFFFF"/>
        </w:rPr>
        <w:t>27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 w:rsidR="00955D64">
        <w:rPr>
          <w:shd w:val="clear" w:color="auto" w:fill="FFFFFF"/>
        </w:rPr>
        <w:t xml:space="preserve">produkcji </w:t>
      </w:r>
      <w:r w:rsidR="0056321D">
        <w:rPr>
          <w:shd w:val="clear" w:color="auto" w:fill="FFFFFF"/>
        </w:rPr>
        <w:t xml:space="preserve">pozostałego sprzętu transportowego – o 44,1%, </w:t>
      </w:r>
      <w:r w:rsidR="00244680">
        <w:rPr>
          <w:shd w:val="clear" w:color="auto" w:fill="FFFFFF"/>
        </w:rPr>
        <w:t>urządzeń elektrycznych – o </w:t>
      </w:r>
      <w:r w:rsidR="0056321D">
        <w:rPr>
          <w:shd w:val="clear" w:color="auto" w:fill="FFFFFF"/>
        </w:rPr>
        <w:t>14,4%, napojów oraz komputerów, wyrobów elektronicznych i optycznych – po 10,0</w:t>
      </w:r>
      <w:r w:rsidR="0056321D" w:rsidRPr="00466F54">
        <w:rPr>
          <w:shd w:val="clear" w:color="auto" w:fill="FFFFFF"/>
        </w:rPr>
        <w:t>%</w:t>
      </w:r>
      <w:r w:rsidR="0056321D">
        <w:rPr>
          <w:shd w:val="clear" w:color="auto" w:fill="FFFFFF"/>
        </w:rPr>
        <w:t>, mebli – o 8,3%, wyrobów z gumy i tworzyw sztucznych – o 7,6%</w:t>
      </w:r>
      <w:r w:rsidR="00244680">
        <w:rPr>
          <w:shd w:val="clear" w:color="auto" w:fill="FFFFFF"/>
        </w:rPr>
        <w:t>,</w:t>
      </w:r>
      <w:r w:rsidR="00244680" w:rsidRPr="00244680">
        <w:rPr>
          <w:shd w:val="clear" w:color="auto" w:fill="FFFFFF"/>
        </w:rPr>
        <w:t xml:space="preserve"> </w:t>
      </w:r>
      <w:r w:rsidR="00244680">
        <w:rPr>
          <w:shd w:val="clear" w:color="auto" w:fill="FFFFFF"/>
        </w:rPr>
        <w:t>pojazdów samochodowych, przyczep i naczep – o 7,3%</w:t>
      </w:r>
      <w:r w:rsidR="0056321D">
        <w:rPr>
          <w:shd w:val="clear" w:color="auto" w:fill="FFFFFF"/>
        </w:rPr>
        <w:t>.</w:t>
      </w:r>
      <w:r w:rsidR="0056321D" w:rsidRPr="0056321D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Spadek</w:t>
      </w:r>
      <w:r w:rsidR="0056321D" w:rsidRPr="00466F54">
        <w:rPr>
          <w:shd w:val="clear" w:color="auto" w:fill="FFFFFF"/>
        </w:rPr>
        <w:t xml:space="preserve"> produkcji sprzedanej przemysłu, w</w:t>
      </w:r>
      <w:r w:rsidR="0056321D">
        <w:rPr>
          <w:shd w:val="clear" w:color="auto" w:fill="FFFFFF"/>
        </w:rPr>
        <w:t xml:space="preserve"> </w:t>
      </w:r>
      <w:r w:rsidR="0056321D" w:rsidRPr="00466F54">
        <w:rPr>
          <w:shd w:val="clear" w:color="auto" w:fill="FFFFFF"/>
        </w:rPr>
        <w:t xml:space="preserve">porównaniu </w:t>
      </w:r>
      <w:r w:rsidR="0056321D">
        <w:rPr>
          <w:shd w:val="clear" w:color="auto" w:fill="FFFFFF"/>
        </w:rPr>
        <w:t>z</w:t>
      </w:r>
      <w:r w:rsidR="00244680">
        <w:rPr>
          <w:shd w:val="clear" w:color="auto" w:fill="FFFFFF"/>
        </w:rPr>
        <w:t> </w:t>
      </w:r>
      <w:r w:rsidR="0056321D">
        <w:rPr>
          <w:shd w:val="clear" w:color="auto" w:fill="FFFFFF"/>
        </w:rPr>
        <w:t>wrześniem</w:t>
      </w:r>
      <w:r w:rsidR="0056321D" w:rsidRPr="00466F54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ub. roku,</w:t>
      </w:r>
      <w:r w:rsidR="0056321D" w:rsidRPr="00466F54">
        <w:rPr>
          <w:shd w:val="clear" w:color="auto" w:fill="FFFFFF"/>
        </w:rPr>
        <w:t xml:space="preserve"> wystąpił w </w:t>
      </w:r>
      <w:r w:rsidR="0056321D">
        <w:rPr>
          <w:shd w:val="clear" w:color="auto" w:fill="FFFFFF"/>
        </w:rPr>
        <w:t>7</w:t>
      </w:r>
      <w:r w:rsidR="0056321D" w:rsidRPr="00466F54">
        <w:rPr>
          <w:shd w:val="clear" w:color="auto" w:fill="FFFFFF"/>
        </w:rPr>
        <w:t xml:space="preserve"> działach</w:t>
      </w:r>
      <w:r w:rsidR="0056321D">
        <w:rPr>
          <w:shd w:val="clear" w:color="auto" w:fill="FFFFFF"/>
        </w:rPr>
        <w:t>, m.in.</w:t>
      </w:r>
      <w:r w:rsidR="0056321D" w:rsidRPr="00466F54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 produkcji</w:t>
      </w:r>
      <w:r w:rsidR="0056321D" w:rsidRPr="0056321D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koksu i produktów rafinacji ropy naftowej – o 5,9%, maszyn i urządzeń – o 1,5%, metali – o 1,3%.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A81C1C" w:rsidRPr="0041134C" w:rsidRDefault="00A81C1C" w:rsidP="0041134C">
      <w:pPr>
        <w:spacing w:before="0" w:after="0"/>
        <w:rPr>
          <w:b/>
          <w:sz w:val="18"/>
          <w:szCs w:val="18"/>
          <w:shd w:val="clear" w:color="auto" w:fill="FFFFFF"/>
        </w:rPr>
        <w:sectPr w:rsidR="00A81C1C" w:rsidRPr="0041134C" w:rsidSect="00B06BC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213360</wp:posOffset>
            </wp:positionV>
            <wp:extent cx="5184140" cy="3622040"/>
            <wp:effectExtent l="0" t="0" r="0" b="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B00265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9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1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2C779B" w:rsidP="00E81AF2">
            <w:pPr>
              <w:rPr>
                <w:sz w:val="20"/>
                <w:szCs w:val="20"/>
              </w:rPr>
            </w:pPr>
            <w:hyperlink r:id="rId23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04A4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Sytuacja</w:t>
                              </w:r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2C779B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2C779B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2C779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4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E42E"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Statystyczny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04A4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Sytuacja</w:t>
                        </w:r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  <w:bookmarkStart w:id="1" w:name="_GoBack"/>
                      <w:bookmarkEnd w:id="1"/>
                    </w:p>
                    <w:p w:rsidR="00C8681F" w:rsidRPr="007C79C9" w:rsidRDefault="00022C7D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3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022C7D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022C7D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9B" w:rsidRDefault="002C779B" w:rsidP="000662E2">
      <w:pPr>
        <w:spacing w:after="0" w:line="240" w:lineRule="auto"/>
      </w:pPr>
      <w:r>
        <w:separator/>
      </w:r>
    </w:p>
  </w:endnote>
  <w:endnote w:type="continuationSeparator" w:id="0">
    <w:p w:rsidR="002C779B" w:rsidRDefault="002C77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476180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014DD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35464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DD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9B" w:rsidRDefault="002C779B" w:rsidP="000662E2">
      <w:pPr>
        <w:spacing w:after="0" w:line="240" w:lineRule="auto"/>
      </w:pPr>
      <w:r>
        <w:separator/>
      </w:r>
    </w:p>
  </w:footnote>
  <w:footnote w:type="continuationSeparator" w:id="0">
    <w:p w:rsidR="002C779B" w:rsidRDefault="002C77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3F505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8.10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3F505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8.10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35" type="#_x0000_t75" style="width:122.1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7A14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4D06"/>
    <w:rsid w:val="00126B69"/>
    <w:rsid w:val="00130296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3C94"/>
    <w:rsid w:val="00165DD1"/>
    <w:rsid w:val="00174419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1CE7"/>
    <w:rsid w:val="001E4F42"/>
    <w:rsid w:val="001E6093"/>
    <w:rsid w:val="001F023F"/>
    <w:rsid w:val="001F1220"/>
    <w:rsid w:val="002000FB"/>
    <w:rsid w:val="00203959"/>
    <w:rsid w:val="002045B0"/>
    <w:rsid w:val="00214694"/>
    <w:rsid w:val="002338F4"/>
    <w:rsid w:val="00233D39"/>
    <w:rsid w:val="002376C0"/>
    <w:rsid w:val="00237B0A"/>
    <w:rsid w:val="00241F69"/>
    <w:rsid w:val="00244680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5CFF"/>
    <w:rsid w:val="002F77C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7AD5"/>
    <w:rsid w:val="004D7C62"/>
    <w:rsid w:val="004E1477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9B5"/>
    <w:rsid w:val="005203F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21D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A2411"/>
    <w:rsid w:val="005A2E64"/>
    <w:rsid w:val="005A3C29"/>
    <w:rsid w:val="005A5994"/>
    <w:rsid w:val="005A698C"/>
    <w:rsid w:val="005B294A"/>
    <w:rsid w:val="005B347F"/>
    <w:rsid w:val="005C0646"/>
    <w:rsid w:val="005C63F1"/>
    <w:rsid w:val="005D401D"/>
    <w:rsid w:val="005E0799"/>
    <w:rsid w:val="005E726F"/>
    <w:rsid w:val="005E7AA5"/>
    <w:rsid w:val="005F1E67"/>
    <w:rsid w:val="005F5A80"/>
    <w:rsid w:val="0060323D"/>
    <w:rsid w:val="00603C52"/>
    <w:rsid w:val="00603D6E"/>
    <w:rsid w:val="006044FF"/>
    <w:rsid w:val="006046C1"/>
    <w:rsid w:val="0060685D"/>
    <w:rsid w:val="00607CC5"/>
    <w:rsid w:val="006143F3"/>
    <w:rsid w:val="00622B75"/>
    <w:rsid w:val="0063104C"/>
    <w:rsid w:val="00633014"/>
    <w:rsid w:val="00633EA6"/>
    <w:rsid w:val="0063437B"/>
    <w:rsid w:val="00642D1D"/>
    <w:rsid w:val="00643957"/>
    <w:rsid w:val="006460F8"/>
    <w:rsid w:val="006469F9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4DD"/>
    <w:rsid w:val="0070168F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553C"/>
    <w:rsid w:val="00805B46"/>
    <w:rsid w:val="00806AF1"/>
    <w:rsid w:val="00823814"/>
    <w:rsid w:val="00825DC2"/>
    <w:rsid w:val="008301CC"/>
    <w:rsid w:val="00834AD3"/>
    <w:rsid w:val="00841EC2"/>
    <w:rsid w:val="00843795"/>
    <w:rsid w:val="00845D15"/>
    <w:rsid w:val="00846562"/>
    <w:rsid w:val="00847F0F"/>
    <w:rsid w:val="00851A78"/>
    <w:rsid w:val="00852448"/>
    <w:rsid w:val="008538DD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141D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37D6"/>
    <w:rsid w:val="00987C5D"/>
    <w:rsid w:val="009900B9"/>
    <w:rsid w:val="00991BAC"/>
    <w:rsid w:val="00993D17"/>
    <w:rsid w:val="00997C66"/>
    <w:rsid w:val="009A27F7"/>
    <w:rsid w:val="009A3F21"/>
    <w:rsid w:val="009A6EA0"/>
    <w:rsid w:val="009B125D"/>
    <w:rsid w:val="009B4A1B"/>
    <w:rsid w:val="009B6898"/>
    <w:rsid w:val="009B72ED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7D73"/>
    <w:rsid w:val="00A05838"/>
    <w:rsid w:val="00A072EE"/>
    <w:rsid w:val="00A12EDF"/>
    <w:rsid w:val="00A139F5"/>
    <w:rsid w:val="00A23D98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710D"/>
    <w:rsid w:val="00AB1D72"/>
    <w:rsid w:val="00AB3023"/>
    <w:rsid w:val="00AB3A8D"/>
    <w:rsid w:val="00AB6D25"/>
    <w:rsid w:val="00AB710D"/>
    <w:rsid w:val="00AC144D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63E6"/>
    <w:rsid w:val="00C3702F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61A2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4F9"/>
    <w:rsid w:val="00DA7C1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64C5"/>
    <w:rsid w:val="00E671A2"/>
    <w:rsid w:val="00E72B2E"/>
    <w:rsid w:val="00E73157"/>
    <w:rsid w:val="00E76D26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1007C"/>
    <w:rsid w:val="00F104DC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344E"/>
    <w:rsid w:val="00F6454E"/>
    <w:rsid w:val="00F645E3"/>
    <w:rsid w:val="00F64B60"/>
    <w:rsid w:val="00F67D8F"/>
    <w:rsid w:val="00F70E57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26" Type="http://schemas.openxmlformats.org/officeDocument/2006/relationships/hyperlink" Target="https://stat.gov.pl/obszary-tematyczne/inne-opracowania/informacje-o-sytuacji-spoleczno-gospodarczej/biuletyn-statystyczny-nr-82019,4,91.html" TargetMode="External"/><Relationship Id="rId39" Type="http://schemas.openxmlformats.org/officeDocument/2006/relationships/hyperlink" Target="http://stat.gov.pl/metainformacje/slownik-pojec/pojecia-stosowane-w-statystyce-publicznej/357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700,pojecie.html" TargetMode="External"/><Relationship Id="rId42" Type="http://schemas.openxmlformats.org/officeDocument/2006/relationships/hyperlink" Target="https://stat.gov.pl/obszary-tematyczne/inne-opracowania/informacje-o-sytuacji-spoleczno-gospodarczej/sytuacja-spoleczno-gospodarcza-kraju-w-sierpniu-2019-r-,1,88.html" TargetMode="External"/><Relationship Id="rId47" Type="http://schemas.openxmlformats.org/officeDocument/2006/relationships/hyperlink" Target="https://bdl.stat.gov.pl/BDL/dane/podgrup/temat" TargetMode="External"/><Relationship Id="rId50" Type="http://schemas.openxmlformats.org/officeDocument/2006/relationships/hyperlink" Target="http://stat.gov.pl/metainformacje/slownik-pojec/pojecia-stosowane-w-statystyce-publicznej/707,pojecie.html" TargetMode="External"/><Relationship Id="rId55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waid.stat.gov.pl/SitePagesDBW/ProdukcjaPrzemyslowa.aspx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7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317,pojecie.html" TargetMode="External"/><Relationship Id="rId40" Type="http://schemas.openxmlformats.org/officeDocument/2006/relationships/hyperlink" Target="http://stat.gov.pl/metainformacje/slownik-pojec/pojecia-stosowane-w-statystyce-publicznej/1313,pojecie.html" TargetMode="External"/><Relationship Id="rId45" Type="http://schemas.openxmlformats.org/officeDocument/2006/relationships/hyperlink" Target="http://stat.gov.pl/wskazniki-makroekonomiczne/" TargetMode="External"/><Relationship Id="rId53" Type="http://schemas.openxmlformats.org/officeDocument/2006/relationships/hyperlink" Target="http://stat.gov.pl/metainformacje/slownik-pojec/pojecia-stosowane-w-statystyce-publicznej/1314,pojecie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B.Kaczorowsk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inne-opracowania/informacje-o-sytuacji-spoleczno-gospodarczej/sytuacja-spoleczno-gospodarcza-kraju-w-sierpniu-2019-r-,1,88.html" TargetMode="External"/><Relationship Id="rId30" Type="http://schemas.openxmlformats.org/officeDocument/2006/relationships/hyperlink" Target="http://stat.gov.pl/wskazniki-makroekonomiczne/" TargetMode="External"/><Relationship Id="rId35" Type="http://schemas.openxmlformats.org/officeDocument/2006/relationships/hyperlink" Target="http://stat.gov.pl/metainformacje/slownik-pojec/pojecia-stosowane-w-statystyce-publicznej/707,pojecie.html" TargetMode="External"/><Relationship Id="rId4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8" Type="http://schemas.openxmlformats.org/officeDocument/2006/relationships/hyperlink" Target="http://stat.gov.pl/metainformacje/slownik-pojec/pojecia-stosowane-w-statystyce-publicznej/362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356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33" Type="http://schemas.openxmlformats.org/officeDocument/2006/relationships/hyperlink" Target="http://stat.gov.pl/metainformacje/slownik-pojec/pojecia-stosowane-w-statystyce-publicznej/362,pojecie.html" TargetMode="External"/><Relationship Id="rId38" Type="http://schemas.openxmlformats.org/officeDocument/2006/relationships/hyperlink" Target="http://stat.gov.pl/metainformacje/slownik-pojec/pojecia-stosowane-w-statystyce-publicznej/1314,pojecie.html" TargetMode="External"/><Relationship Id="rId46" Type="http://schemas.openxmlformats.org/officeDocument/2006/relationships/hyperlink" Target="http://bdm.stat.gov.pl/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s://stat.gov.pl/obszary-tematyczne/inne-opracowania/informacje-o-sytuacji-spoleczno-gospodarczej/biuletyn-statystyczny-nr-82019,4,91.html" TargetMode="External"/><Relationship Id="rId54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://www.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6" Type="http://schemas.openxmlformats.org/officeDocument/2006/relationships/hyperlink" Target="http://stat.gov.pl/metainformacje/slownik-pojec/pojecia-stosowane-w-statystyce-publicznej/356,pojecie.html" TargetMode="External"/><Relationship Id="rId49" Type="http://schemas.openxmlformats.org/officeDocument/2006/relationships/hyperlink" Target="http://stat.gov.pl/metainformacje/slownik-pojec/pojecia-stosowane-w-statystyce-publicznej/700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emf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waid.stat.gov.pl/SitePagesDBW/ProdukcjaPrzemyslowa.aspx" TargetMode="External"/><Relationship Id="rId52" Type="http://schemas.openxmlformats.org/officeDocument/2006/relationships/hyperlink" Target="http://stat.gov.pl/metainformacje/slownik-pojec/pojecia-stosowane-w-statystyce-publicznej/131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kietekk\Documents\Wst&#281;pna%202019\Wykres%20PRZEMYS&#321;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6516800"/>
        <c:axId val="-1036518432"/>
      </c:lineChart>
      <c:catAx>
        <c:axId val="-103651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518432"/>
        <c:crossesAt val="100"/>
        <c:auto val="1"/>
        <c:lblAlgn val="ctr"/>
        <c:lblOffset val="100"/>
        <c:noMultiLvlLbl val="0"/>
      </c:catAx>
      <c:valAx>
        <c:axId val="-1036518432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651680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1472386041364571E-2"/>
          <c:y val="4.1841682833124123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'IX2019'!$B$1</c:f>
              <c:strCache>
                <c:ptCount val="1"/>
                <c:pt idx="0">
                  <c:v>IX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'IX2019'!$A$2:$A$11</c:f>
              <c:strCache>
                <c:ptCount val="10"/>
                <c:pt idx="0">
                  <c:v>Produkcja pozostałego sprzętu transportowego</c:v>
                </c:pt>
                <c:pt idx="1">
                  <c:v>Produkcja wyrobów tytoniowych</c:v>
                </c:pt>
                <c:pt idx="2">
                  <c:v>Gospodarka odpadami; odzysk surowców</c:v>
                </c:pt>
                <c:pt idx="3">
                  <c:v>Produkcja urządzeń elektrycznych</c:v>
                </c:pt>
                <c:pt idx="4">
                  <c:v>Pozostała produkcja wyrobów</c:v>
                </c:pt>
                <c:pt idx="5">
                  <c:v>Produkcja napojów</c:v>
                </c:pt>
                <c:pt idx="6">
                  <c:v>Produkcja koksu i produktów rafinacji ropy naftowej </c:v>
                </c:pt>
                <c:pt idx="7">
                  <c:v>Produkcja odzieży</c:v>
                </c:pt>
                <c:pt idx="8">
                  <c:v>Produkcja maszyn i urządzeń</c:v>
                </c:pt>
                <c:pt idx="9">
                  <c:v>Produkcja metali</c:v>
                </c:pt>
              </c:strCache>
            </c:strRef>
          </c:cat>
          <c:val>
            <c:numRef>
              <c:f>'IX2019'!$B$2:$B$11</c:f>
              <c:numCache>
                <c:formatCode>0.0_ ;[Red]\-0.0\ </c:formatCode>
                <c:ptCount val="10"/>
                <c:pt idx="0">
                  <c:v>144.1</c:v>
                </c:pt>
                <c:pt idx="1">
                  <c:v>129.6</c:v>
                </c:pt>
                <c:pt idx="2">
                  <c:v>114.7</c:v>
                </c:pt>
                <c:pt idx="3">
                  <c:v>114.4</c:v>
                </c:pt>
                <c:pt idx="4">
                  <c:v>112</c:v>
                </c:pt>
                <c:pt idx="5">
                  <c:v>110</c:v>
                </c:pt>
                <c:pt idx="6">
                  <c:v>94.1</c:v>
                </c:pt>
                <c:pt idx="7">
                  <c:v>96.2</c:v>
                </c:pt>
                <c:pt idx="8">
                  <c:v>98.5</c:v>
                </c:pt>
                <c:pt idx="9">
                  <c:v>98.7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'IX2019'!$C$1</c:f>
              <c:strCache>
                <c:ptCount val="1"/>
                <c:pt idx="0">
                  <c:v>IX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'IX2019'!$A$2:$A$11</c:f>
              <c:strCache>
                <c:ptCount val="10"/>
                <c:pt idx="0">
                  <c:v>Produkcja pozostałego sprzętu transportowego</c:v>
                </c:pt>
                <c:pt idx="1">
                  <c:v>Produkcja wyrobów tytoniowych</c:v>
                </c:pt>
                <c:pt idx="2">
                  <c:v>Gospodarka odpadami; odzysk surowców</c:v>
                </c:pt>
                <c:pt idx="3">
                  <c:v>Produkcja urządzeń elektrycznych</c:v>
                </c:pt>
                <c:pt idx="4">
                  <c:v>Pozostała produkcja wyrobów</c:v>
                </c:pt>
                <c:pt idx="5">
                  <c:v>Produkcja napojów</c:v>
                </c:pt>
                <c:pt idx="6">
                  <c:v>Produkcja koksu i produktów rafinacji ropy naftowej </c:v>
                </c:pt>
                <c:pt idx="7">
                  <c:v>Produkcja odzieży</c:v>
                </c:pt>
                <c:pt idx="8">
                  <c:v>Produkcja maszyn i urządzeń</c:v>
                </c:pt>
                <c:pt idx="9">
                  <c:v>Produkcja metali</c:v>
                </c:pt>
              </c:strCache>
            </c:strRef>
          </c:cat>
          <c:val>
            <c:numRef>
              <c:f>'IX2019'!$C$2:$C$11</c:f>
              <c:numCache>
                <c:formatCode>General</c:formatCode>
                <c:ptCount val="10"/>
                <c:pt idx="0">
                  <c:v>104.1</c:v>
                </c:pt>
                <c:pt idx="1">
                  <c:v>82.1</c:v>
                </c:pt>
                <c:pt idx="2">
                  <c:v>106</c:v>
                </c:pt>
                <c:pt idx="3">
                  <c:v>107.6</c:v>
                </c:pt>
                <c:pt idx="4">
                  <c:v>109</c:v>
                </c:pt>
                <c:pt idx="5">
                  <c:v>103</c:v>
                </c:pt>
                <c:pt idx="6">
                  <c:v>103.6</c:v>
                </c:pt>
                <c:pt idx="7">
                  <c:v>104.3</c:v>
                </c:pt>
                <c:pt idx="8">
                  <c:v>108</c:v>
                </c:pt>
                <c:pt idx="9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36512448"/>
        <c:axId val="-1036511360"/>
      </c:barChart>
      <c:catAx>
        <c:axId val="-10365124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036511360"/>
        <c:crossesAt val="100"/>
        <c:auto val="1"/>
        <c:lblAlgn val="ctr"/>
        <c:lblOffset val="20"/>
        <c:noMultiLvlLbl val="0"/>
      </c:catAx>
      <c:valAx>
        <c:axId val="-1036511360"/>
        <c:scaling>
          <c:orientation val="minMax"/>
          <c:max val="146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036512448"/>
        <c:crosses val="max"/>
        <c:crossBetween val="between"/>
        <c:majorUnit val="6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4E4C05FB-DEA7-4F7E-87A4-5D743EB1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we wrześniu 2019 roku</dc:title>
  <dc:subject>Dynamika produkcji sprzedanej przemysłu we wrześniu 2019 roku</dc:subject>
  <dc:creator>Główny Urząd Statystyczny</dc:creator>
  <cp:keywords>Przemysł</cp:keywords>
  <dc:description>Dynamika produkcji sprzedanej przemysłu we wrześniu 2019 roku</dc:description>
  <cp:lastPrinted>2019-10-16T07:55:00Z</cp:lastPrinted>
  <dcterms:created xsi:type="dcterms:W3CDTF">2019-10-15T09:05:00Z</dcterms:created>
  <dcterms:modified xsi:type="dcterms:W3CDTF">2019-10-17T07:25:00Z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