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A62E16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612CB0">
        <w:rPr>
          <w:shd w:val="clear" w:color="auto" w:fill="FFFFFF"/>
        </w:rPr>
        <w:t xml:space="preserve"> październiku</w:t>
      </w:r>
      <w:r w:rsidR="00C8681F" w:rsidRPr="00AA640C">
        <w:rPr>
          <w:shd w:val="clear" w:color="auto" w:fill="FFFFFF"/>
        </w:rPr>
        <w:t xml:space="preserve"> 2019 </w:t>
      </w:r>
      <w:proofErr w:type="spellStart"/>
      <w:r w:rsidR="00C8681F" w:rsidRPr="00AA640C">
        <w:rPr>
          <w:shd w:val="clear" w:color="auto" w:fill="FFFFFF"/>
        </w:rPr>
        <w:t>r.</w:t>
      </w:r>
      <w:r w:rsidR="00C8681F" w:rsidRPr="00AA640C">
        <w:rPr>
          <w:shd w:val="clear" w:color="auto" w:fill="FFFFFF"/>
          <w:vertAlign w:val="superscript"/>
        </w:rPr>
        <w:t>a</w:t>
      </w:r>
      <w:proofErr w:type="spellEnd"/>
      <w:r w:rsidR="00C8681F" w:rsidRPr="00AA640C">
        <w:rPr>
          <w:shd w:val="clear" w:color="auto" w:fill="FFFFFF"/>
          <w:vertAlign w:val="superscript"/>
        </w:rPr>
        <w:t>)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5227955</wp:posOffset>
                </wp:positionH>
                <wp:positionV relativeFrom="paragraph">
                  <wp:posOffset>247650</wp:posOffset>
                </wp:positionV>
                <wp:extent cx="1701165" cy="3038475"/>
                <wp:effectExtent l="0" t="0" r="0" b="0"/>
                <wp:wrapTight wrapText="bothSides">
                  <wp:wrapPolygon edited="0">
                    <wp:start x="726" y="0"/>
                    <wp:lineTo x="726" y="21397"/>
                    <wp:lineTo x="20802" y="21397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303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D6" w:rsidRDefault="00302562" w:rsidP="00CA06D6">
                            <w:pPr>
                              <w:spacing w:before="0" w:after="0"/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CA06D6" w:rsidRPr="00E966A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produkcji </w:t>
                            </w:r>
                            <w:r w:rsidR="00612C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sprzedanej przemysłu w październiku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538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br.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wyniósł </w:t>
                            </w:r>
                            <w:r w:rsidR="00612C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3,5</w:t>
                            </w:r>
                            <w:r w:rsidR="008538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wobec wzrostu o </w:t>
                            </w:r>
                            <w:r w:rsidR="00612CB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7,4</w:t>
                            </w:r>
                            <w:r w:rsidR="00CA06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przed rokiem</w:t>
                            </w: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A06D6" w:rsidRDefault="00CA06D6" w:rsidP="00C8681F">
                            <w:pPr>
                              <w:pStyle w:val="tekstzboku"/>
                              <w:suppressAutoHyphens/>
                            </w:pPr>
                          </w:p>
                          <w:p w:rsidR="00C8681F" w:rsidRPr="00234727" w:rsidRDefault="00CA06D6" w:rsidP="00C8681F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612CB0">
                              <w:t>słu w październiku</w:t>
                            </w:r>
                            <w:r w:rsidR="00302562">
                              <w:t xml:space="preserve"> </w:t>
                            </w:r>
                            <w:r w:rsidR="00244680">
                              <w:t>b</w:t>
                            </w:r>
                            <w:r w:rsidR="00C8681F" w:rsidRPr="00234727">
                              <w:t xml:space="preserve">r. </w:t>
                            </w:r>
                            <w:r w:rsidR="00ED01FD">
                              <w:t xml:space="preserve">wyniósł </w:t>
                            </w:r>
                            <w:r w:rsidR="00612CB0">
                              <w:t>3,7</w:t>
                            </w:r>
                            <w:r w:rsidR="00ED01FD">
                              <w:t xml:space="preserve">% </w:t>
                            </w:r>
                            <w:r w:rsidR="0073256C">
                              <w:t xml:space="preserve">w skali roku </w:t>
                            </w:r>
                          </w:p>
                          <w:p w:rsidR="007A2DC1" w:rsidRPr="003B6903" w:rsidRDefault="007A2DC1" w:rsidP="00D0793C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.65pt;margin-top:19.5pt;width:133.95pt;height:239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" filled="f" stroked="f">
                <v:textbox>
                  <w:txbxContent>
                    <w:p w:rsidR="00CA06D6" w:rsidRDefault="00302562" w:rsidP="00CA06D6">
                      <w:pPr>
                        <w:spacing w:before="0" w:after="0"/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CA06D6" w:rsidRPr="00E966A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produkcji </w:t>
                      </w:r>
                      <w:r w:rsidR="00612C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sprzedanej przemysłu w październiku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538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br.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wyniósł </w:t>
                      </w:r>
                      <w:r w:rsidR="00612C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3,5</w:t>
                      </w:r>
                      <w:r w:rsidR="008538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wobec wzrostu o </w:t>
                      </w:r>
                      <w:r w:rsidR="00612CB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7,4</w:t>
                      </w:r>
                      <w:r w:rsidR="00CA06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przed rokiem</w:t>
                      </w: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A06D6" w:rsidRDefault="00CA06D6" w:rsidP="00C8681F">
                      <w:pPr>
                        <w:pStyle w:val="tekstzboku"/>
                        <w:suppressAutoHyphens/>
                      </w:pPr>
                    </w:p>
                    <w:p w:rsidR="00C8681F" w:rsidRPr="00234727" w:rsidRDefault="00CA06D6" w:rsidP="00C8681F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612CB0">
                        <w:t>słu w październiku</w:t>
                      </w:r>
                      <w:r w:rsidR="00302562">
                        <w:t xml:space="preserve"> </w:t>
                      </w:r>
                      <w:r w:rsidR="00244680">
                        <w:t>b</w:t>
                      </w:r>
                      <w:r w:rsidR="00C8681F" w:rsidRPr="00234727">
                        <w:t xml:space="preserve">r. </w:t>
                      </w:r>
                      <w:r w:rsidR="00ED01FD">
                        <w:t xml:space="preserve">wyniósł </w:t>
                      </w:r>
                      <w:r w:rsidR="00612CB0">
                        <w:t>3,7</w:t>
                      </w:r>
                      <w:r w:rsidR="00ED01FD">
                        <w:t xml:space="preserve">% </w:t>
                      </w:r>
                      <w:r w:rsidR="0073256C">
                        <w:t xml:space="preserve">w skali roku </w:t>
                      </w:r>
                    </w:p>
                    <w:p w:rsidR="007A2DC1" w:rsidRPr="003B6903" w:rsidRDefault="007A2DC1" w:rsidP="00D0793C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8681F" w:rsidRPr="00C2742C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4071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738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75A34BB" wp14:editId="7AA59DEE">
                                  <wp:extent cx="336550" cy="336550"/>
                                  <wp:effectExtent l="0" t="0" r="6350" b="6350"/>
                                  <wp:docPr id="17" name="Obraz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612CB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103,5</w:t>
                            </w:r>
                          </w:p>
                          <w:p w:rsidR="00C8681F" w:rsidRPr="00364866" w:rsidRDefault="00C8681F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364866">
                              <w:rPr>
                                <w:sz w:val="20"/>
                              </w:rPr>
                              <w:t>Dynamika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73256C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612CB0">
                              <w:rPr>
                                <w:sz w:val="20"/>
                              </w:rPr>
                              <w:t>październikiem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ub. roku.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D7B63" id="_x0000_s1027" type="#_x0000_t202" style="position:absolute;margin-left:0;margin-top:.35pt;width:2in;height:110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8hEJwIAACg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75A34BB" wp14:editId="7AA59DEE">
                            <wp:extent cx="336550" cy="336550"/>
                            <wp:effectExtent l="0" t="0" r="6350" b="6350"/>
                            <wp:docPr id="17" name="Obraz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612CB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103,5</w:t>
                      </w:r>
                    </w:p>
                    <w:p w:rsidR="00C8681F" w:rsidRPr="00364866" w:rsidRDefault="00C8681F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364866">
                        <w:rPr>
                          <w:sz w:val="20"/>
                        </w:rPr>
                        <w:t>Dynamika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73256C" w:rsidRPr="00364866">
                        <w:rPr>
                          <w:sz w:val="20"/>
                        </w:rPr>
                        <w:t xml:space="preserve"> </w:t>
                      </w:r>
                      <w:r w:rsidR="00612CB0">
                        <w:rPr>
                          <w:sz w:val="20"/>
                        </w:rPr>
                        <w:t>październikiem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ub. roku.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8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CB0">
        <w:t>W październiku</w:t>
      </w:r>
      <w:r>
        <w:t xml:space="preserve"> br.</w:t>
      </w:r>
      <w:r w:rsidRPr="002D0E0C">
        <w:t xml:space="preserve"> produkcja sprzedana przemysłu była </w:t>
      </w:r>
      <w:r w:rsidR="00302562">
        <w:t>wyższa</w:t>
      </w:r>
      <w:r w:rsidRPr="002D0E0C">
        <w:t xml:space="preserve"> </w:t>
      </w:r>
      <w:r w:rsidRPr="008C141D">
        <w:t>o</w:t>
      </w:r>
      <w:r w:rsidR="008C141D">
        <w:t> </w:t>
      </w:r>
      <w:r w:rsidR="00612CB0">
        <w:t>3,5</w:t>
      </w:r>
      <w:r w:rsidRPr="00A12EDF">
        <w:rPr>
          <w:i/>
        </w:rPr>
        <w:t>%</w:t>
      </w:r>
      <w:r>
        <w:t xml:space="preserve"> w porównaniu z </w:t>
      </w:r>
      <w:r w:rsidR="00612CB0">
        <w:t>październikiem</w:t>
      </w:r>
      <w:r>
        <w:t xml:space="preserve"> ub. roku, kiedy notowano </w:t>
      </w:r>
      <w:r w:rsidR="00854BD8">
        <w:t xml:space="preserve">wzrost o </w:t>
      </w:r>
      <w:r w:rsidR="00612CB0">
        <w:t>7,4</w:t>
      </w:r>
      <w:r>
        <w:t>%, nat</w:t>
      </w:r>
      <w:r w:rsidR="00B96EE4">
        <w:t>omiast w porównaniu z</w:t>
      </w:r>
      <w:r w:rsidR="00AE6CAD">
        <w:t> </w:t>
      </w:r>
      <w:r w:rsidR="00612CB0">
        <w:t>wrześniem</w:t>
      </w:r>
      <w:r>
        <w:t xml:space="preserve"> br. </w:t>
      </w:r>
      <w:r w:rsidR="00302562">
        <w:t>wzrosła</w:t>
      </w:r>
      <w:r w:rsidR="009D4C87">
        <w:t xml:space="preserve"> o </w:t>
      </w:r>
      <w:r w:rsidR="00612CB0">
        <w:t>7,8</w:t>
      </w:r>
      <w:r w:rsidR="009D4C87">
        <w:t>%.</w:t>
      </w:r>
      <w:r w:rsidR="00AF4C05" w:rsidRPr="00AF4C05">
        <w:t xml:space="preserve"> </w:t>
      </w:r>
      <w:r w:rsidR="00AF4C05" w:rsidRPr="00C2742C">
        <w:t>W okresie styczeń</w:t>
      </w:r>
      <w:r w:rsidR="00AF4C05">
        <w:t xml:space="preserve"> – </w:t>
      </w:r>
      <w:r w:rsidR="00612CB0">
        <w:t>październik</w:t>
      </w:r>
      <w:r w:rsidR="00AF4C05">
        <w:t xml:space="preserve"> br</w:t>
      </w:r>
      <w:r w:rsidR="00AF4C05" w:rsidRPr="00C2742C">
        <w:t>. produ</w:t>
      </w:r>
      <w:r w:rsidR="00AF4C05">
        <w:t>kcj</w:t>
      </w:r>
      <w:r w:rsidR="00E52721">
        <w:t xml:space="preserve">a sprzedana przemysłu była </w:t>
      </w:r>
      <w:r w:rsidR="00E52721" w:rsidRPr="009D4C87">
        <w:t>o</w:t>
      </w:r>
      <w:r w:rsidR="00EC4562" w:rsidRPr="009D4C87">
        <w:t> </w:t>
      </w:r>
      <w:r w:rsidR="00612CB0">
        <w:t>4,3</w:t>
      </w:r>
      <w:r w:rsidR="00AF4C05" w:rsidRPr="00A12EDF">
        <w:rPr>
          <w:i/>
        </w:rPr>
        <w:t>%</w:t>
      </w:r>
      <w:r w:rsidR="00AF4C05">
        <w:t xml:space="preserve"> wyższa w</w:t>
      </w:r>
      <w:r w:rsidR="00AE6CAD">
        <w:t> </w:t>
      </w:r>
      <w:r w:rsidR="00AF4C05" w:rsidRPr="00C2742C">
        <w:t>porównaniu z</w:t>
      </w:r>
      <w:r w:rsidR="007E6424">
        <w:t> </w:t>
      </w:r>
      <w:r w:rsidR="00AF4C05" w:rsidRPr="00C2742C">
        <w:t xml:space="preserve">analogicznym okresem </w:t>
      </w:r>
      <w:r w:rsidR="00AF4C05">
        <w:t>ub. roku</w:t>
      </w:r>
      <w:r w:rsidR="00AF4C05" w:rsidRPr="00C2742C">
        <w:t xml:space="preserve">, kiedy notowano wzrost </w:t>
      </w:r>
      <w:r w:rsidR="00612CB0">
        <w:t>6,1</w:t>
      </w:r>
      <w:r w:rsidR="00AF4C05" w:rsidRPr="00C2742C">
        <w:t>%</w:t>
      </w:r>
      <w:r w:rsidR="00950875">
        <w:t>.</w:t>
      </w: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</w:p>
    <w:p w:rsidR="00D95EEA" w:rsidRDefault="00D95EEA" w:rsidP="00A41DEF">
      <w:pPr>
        <w:pStyle w:val="LID"/>
        <w:jc w:val="both"/>
      </w:pP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612CB0">
        <w:rPr>
          <w:b w:val="0"/>
        </w:rPr>
        <w:t>, w październiku</w:t>
      </w:r>
      <w:r w:rsidR="00302562">
        <w:rPr>
          <w:b w:val="0"/>
        </w:rPr>
        <w:t xml:space="preserve"> </w:t>
      </w:r>
      <w:r w:rsidR="00F449BE">
        <w:rPr>
          <w:b w:val="0"/>
        </w:rPr>
        <w:t>br.</w:t>
      </w:r>
      <w:r w:rsidRPr="00D95EEA">
        <w:rPr>
          <w:b w:val="0"/>
        </w:rPr>
        <w:t xml:space="preserve"> produkcja sprzedana przemysłu ukształtowała się na poziomie o </w:t>
      </w:r>
      <w:r w:rsidR="00612CB0">
        <w:rPr>
          <w:b w:val="0"/>
        </w:rPr>
        <w:t>3,7</w:t>
      </w:r>
      <w:r w:rsidRPr="00D95EEA">
        <w:rPr>
          <w:b w:val="0"/>
        </w:rPr>
        <w:t>% wyższym niż w</w:t>
      </w:r>
      <w:r w:rsidR="006474BE">
        <w:rPr>
          <w:b w:val="0"/>
        </w:rPr>
        <w:t> </w:t>
      </w:r>
      <w:r w:rsidRPr="00D95EEA">
        <w:rPr>
          <w:b w:val="0"/>
        </w:rPr>
        <w:t xml:space="preserve">analogicznym miesiącu ub. roku i o </w:t>
      </w:r>
      <w:r w:rsidR="00612CB0">
        <w:rPr>
          <w:b w:val="0"/>
        </w:rPr>
        <w:t>1,1</w:t>
      </w:r>
      <w:r w:rsidRPr="00D95EEA">
        <w:rPr>
          <w:b w:val="0"/>
        </w:rPr>
        <w:t xml:space="preserve">% </w:t>
      </w:r>
      <w:r w:rsidR="00302562">
        <w:rPr>
          <w:b w:val="0"/>
        </w:rPr>
        <w:t>wy</w:t>
      </w:r>
      <w:r w:rsidR="00163C94">
        <w:rPr>
          <w:b w:val="0"/>
        </w:rPr>
        <w:t>ższym</w:t>
      </w:r>
      <w:r w:rsidRPr="00D95EEA">
        <w:rPr>
          <w:b w:val="0"/>
        </w:rPr>
        <w:t xml:space="preserve"> w porównaniu z </w:t>
      </w:r>
      <w:r w:rsidR="00612CB0">
        <w:rPr>
          <w:b w:val="0"/>
        </w:rPr>
        <w:t>wrześniem</w:t>
      </w:r>
      <w:r w:rsidRPr="00D95EEA">
        <w:rPr>
          <w:b w:val="0"/>
        </w:rPr>
        <w:t xml:space="preserve"> br.</w:t>
      </w:r>
    </w:p>
    <w:p w:rsidR="00ED01FD" w:rsidRDefault="00ED01FD" w:rsidP="00A41DEF">
      <w:pPr>
        <w:pStyle w:val="LID"/>
        <w:jc w:val="both"/>
      </w:pPr>
    </w:p>
    <w:p w:rsidR="00ED01FD" w:rsidRDefault="00612CB0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-83544</wp:posOffset>
            </wp:positionH>
            <wp:positionV relativeFrom="paragraph">
              <wp:posOffset>191135</wp:posOffset>
            </wp:positionV>
            <wp:extent cx="5168265" cy="315150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12CB0" w:rsidRDefault="00612CB0" w:rsidP="00612CB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rFonts w:eastAsia="Calibri" w:cs="Times New Roman"/>
        </w:rPr>
        <w:t>We wszystkich głównych grupowaniach</w:t>
      </w:r>
      <w:r w:rsidRPr="00DD58F4">
        <w:rPr>
          <w:rFonts w:eastAsia="Calibri" w:cs="Times New Roman"/>
        </w:rPr>
        <w:t xml:space="preserve"> przemysłowych w</w:t>
      </w:r>
      <w:r>
        <w:rPr>
          <w:rFonts w:eastAsia="Calibri" w:cs="Times New Roman"/>
        </w:rPr>
        <w:t xml:space="preserve"> październiku</w:t>
      </w:r>
      <w:r w:rsidRPr="00DD58F4">
        <w:rPr>
          <w:rFonts w:eastAsia="Calibri" w:cs="Times New Roman"/>
        </w:rPr>
        <w:t xml:space="preserve"> br.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</w:t>
      </w:r>
      <w:r w:rsidR="00E16FA5">
        <w:rPr>
          <w:rFonts w:eastAsia="Calibri" w:cs="Times New Roman"/>
        </w:rPr>
        <w:t>dóbr konsumpcyjnych trwałych wzrosła</w:t>
      </w:r>
      <w:r w:rsidR="00E16FA5" w:rsidRPr="00DD58F4">
        <w:rPr>
          <w:rFonts w:eastAsia="Calibri" w:cs="Times New Roman"/>
        </w:rPr>
        <w:t xml:space="preserve"> o </w:t>
      </w:r>
      <w:r w:rsidR="00E16FA5">
        <w:rPr>
          <w:rFonts w:eastAsia="Calibri" w:cs="Times New Roman"/>
        </w:rPr>
        <w:t xml:space="preserve">8,7%, </w:t>
      </w:r>
      <w:r w:rsidR="00E16FA5" w:rsidRPr="00DD58F4">
        <w:rPr>
          <w:rFonts w:eastAsia="Calibri" w:cs="Times New Roman"/>
        </w:rPr>
        <w:t xml:space="preserve">dóbr zaopatrzeniowych </w:t>
      </w:r>
      <w:r w:rsidR="00E16FA5">
        <w:rPr>
          <w:rFonts w:eastAsia="Calibri" w:cs="Times New Roman"/>
        </w:rPr>
        <w:t>– o 2,8</w:t>
      </w:r>
      <w:r w:rsidR="00E16FA5" w:rsidRPr="00DD58F4">
        <w:rPr>
          <w:rFonts w:eastAsia="Calibri" w:cs="Times New Roman"/>
        </w:rPr>
        <w:t xml:space="preserve">%, </w:t>
      </w:r>
      <w:r w:rsidRPr="00DD58F4">
        <w:rPr>
          <w:rFonts w:eastAsia="Calibri" w:cs="Times New Roman"/>
        </w:rPr>
        <w:t xml:space="preserve">dóbr inwestycyjnych </w:t>
      </w:r>
      <w:r w:rsidR="005969B8">
        <w:rPr>
          <w:rFonts w:eastAsia="Calibri" w:cs="Times New Roman"/>
        </w:rPr>
        <w:t xml:space="preserve">– </w:t>
      </w:r>
      <w:r w:rsidRPr="00DD58F4">
        <w:rPr>
          <w:rFonts w:eastAsia="Calibri" w:cs="Times New Roman"/>
        </w:rPr>
        <w:t>o</w:t>
      </w:r>
      <w:r>
        <w:rPr>
          <w:rFonts w:eastAsia="Calibri" w:cs="Times New Roman"/>
        </w:rPr>
        <w:t> </w:t>
      </w:r>
      <w:r w:rsidR="00E16FA5">
        <w:rPr>
          <w:rFonts w:eastAsia="Calibri" w:cs="Times New Roman"/>
        </w:rPr>
        <w:t>2,7</w:t>
      </w:r>
      <w:r w:rsidRPr="00DD58F4">
        <w:rPr>
          <w:rFonts w:eastAsia="Calibri" w:cs="Times New Roman"/>
        </w:rPr>
        <w:t>%</w:t>
      </w:r>
      <w:r>
        <w:rPr>
          <w:rFonts w:eastAsia="Calibri" w:cs="Times New Roman"/>
        </w:rPr>
        <w:t xml:space="preserve">, </w:t>
      </w:r>
      <w:r w:rsidR="00E16FA5">
        <w:rPr>
          <w:rFonts w:eastAsia="Calibri" w:cs="Times New Roman"/>
        </w:rPr>
        <w:t>dóbr związanych</w:t>
      </w:r>
      <w:r w:rsidR="00E16FA5" w:rsidRPr="00DD58F4">
        <w:rPr>
          <w:rFonts w:eastAsia="Calibri" w:cs="Times New Roman"/>
        </w:rPr>
        <w:t xml:space="preserve"> z energią – o</w:t>
      </w:r>
      <w:r w:rsidR="005969B8">
        <w:rPr>
          <w:rFonts w:eastAsia="Calibri" w:cs="Times New Roman"/>
        </w:rPr>
        <w:t> </w:t>
      </w:r>
      <w:r w:rsidR="00E16FA5">
        <w:rPr>
          <w:rFonts w:eastAsia="Calibri" w:cs="Times New Roman"/>
        </w:rPr>
        <w:t>2,6%,</w:t>
      </w:r>
      <w:r w:rsidR="00CD3979">
        <w:rPr>
          <w:rFonts w:eastAsia="Calibri" w:cs="Times New Roman"/>
        </w:rPr>
        <w:t xml:space="preserve"> a</w:t>
      </w:r>
      <w:r w:rsidR="00E16FA5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dóbr </w:t>
      </w:r>
      <w:r w:rsidRPr="00DD58F4">
        <w:rPr>
          <w:rFonts w:eastAsia="Calibri" w:cs="Times New Roman"/>
        </w:rPr>
        <w:t xml:space="preserve">konsumpcyjnych nietrwałych – o </w:t>
      </w:r>
      <w:r w:rsidR="00E16FA5">
        <w:rPr>
          <w:rFonts w:eastAsia="Calibri" w:cs="Times New Roman"/>
        </w:rPr>
        <w:t>2,2%.</w:t>
      </w:r>
      <w:r>
        <w:rPr>
          <w:rFonts w:eastAsia="Calibri" w:cs="Times New Roman"/>
        </w:rPr>
        <w:t xml:space="preserve"> 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8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418"/>
        <w:gridCol w:w="1427"/>
        <w:gridCol w:w="1278"/>
      </w:tblGrid>
      <w:tr w:rsidR="00C8681F" w:rsidRPr="00FE2F2B" w:rsidTr="00761179">
        <w:trPr>
          <w:trHeight w:val="57"/>
        </w:trPr>
        <w:tc>
          <w:tcPr>
            <w:tcW w:w="2552" w:type="dxa"/>
            <w:vMerge w:val="restart"/>
            <w:vAlign w:val="center"/>
          </w:tcPr>
          <w:p w:rsidR="00C8681F" w:rsidRPr="00263373" w:rsidRDefault="00C8681F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262" w:type="dxa"/>
            <w:gridSpan w:val="3"/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278" w:type="dxa"/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AD74AD"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761179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</w:t>
            </w:r>
            <w:r w:rsidR="00C8681F" w:rsidRPr="00263373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>)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612CB0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AD74AD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27" w:type="dxa"/>
            <w:tcBorders>
              <w:bottom w:val="single" w:sz="12" w:space="0" w:color="212492"/>
            </w:tcBorders>
            <w:vAlign w:val="center"/>
          </w:tcPr>
          <w:p w:rsidR="00C8681F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C8681F" w:rsidRPr="00263373" w:rsidRDefault="00C8681F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278" w:type="dxa"/>
            <w:tcBorders>
              <w:bottom w:val="single" w:sz="12" w:space="0" w:color="212492"/>
            </w:tcBorders>
            <w:vAlign w:val="center"/>
          </w:tcPr>
          <w:p w:rsidR="00C8681F" w:rsidRPr="00263373" w:rsidRDefault="0073256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AD74AD">
              <w:rPr>
                <w:sz w:val="16"/>
                <w:szCs w:val="18"/>
                <w:shd w:val="clear" w:color="auto" w:fill="FFFFFF"/>
              </w:rPr>
              <w:t>X</w:t>
            </w:r>
            <w:r w:rsidR="00C8681F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103,5</w:t>
            </w:r>
          </w:p>
        </w:tc>
        <w:tc>
          <w:tcPr>
            <w:tcW w:w="1427" w:type="dxa"/>
            <w:tcBorders>
              <w:top w:val="single" w:sz="12" w:space="0" w:color="212492"/>
            </w:tcBorders>
            <w:vAlign w:val="center"/>
          </w:tcPr>
          <w:p w:rsidR="00C8681F" w:rsidRPr="00DD58F4" w:rsidRDefault="00612CB0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133,3</w:t>
            </w:r>
          </w:p>
        </w:tc>
        <w:tc>
          <w:tcPr>
            <w:tcW w:w="1278" w:type="dxa"/>
            <w:tcBorders>
              <w:top w:val="single" w:sz="12" w:space="0" w:color="212492"/>
            </w:tcBorders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A75AD0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="00C8681F"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417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95,3</w:t>
            </w:r>
          </w:p>
        </w:tc>
        <w:tc>
          <w:tcPr>
            <w:tcW w:w="1418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93,9</w:t>
            </w:r>
          </w:p>
        </w:tc>
        <w:tc>
          <w:tcPr>
            <w:tcW w:w="1427" w:type="dxa"/>
            <w:vAlign w:val="center"/>
          </w:tcPr>
          <w:p w:rsidR="00C8681F" w:rsidRPr="00DD58F4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93,8</w:t>
            </w:r>
          </w:p>
        </w:tc>
        <w:tc>
          <w:tcPr>
            <w:tcW w:w="1278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  <w:tc>
          <w:tcPr>
            <w:tcW w:w="1418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</w:t>
            </w:r>
          </w:p>
        </w:tc>
        <w:tc>
          <w:tcPr>
            <w:tcW w:w="1427" w:type="dxa"/>
            <w:vAlign w:val="center"/>
          </w:tcPr>
          <w:p w:rsidR="00C8681F" w:rsidRPr="00DD58F4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136,9</w:t>
            </w:r>
          </w:p>
        </w:tc>
        <w:tc>
          <w:tcPr>
            <w:tcW w:w="1278" w:type="dxa"/>
            <w:vAlign w:val="center"/>
          </w:tcPr>
          <w:p w:rsidR="00C8681F" w:rsidRPr="009D4C87" w:rsidRDefault="00612CB0" w:rsidP="00761179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104,7</w:t>
            </w:r>
          </w:p>
        </w:tc>
      </w:tr>
      <w:tr w:rsidR="00C8681F" w:rsidRPr="00FE2F2B" w:rsidTr="00761179">
        <w:trPr>
          <w:trHeight w:val="57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17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119,5</w:t>
            </w:r>
          </w:p>
        </w:tc>
        <w:tc>
          <w:tcPr>
            <w:tcW w:w="1418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106,4</w:t>
            </w:r>
          </w:p>
        </w:tc>
        <w:tc>
          <w:tcPr>
            <w:tcW w:w="1427" w:type="dxa"/>
            <w:vAlign w:val="center"/>
          </w:tcPr>
          <w:p w:rsidR="00C8681F" w:rsidRPr="00DD58F4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115,0</w:t>
            </w:r>
          </w:p>
        </w:tc>
        <w:tc>
          <w:tcPr>
            <w:tcW w:w="1278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98,8</w:t>
            </w:r>
          </w:p>
        </w:tc>
      </w:tr>
      <w:tr w:rsidR="00C8681F" w:rsidRPr="00FE2F2B" w:rsidTr="00761179">
        <w:trPr>
          <w:trHeight w:val="624"/>
        </w:trPr>
        <w:tc>
          <w:tcPr>
            <w:tcW w:w="2552" w:type="dxa"/>
            <w:vAlign w:val="center"/>
          </w:tcPr>
          <w:p w:rsidR="00C8681F" w:rsidRPr="00263373" w:rsidRDefault="00C8681F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1418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108,3</w:t>
            </w:r>
          </w:p>
        </w:tc>
        <w:tc>
          <w:tcPr>
            <w:tcW w:w="1427" w:type="dxa"/>
            <w:vAlign w:val="center"/>
          </w:tcPr>
          <w:p w:rsidR="00C8681F" w:rsidRPr="00DD58F4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129,5</w:t>
            </w:r>
          </w:p>
        </w:tc>
        <w:tc>
          <w:tcPr>
            <w:tcW w:w="1278" w:type="dxa"/>
            <w:vAlign w:val="center"/>
          </w:tcPr>
          <w:p w:rsidR="00C8681F" w:rsidRPr="009D4C87" w:rsidRDefault="00612CB0" w:rsidP="00761179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110,0</w:t>
            </w:r>
          </w:p>
        </w:tc>
      </w:tr>
    </w:tbl>
    <w:p w:rsidR="004B7D05" w:rsidRPr="00CA06D6" w:rsidRDefault="004B7D05" w:rsidP="00290E81">
      <w:pPr>
        <w:spacing w:before="0" w:after="0" w:line="180" w:lineRule="exact"/>
        <w:rPr>
          <w:sz w:val="12"/>
          <w:shd w:val="clear" w:color="auto" w:fill="FFFFFF"/>
        </w:rPr>
      </w:pPr>
    </w:p>
    <w:p w:rsidR="00761179" w:rsidRDefault="00761179" w:rsidP="00364866">
      <w:pPr>
        <w:spacing w:before="0" w:after="0" w:line="240" w:lineRule="auto"/>
        <w:rPr>
          <w:i/>
          <w:sz w:val="16"/>
          <w:szCs w:val="16"/>
          <w:shd w:val="clear" w:color="auto" w:fill="FFFFFF"/>
          <w:vertAlign w:val="superscript"/>
        </w:rPr>
      </w:pPr>
    </w:p>
    <w:p w:rsidR="00C8681F" w:rsidRPr="00E81AF2" w:rsidRDefault="00761179" w:rsidP="007014DD">
      <w:pPr>
        <w:spacing w:after="0" w:line="240" w:lineRule="auto"/>
        <w:rPr>
          <w:sz w:val="16"/>
          <w:szCs w:val="16"/>
          <w:shd w:val="clear" w:color="auto" w:fill="FFFFFF"/>
        </w:rPr>
      </w:pPr>
      <w:r>
        <w:rPr>
          <w:i/>
          <w:sz w:val="16"/>
          <w:szCs w:val="16"/>
          <w:shd w:val="clear" w:color="auto" w:fill="FFFFFF"/>
          <w:vertAlign w:val="superscript"/>
        </w:rPr>
        <w:t>a</w:t>
      </w:r>
      <w:r w:rsidR="00C8681F"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="00C8681F" w:rsidRPr="00E81AF2">
        <w:rPr>
          <w:sz w:val="16"/>
          <w:szCs w:val="16"/>
          <w:shd w:val="clear" w:color="auto" w:fill="FFFFFF"/>
        </w:rPr>
        <w:t xml:space="preserve">Dane z uwzględnieniem ostatecznych informacji o </w:t>
      </w:r>
      <w:r w:rsidR="00241F69" w:rsidRPr="00E81AF2">
        <w:rPr>
          <w:sz w:val="16"/>
          <w:szCs w:val="16"/>
          <w:shd w:val="clear" w:color="auto" w:fill="FFFFFF"/>
        </w:rPr>
        <w:t>produkcji i cenach</w:t>
      </w:r>
      <w:r w:rsidR="00612CB0">
        <w:rPr>
          <w:sz w:val="16"/>
          <w:szCs w:val="16"/>
          <w:shd w:val="clear" w:color="auto" w:fill="FFFFFF"/>
        </w:rPr>
        <w:t xml:space="preserve"> we wrześniu </w:t>
      </w:r>
      <w:r w:rsidR="00364866">
        <w:rPr>
          <w:sz w:val="16"/>
          <w:szCs w:val="16"/>
          <w:shd w:val="clear" w:color="auto" w:fill="FFFFFF"/>
        </w:rPr>
        <w:t xml:space="preserve">oraz meldunkowych </w:t>
      </w:r>
      <w:r w:rsidR="00612CB0">
        <w:rPr>
          <w:sz w:val="16"/>
          <w:szCs w:val="16"/>
          <w:shd w:val="clear" w:color="auto" w:fill="FFFFFF"/>
        </w:rPr>
        <w:t>w październiku</w:t>
      </w:r>
      <w:r w:rsidR="00C8681F" w:rsidRPr="00E81AF2">
        <w:rPr>
          <w:sz w:val="16"/>
          <w:szCs w:val="16"/>
          <w:shd w:val="clear" w:color="auto" w:fill="FFFFFF"/>
        </w:rPr>
        <w:t>.</w:t>
      </w:r>
    </w:p>
    <w:p w:rsidR="00FE2F2B" w:rsidRDefault="00FE2F2B" w:rsidP="002A0223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ED01FD" w:rsidRDefault="00ED01FD" w:rsidP="00364866">
      <w:pPr>
        <w:spacing w:before="0" w:after="0" w:line="240" w:lineRule="auto"/>
        <w:rPr>
          <w:sz w:val="16"/>
          <w:szCs w:val="16"/>
          <w:shd w:val="clear" w:color="auto" w:fill="FFFFFF"/>
        </w:rPr>
      </w:pPr>
    </w:p>
    <w:p w:rsidR="0056321D" w:rsidRDefault="00761179" w:rsidP="0056321D">
      <w:pPr>
        <w:suppressAutoHyphens/>
        <w:spacing w:after="240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5229225</wp:posOffset>
                </wp:positionH>
                <wp:positionV relativeFrom="paragraph">
                  <wp:posOffset>12065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2446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F14BE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81,9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DDCA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9" type="#_x0000_t202" style="position:absolute;margin-left:411.75pt;margin-top:.9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2446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F14BE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81,9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55D64" w:rsidRPr="001055A7">
        <w:rPr>
          <w:shd w:val="clear" w:color="auto" w:fill="FFFFFF"/>
        </w:rPr>
        <w:t xml:space="preserve">Według wstępnych danych </w:t>
      </w:r>
      <w:r w:rsidR="00F14BEF">
        <w:rPr>
          <w:shd w:val="clear" w:color="auto" w:fill="FFFFFF"/>
        </w:rPr>
        <w:t>w październiku</w:t>
      </w:r>
      <w:r w:rsidR="0056321D">
        <w:rPr>
          <w:shd w:val="clear" w:color="auto" w:fill="FFFFFF"/>
        </w:rPr>
        <w:t xml:space="preserve"> </w:t>
      </w:r>
      <w:r w:rsidR="00955D64">
        <w:rPr>
          <w:shd w:val="clear" w:color="auto" w:fill="FFFFFF"/>
        </w:rPr>
        <w:t>br</w:t>
      </w:r>
      <w:r w:rsidR="00955D64" w:rsidRPr="001055A7">
        <w:rPr>
          <w:shd w:val="clear" w:color="auto" w:fill="FFFFFF"/>
        </w:rPr>
        <w:t>.</w:t>
      </w:r>
      <w:r w:rsidR="00955D64">
        <w:rPr>
          <w:shd w:val="clear" w:color="auto" w:fill="FFFFFF"/>
        </w:rPr>
        <w:t>, w</w:t>
      </w:r>
      <w:r w:rsidR="00955D64" w:rsidRPr="001055A7">
        <w:rPr>
          <w:shd w:val="clear" w:color="auto" w:fill="FFFFFF"/>
        </w:rPr>
        <w:t xml:space="preserve"> stosunku do </w:t>
      </w:r>
      <w:r w:rsidR="00F14BEF">
        <w:rPr>
          <w:shd w:val="clear" w:color="auto" w:fill="FFFFFF"/>
        </w:rPr>
        <w:t>października</w:t>
      </w:r>
      <w:r w:rsidR="00955D64">
        <w:rPr>
          <w:shd w:val="clear" w:color="auto" w:fill="FFFFFF"/>
        </w:rPr>
        <w:t xml:space="preserve"> ub. roku,</w:t>
      </w:r>
      <w:r w:rsidR="00955D64" w:rsidRPr="001055A7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wzrost</w:t>
      </w:r>
      <w:r w:rsidR="00955D64" w:rsidRPr="001055A7">
        <w:rPr>
          <w:shd w:val="clear" w:color="auto" w:fill="FFFFFF"/>
        </w:rPr>
        <w:t xml:space="preserve"> produkcji sprzedanej </w:t>
      </w:r>
      <w:r w:rsidR="00955D64">
        <w:rPr>
          <w:shd w:val="clear" w:color="auto" w:fill="FFFFFF"/>
        </w:rPr>
        <w:t xml:space="preserve">(w cenach stałych) </w:t>
      </w:r>
      <w:r w:rsidR="00955D64" w:rsidRPr="001055A7">
        <w:rPr>
          <w:shd w:val="clear" w:color="auto" w:fill="FFFFFF"/>
        </w:rPr>
        <w:t xml:space="preserve">odnotowano w </w:t>
      </w:r>
      <w:r w:rsidR="00F14BEF">
        <w:rPr>
          <w:shd w:val="clear" w:color="auto" w:fill="FFFFFF"/>
        </w:rPr>
        <w:t>26</w:t>
      </w:r>
      <w:r w:rsidR="00955D64" w:rsidRPr="00466F54">
        <w:rPr>
          <w:shd w:val="clear" w:color="auto" w:fill="FFFFFF"/>
        </w:rPr>
        <w:t xml:space="preserve"> (spośród 34) działach przemysłu, m.in. </w:t>
      </w:r>
      <w:r w:rsidR="00955D64"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 w:rsidR="00955D64">
        <w:rPr>
          <w:shd w:val="clear" w:color="auto" w:fill="FFFFFF"/>
        </w:rPr>
        <w:t xml:space="preserve">produkcji </w:t>
      </w:r>
      <w:r w:rsidR="00F14BEF">
        <w:rPr>
          <w:shd w:val="clear" w:color="auto" w:fill="FFFFFF"/>
        </w:rPr>
        <w:t>urządzeń elektrycznych – o 13,0%,</w:t>
      </w:r>
      <w:r w:rsidR="00F14BEF" w:rsidRPr="00F14BEF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komputerów, wyrobów elektronicznych i optycznych – o 10,5</w:t>
      </w:r>
      <w:r w:rsidR="00F14BEF" w:rsidRPr="00466F54">
        <w:rPr>
          <w:shd w:val="clear" w:color="auto" w:fill="FFFFFF"/>
        </w:rPr>
        <w:t>%</w:t>
      </w:r>
      <w:r w:rsidR="00F14BEF">
        <w:rPr>
          <w:shd w:val="clear" w:color="auto" w:fill="FFFFFF"/>
        </w:rPr>
        <w:t>,</w:t>
      </w:r>
      <w:r w:rsidR="00F14BEF" w:rsidRPr="00F14BEF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maszyn i urządzeń – o 7,5%,</w:t>
      </w:r>
      <w:r w:rsidR="00F14BEF" w:rsidRPr="00F14BEF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mebli – o 7,3%,</w:t>
      </w:r>
      <w:r w:rsidR="00F14BEF" w:rsidRPr="00F14BEF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wyrobów z gumy i tworzyw sztucznych – o 6,5%,</w:t>
      </w:r>
      <w:r w:rsidR="00F14BEF" w:rsidRPr="00F14BEF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w </w:t>
      </w:r>
      <w:r w:rsidR="00F14BEF" w:rsidRPr="00466F54">
        <w:rPr>
          <w:shd w:val="clear" w:color="auto" w:fill="FFFFFF"/>
        </w:rPr>
        <w:t xml:space="preserve">wytwarzaniu i zaopatrywaniu w energię elektryczną, gaz, </w:t>
      </w:r>
      <w:r w:rsidR="00F14BEF">
        <w:rPr>
          <w:shd w:val="clear" w:color="auto" w:fill="FFFFFF"/>
        </w:rPr>
        <w:t>parę wodną i</w:t>
      </w:r>
      <w:r w:rsidR="006474BE">
        <w:rPr>
          <w:shd w:val="clear" w:color="auto" w:fill="FFFFFF"/>
        </w:rPr>
        <w:t> </w:t>
      </w:r>
      <w:r w:rsidR="00F14BEF">
        <w:rPr>
          <w:shd w:val="clear" w:color="auto" w:fill="FFFFFF"/>
        </w:rPr>
        <w:t xml:space="preserve">gorącą wodę </w:t>
      </w:r>
      <w:r w:rsidR="00F14BEF" w:rsidRPr="00D63B1C">
        <w:rPr>
          <w:noProof/>
          <w:spacing w:val="-2"/>
          <w:szCs w:val="19"/>
          <w:lang w:eastAsia="pl-PL"/>
        </w:rPr>
        <w:t>–</w:t>
      </w:r>
      <w:r w:rsidR="00F14BEF">
        <w:rPr>
          <w:noProof/>
          <w:spacing w:val="-2"/>
          <w:szCs w:val="19"/>
          <w:lang w:eastAsia="pl-PL"/>
        </w:rPr>
        <w:t xml:space="preserve"> o </w:t>
      </w:r>
      <w:r w:rsidR="00F14BEF">
        <w:rPr>
          <w:shd w:val="clear" w:color="auto" w:fill="FFFFFF"/>
        </w:rPr>
        <w:t>6,4</w:t>
      </w:r>
      <w:r w:rsidR="00F14BEF" w:rsidRPr="00466F54">
        <w:rPr>
          <w:shd w:val="clear" w:color="auto" w:fill="FFFFFF"/>
        </w:rPr>
        <w:t>%</w:t>
      </w:r>
      <w:r w:rsidR="00F14BEF">
        <w:rPr>
          <w:shd w:val="clear" w:color="auto" w:fill="FFFFFF"/>
        </w:rPr>
        <w:t xml:space="preserve">, w produkcji wyrobów z metali – o 6,2%. </w:t>
      </w:r>
      <w:r w:rsidR="0056321D">
        <w:rPr>
          <w:shd w:val="clear" w:color="auto" w:fill="FFFFFF"/>
        </w:rPr>
        <w:t>Spadek</w:t>
      </w:r>
      <w:r w:rsidR="0056321D" w:rsidRPr="00466F54">
        <w:rPr>
          <w:shd w:val="clear" w:color="auto" w:fill="FFFFFF"/>
        </w:rPr>
        <w:t xml:space="preserve"> produkcji sprzedanej przemysłu, w</w:t>
      </w:r>
      <w:r w:rsidR="0056321D">
        <w:rPr>
          <w:shd w:val="clear" w:color="auto" w:fill="FFFFFF"/>
        </w:rPr>
        <w:t xml:space="preserve"> </w:t>
      </w:r>
      <w:r w:rsidR="0056321D" w:rsidRPr="00466F54">
        <w:rPr>
          <w:shd w:val="clear" w:color="auto" w:fill="FFFFFF"/>
        </w:rPr>
        <w:t xml:space="preserve">porównaniu </w:t>
      </w:r>
      <w:r w:rsidR="0056321D">
        <w:rPr>
          <w:shd w:val="clear" w:color="auto" w:fill="FFFFFF"/>
        </w:rPr>
        <w:t>z</w:t>
      </w:r>
      <w:r w:rsidR="00244680">
        <w:rPr>
          <w:shd w:val="clear" w:color="auto" w:fill="FFFFFF"/>
        </w:rPr>
        <w:t> </w:t>
      </w:r>
      <w:r w:rsidR="00F14BEF">
        <w:rPr>
          <w:shd w:val="clear" w:color="auto" w:fill="FFFFFF"/>
        </w:rPr>
        <w:t>październikiem</w:t>
      </w:r>
      <w:r w:rsidR="0056321D" w:rsidRPr="00466F54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ub. roku,</w:t>
      </w:r>
      <w:r w:rsidR="0056321D" w:rsidRPr="00466F54">
        <w:rPr>
          <w:shd w:val="clear" w:color="auto" w:fill="FFFFFF"/>
        </w:rPr>
        <w:t xml:space="preserve"> wystąpił w </w:t>
      </w:r>
      <w:r w:rsidR="00F14BEF">
        <w:rPr>
          <w:shd w:val="clear" w:color="auto" w:fill="FFFFFF"/>
        </w:rPr>
        <w:t>8</w:t>
      </w:r>
      <w:r w:rsidR="0056321D" w:rsidRPr="00466F54">
        <w:rPr>
          <w:shd w:val="clear" w:color="auto" w:fill="FFFFFF"/>
        </w:rPr>
        <w:t xml:space="preserve"> działach</w:t>
      </w:r>
      <w:r w:rsidR="0056321D">
        <w:rPr>
          <w:shd w:val="clear" w:color="auto" w:fill="FFFFFF"/>
        </w:rPr>
        <w:t>, m.in.</w:t>
      </w:r>
      <w:r w:rsidR="0056321D" w:rsidRPr="00466F54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 produkcji</w:t>
      </w:r>
      <w:r w:rsidR="0056321D" w:rsidRPr="0056321D">
        <w:rPr>
          <w:shd w:val="clear" w:color="auto" w:fill="FFFFFF"/>
        </w:rPr>
        <w:t xml:space="preserve"> </w:t>
      </w:r>
      <w:r w:rsidR="00F14BEF">
        <w:rPr>
          <w:shd w:val="clear" w:color="auto" w:fill="FFFFFF"/>
        </w:rPr>
        <w:t>metali – o 3,8%, w </w:t>
      </w:r>
      <w:r w:rsidR="00F14BEF" w:rsidRPr="001055A7">
        <w:rPr>
          <w:shd w:val="clear" w:color="auto" w:fill="FFFFFF"/>
        </w:rPr>
        <w:t>wydobywaniu wę</w:t>
      </w:r>
      <w:r w:rsidR="00F14BEF">
        <w:rPr>
          <w:shd w:val="clear" w:color="auto" w:fill="FFFFFF"/>
        </w:rPr>
        <w:t xml:space="preserve">gla kamiennego i brunatnego </w:t>
      </w:r>
      <w:r w:rsidR="00F14BEF" w:rsidRPr="00D63B1C">
        <w:rPr>
          <w:noProof/>
          <w:spacing w:val="-2"/>
          <w:szCs w:val="19"/>
          <w:lang w:eastAsia="pl-PL"/>
        </w:rPr>
        <w:t>–</w:t>
      </w:r>
      <w:r w:rsidR="00F14BEF">
        <w:rPr>
          <w:shd w:val="clear" w:color="auto" w:fill="FFFFFF"/>
        </w:rPr>
        <w:t xml:space="preserve"> o 3,7%, w produkcji </w:t>
      </w:r>
      <w:r w:rsidR="0056321D">
        <w:rPr>
          <w:shd w:val="clear" w:color="auto" w:fill="FFFFFF"/>
        </w:rPr>
        <w:t xml:space="preserve">koksu i produktów rafinacji ropy naftowej – o </w:t>
      </w:r>
      <w:r w:rsidR="00F14BEF">
        <w:rPr>
          <w:shd w:val="clear" w:color="auto" w:fill="FFFFFF"/>
        </w:rPr>
        <w:t>1,6%.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F14BEF" w:rsidRPr="0041134C" w:rsidRDefault="00F14BEF" w:rsidP="0041134C">
      <w:pPr>
        <w:spacing w:before="0" w:after="0"/>
        <w:rPr>
          <w:b/>
          <w:sz w:val="18"/>
          <w:szCs w:val="18"/>
          <w:shd w:val="clear" w:color="auto" w:fill="FFFFFF"/>
        </w:rPr>
        <w:sectPr w:rsidR="00F14BEF" w:rsidRPr="0041134C" w:rsidSect="00B06BC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margin">
              <wp:posOffset>-1905</wp:posOffset>
            </wp:positionH>
            <wp:positionV relativeFrom="paragraph">
              <wp:posOffset>248754</wp:posOffset>
            </wp:positionV>
            <wp:extent cx="5122545" cy="3474720"/>
            <wp:effectExtent l="0" t="0" r="1905" b="0"/>
            <wp:wrapSquare wrapText="bothSides"/>
            <wp:docPr id="5" name="Wykres 5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6304E0" w:rsidTr="00935EC5">
        <w:trPr>
          <w:trHeight w:val="1344"/>
        </w:trPr>
        <w:tc>
          <w:tcPr>
            <w:tcW w:w="4218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 xml:space="preserve">Beata Kaczorowska 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608 34</w:t>
            </w:r>
            <w:r w:rsidR="006304E0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Pr="00D95EEA">
              <w:rPr>
                <w:rFonts w:cs="Arial"/>
                <w:color w:val="000000" w:themeColor="text1"/>
                <w:sz w:val="20"/>
                <w:lang w:val="en-US"/>
              </w:rPr>
              <w:t>16</w:t>
            </w:r>
          </w:p>
          <w:p w:rsidR="00C8681F" w:rsidRPr="00C8681F" w:rsidRDefault="00C8681F" w:rsidP="00C8681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70168F">
              <w:rPr>
                <w:rFonts w:cs="Arial"/>
                <w:b/>
                <w:color w:val="000000" w:themeColor="text1"/>
                <w:sz w:val="20"/>
                <w:lang w:val="en-US"/>
              </w:rPr>
              <w:t>e-mail</w:t>
            </w:r>
            <w:r w:rsidRPr="0070168F">
              <w:rPr>
                <w:rFonts w:cs="Arial"/>
                <w:b/>
                <w:sz w:val="20"/>
                <w:lang w:val="en-US"/>
              </w:rPr>
              <w:t xml:space="preserve">: </w:t>
            </w:r>
            <w:hyperlink r:id="rId19" w:history="1">
              <w:r w:rsidRPr="00E81AF2">
                <w:rPr>
                  <w:rFonts w:cs="Arial"/>
                  <w:b/>
                  <w:sz w:val="20"/>
                  <w:u w:val="single"/>
                  <w:lang w:val="en-US"/>
                </w:rPr>
                <w:t>B.Kaczorowska@stat.gov.pl</w:t>
              </w:r>
            </w:hyperlink>
            <w:r w:rsidRPr="00C8681F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:rsidR="00C8681F" w:rsidRPr="00C8681F" w:rsidRDefault="00C8681F" w:rsidP="00C8681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22 608 34</w:t>
            </w:r>
            <w:r w:rsidR="006304E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</w:t>
            </w: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75, 22 608 30</w:t>
            </w:r>
            <w:r w:rsidR="006304E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 </w:t>
            </w:r>
            <w:r w:rsidR="00C8681F" w:rsidRPr="00C8681F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09</w:t>
            </w:r>
          </w:p>
          <w:p w:rsidR="00C8681F" w:rsidRPr="00C8681F" w:rsidRDefault="00C8681F" w:rsidP="00C8681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C8681F">
                <w:rPr>
                  <w:rFonts w:eastAsiaTheme="majorEastAsia" w:cs="Arial"/>
                  <w:b/>
                  <w:color w:val="000000" w:themeColor="text1"/>
                  <w:sz w:val="20"/>
                  <w:szCs w:val="20"/>
                  <w:u w:val="single"/>
                  <w:lang w:val="en-US"/>
                </w:rPr>
                <w:t>rzecznik@stat.gov.pl</w:t>
              </w:r>
            </w:hyperlink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6304E0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6304E0">
              <w:rPr>
                <w:sz w:val="20"/>
              </w:rPr>
              <w:t xml:space="preserve"> </w:t>
            </w:r>
            <w:bookmarkStart w:id="0" w:name="_GoBack"/>
            <w:bookmarkEnd w:id="0"/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21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C5159F" w:rsidP="00E81AF2">
            <w:pPr>
              <w:rPr>
                <w:sz w:val="20"/>
                <w:szCs w:val="20"/>
              </w:rPr>
            </w:pPr>
            <w:hyperlink r:id="rId23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Biuletyn Statystyczny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04A4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Sytuacja</w:t>
                              </w:r>
                              <w:r w:rsidR="009B6898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społeczno-gospodarcza</w:t>
                              </w:r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 xml:space="preserve"> kraju</w:t>
                              </w:r>
                            </w:hyperlink>
                          </w:p>
                          <w:p w:rsidR="00C8681F" w:rsidRPr="007C79C9" w:rsidRDefault="00C5159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8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C5159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C5159F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4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E42E"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Biuletyn Statystyczny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04A4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Sytuacja</w:t>
                        </w:r>
                        <w:r w:rsidR="009B6898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społeczno-gospodarcza</w:t>
                        </w:r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 xml:space="preserve"> kraju</w:t>
                        </w:r>
                      </w:hyperlink>
                    </w:p>
                    <w:p w:rsidR="00C8681F" w:rsidRPr="007C79C9" w:rsidRDefault="00521421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43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5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521421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51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521421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55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59F" w:rsidRDefault="00C5159F" w:rsidP="000662E2">
      <w:pPr>
        <w:spacing w:after="0" w:line="240" w:lineRule="auto"/>
      </w:pPr>
      <w:r>
        <w:separator/>
      </w:r>
    </w:p>
  </w:endnote>
  <w:endnote w:type="continuationSeparator" w:id="0">
    <w:p w:rsidR="00C5159F" w:rsidRDefault="00C5159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6476180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304E0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35464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4E0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59F" w:rsidRDefault="00C5159F" w:rsidP="000662E2">
      <w:pPr>
        <w:spacing w:after="0" w:line="240" w:lineRule="auto"/>
      </w:pPr>
      <w:r>
        <w:separator/>
      </w:r>
    </w:p>
  </w:footnote>
  <w:footnote w:type="continuationSeparator" w:id="0">
    <w:p w:rsidR="00C5159F" w:rsidRDefault="00C5159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612CB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.1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472D0F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612CB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.1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472D0F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5pt;height:123.65pt;visibility:visible;mso-wrap-style:square" o:bullet="t">
        <v:imagedata r:id="rId1" o:title=""/>
      </v:shape>
    </w:pict>
  </w:numPicBullet>
  <w:numPicBullet w:numPicBulletId="1">
    <w:pict>
      <v:shape id="_x0000_i1029" type="#_x0000_t75" style="width:122.1pt;height:123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7A14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4D06"/>
    <w:rsid w:val="00126B69"/>
    <w:rsid w:val="00130296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3C94"/>
    <w:rsid w:val="00165DD1"/>
    <w:rsid w:val="00174419"/>
    <w:rsid w:val="001802BD"/>
    <w:rsid w:val="00180640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E1CE7"/>
    <w:rsid w:val="001E4F42"/>
    <w:rsid w:val="001E6093"/>
    <w:rsid w:val="001F023F"/>
    <w:rsid w:val="001F1220"/>
    <w:rsid w:val="002000FB"/>
    <w:rsid w:val="00203959"/>
    <w:rsid w:val="002045B0"/>
    <w:rsid w:val="00214694"/>
    <w:rsid w:val="002338F4"/>
    <w:rsid w:val="00233D39"/>
    <w:rsid w:val="002376C0"/>
    <w:rsid w:val="00237B0A"/>
    <w:rsid w:val="00241F69"/>
    <w:rsid w:val="00244680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5CFF"/>
    <w:rsid w:val="002F77C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F83"/>
    <w:rsid w:val="00331E28"/>
    <w:rsid w:val="00332320"/>
    <w:rsid w:val="00334DDA"/>
    <w:rsid w:val="00337EFE"/>
    <w:rsid w:val="00341D35"/>
    <w:rsid w:val="00343E5F"/>
    <w:rsid w:val="00347D72"/>
    <w:rsid w:val="0035304E"/>
    <w:rsid w:val="00357611"/>
    <w:rsid w:val="00364866"/>
    <w:rsid w:val="00367237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212E7"/>
    <w:rsid w:val="0042446D"/>
    <w:rsid w:val="00424FE7"/>
    <w:rsid w:val="00426D90"/>
    <w:rsid w:val="00427BF8"/>
    <w:rsid w:val="00427FC1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72D0F"/>
    <w:rsid w:val="00473092"/>
    <w:rsid w:val="004733F6"/>
    <w:rsid w:val="00474E69"/>
    <w:rsid w:val="00475544"/>
    <w:rsid w:val="00485D27"/>
    <w:rsid w:val="00486816"/>
    <w:rsid w:val="00491500"/>
    <w:rsid w:val="00494266"/>
    <w:rsid w:val="0049621B"/>
    <w:rsid w:val="004974CF"/>
    <w:rsid w:val="004A0666"/>
    <w:rsid w:val="004B43DE"/>
    <w:rsid w:val="004B5D5B"/>
    <w:rsid w:val="004B7D05"/>
    <w:rsid w:val="004C1895"/>
    <w:rsid w:val="004C36E2"/>
    <w:rsid w:val="004C46FE"/>
    <w:rsid w:val="004C6D40"/>
    <w:rsid w:val="004D7AD5"/>
    <w:rsid w:val="004D7C62"/>
    <w:rsid w:val="004E1477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9B5"/>
    <w:rsid w:val="005203F1"/>
    <w:rsid w:val="0052142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21D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969B8"/>
    <w:rsid w:val="005A2411"/>
    <w:rsid w:val="005A2E64"/>
    <w:rsid w:val="005A3C29"/>
    <w:rsid w:val="005A5994"/>
    <w:rsid w:val="005A698C"/>
    <w:rsid w:val="005B294A"/>
    <w:rsid w:val="005B347F"/>
    <w:rsid w:val="005C0646"/>
    <w:rsid w:val="005C63F1"/>
    <w:rsid w:val="005D401D"/>
    <w:rsid w:val="005E0799"/>
    <w:rsid w:val="005E726F"/>
    <w:rsid w:val="005E7AA5"/>
    <w:rsid w:val="005F1E67"/>
    <w:rsid w:val="005F5A80"/>
    <w:rsid w:val="005F650D"/>
    <w:rsid w:val="0060323D"/>
    <w:rsid w:val="00603C52"/>
    <w:rsid w:val="00603D6E"/>
    <w:rsid w:val="006044FF"/>
    <w:rsid w:val="006046C1"/>
    <w:rsid w:val="0060685D"/>
    <w:rsid w:val="00607CC5"/>
    <w:rsid w:val="00612CB0"/>
    <w:rsid w:val="006143F3"/>
    <w:rsid w:val="00622B75"/>
    <w:rsid w:val="006304E0"/>
    <w:rsid w:val="0063104C"/>
    <w:rsid w:val="00633014"/>
    <w:rsid w:val="00633EA6"/>
    <w:rsid w:val="0063437B"/>
    <w:rsid w:val="00642D1D"/>
    <w:rsid w:val="00643957"/>
    <w:rsid w:val="006460F8"/>
    <w:rsid w:val="006469F9"/>
    <w:rsid w:val="006474BE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4DD"/>
    <w:rsid w:val="0070168F"/>
    <w:rsid w:val="007028FA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553C"/>
    <w:rsid w:val="00805B46"/>
    <w:rsid w:val="00806AF1"/>
    <w:rsid w:val="00823814"/>
    <w:rsid w:val="00825DC2"/>
    <w:rsid w:val="008301CC"/>
    <w:rsid w:val="00834AD3"/>
    <w:rsid w:val="00841EC2"/>
    <w:rsid w:val="00843795"/>
    <w:rsid w:val="00845D15"/>
    <w:rsid w:val="00846562"/>
    <w:rsid w:val="00847F0F"/>
    <w:rsid w:val="00851A78"/>
    <w:rsid w:val="00852448"/>
    <w:rsid w:val="008538DD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C29"/>
    <w:rsid w:val="008C141D"/>
    <w:rsid w:val="008C431E"/>
    <w:rsid w:val="008C5E1E"/>
    <w:rsid w:val="008D1C22"/>
    <w:rsid w:val="008D729B"/>
    <w:rsid w:val="008E2301"/>
    <w:rsid w:val="008E6266"/>
    <w:rsid w:val="008F1896"/>
    <w:rsid w:val="008F3638"/>
    <w:rsid w:val="008F4063"/>
    <w:rsid w:val="008F6F31"/>
    <w:rsid w:val="008F74DF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6C1F"/>
    <w:rsid w:val="00967FD8"/>
    <w:rsid w:val="009705EE"/>
    <w:rsid w:val="009711F3"/>
    <w:rsid w:val="00976E12"/>
    <w:rsid w:val="00977927"/>
    <w:rsid w:val="0098135C"/>
    <w:rsid w:val="0098156A"/>
    <w:rsid w:val="00981BB4"/>
    <w:rsid w:val="00981FAF"/>
    <w:rsid w:val="00982424"/>
    <w:rsid w:val="009837D6"/>
    <w:rsid w:val="00987C5D"/>
    <w:rsid w:val="009900B9"/>
    <w:rsid w:val="00991BAC"/>
    <w:rsid w:val="00993D17"/>
    <w:rsid w:val="00997C66"/>
    <w:rsid w:val="009A27F7"/>
    <w:rsid w:val="009A3F21"/>
    <w:rsid w:val="009A6EA0"/>
    <w:rsid w:val="009B125D"/>
    <w:rsid w:val="009B4A1B"/>
    <w:rsid w:val="009B6898"/>
    <w:rsid w:val="009B72ED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7D73"/>
    <w:rsid w:val="00A05838"/>
    <w:rsid w:val="00A072EE"/>
    <w:rsid w:val="00A12EDF"/>
    <w:rsid w:val="00A139F5"/>
    <w:rsid w:val="00A23D98"/>
    <w:rsid w:val="00A2477B"/>
    <w:rsid w:val="00A24AC8"/>
    <w:rsid w:val="00A326FE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2E16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710D"/>
    <w:rsid w:val="00AA7602"/>
    <w:rsid w:val="00AB1D72"/>
    <w:rsid w:val="00AB3023"/>
    <w:rsid w:val="00AB3A8D"/>
    <w:rsid w:val="00AB6D25"/>
    <w:rsid w:val="00AB710D"/>
    <w:rsid w:val="00AC144D"/>
    <w:rsid w:val="00AD3659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EE4"/>
    <w:rsid w:val="00BA2BA1"/>
    <w:rsid w:val="00BB36CB"/>
    <w:rsid w:val="00BB4BF4"/>
    <w:rsid w:val="00BB4E3C"/>
    <w:rsid w:val="00BB4F09"/>
    <w:rsid w:val="00BB74B8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63E6"/>
    <w:rsid w:val="00C3702F"/>
    <w:rsid w:val="00C414B5"/>
    <w:rsid w:val="00C47E3B"/>
    <w:rsid w:val="00C5101E"/>
    <w:rsid w:val="00C5159F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3979"/>
    <w:rsid w:val="00CD58B7"/>
    <w:rsid w:val="00CE2C29"/>
    <w:rsid w:val="00CF1168"/>
    <w:rsid w:val="00CF376D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61A2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4F9"/>
    <w:rsid w:val="00DA7C1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5DF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6FA5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64C5"/>
    <w:rsid w:val="00E671A2"/>
    <w:rsid w:val="00E72B2E"/>
    <w:rsid w:val="00E73157"/>
    <w:rsid w:val="00E76D26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1007C"/>
    <w:rsid w:val="00F104DC"/>
    <w:rsid w:val="00F14BEF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61B1"/>
    <w:rsid w:val="00F561D4"/>
    <w:rsid w:val="00F6344E"/>
    <w:rsid w:val="00F6454E"/>
    <w:rsid w:val="00F645E3"/>
    <w:rsid w:val="00F64B60"/>
    <w:rsid w:val="00F67D8F"/>
    <w:rsid w:val="00F70E57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26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39" Type="http://schemas.openxmlformats.org/officeDocument/2006/relationships/hyperlink" Target="http://stat.gov.pl/metainformacje/slownik-pojec/pojecia-stosowane-w-statystyce-publicznej/357,pojecie.html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metainformacje/slownik-pojec/pojecia-stosowane-w-statystyce-publicznej/700,pojecie.html" TargetMode="External"/><Relationship Id="rId42" Type="http://schemas.openxmlformats.org/officeDocument/2006/relationships/hyperlink" Target="https://stat.gov.pl/obszary-tematyczne/inne-opracowania/informacje-o-sytuacji-spoleczno-gospodarczej/sytuacja-spoleczno-gospodarcza-kraju-i-iii-kwartal-2019-r-,1,89.html" TargetMode="External"/><Relationship Id="rId47" Type="http://schemas.openxmlformats.org/officeDocument/2006/relationships/hyperlink" Target="https://bdl.stat.gov.pl/BDL/dane/podgrup/temat" TargetMode="External"/><Relationship Id="rId50" Type="http://schemas.openxmlformats.org/officeDocument/2006/relationships/hyperlink" Target="http://stat.gov.pl/metainformacje/slownik-pojec/pojecia-stosowane-w-statystyce-publicznej/707,pojecie.html" TargetMode="External"/><Relationship Id="rId55" Type="http://schemas.openxmlformats.org/officeDocument/2006/relationships/hyperlink" Target="http://stat.gov.pl/metainformacje/slownik-pojec/pojecia-stosowane-w-statystyce-publicznej/1313,pojecie.html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waid.stat.gov.pl/SitePagesDBW/ProdukcjaPrzemyslowa.aspx" TargetMode="External"/><Relationship Id="rId11" Type="http://schemas.openxmlformats.org/officeDocument/2006/relationships/image" Target="media/image31.emf"/><Relationship Id="rId24" Type="http://schemas.openxmlformats.org/officeDocument/2006/relationships/image" Target="media/image7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://stat.gov.pl/metainformacje/slownik-pojec/pojecia-stosowane-w-statystyce-publicznej/1317,pojecie.html" TargetMode="External"/><Relationship Id="rId40" Type="http://schemas.openxmlformats.org/officeDocument/2006/relationships/hyperlink" Target="http://stat.gov.pl/metainformacje/slownik-pojec/pojecia-stosowane-w-statystyce-publicznej/1313,pojecie.html" TargetMode="External"/><Relationship Id="rId45" Type="http://schemas.openxmlformats.org/officeDocument/2006/relationships/hyperlink" Target="http://stat.gov.pl/wskazniki-makroekonomiczne/" TargetMode="External"/><Relationship Id="rId53" Type="http://schemas.openxmlformats.org/officeDocument/2006/relationships/hyperlink" Target="http://stat.gov.pl/metainformacje/slownik-pojec/pojecia-stosowane-w-statystyce-publicznej/1314,pojecie.html" TargetMode="External"/><Relationship Id="rId58" Type="http://schemas.openxmlformats.org/officeDocument/2006/relationships/theme" Target="theme/theme1.xml"/><Relationship Id="rId5" Type="http://schemas.openxmlformats.org/officeDocument/2006/relationships/styles" Target="styles.xml"/><Relationship Id="rId19" Type="http://schemas.openxmlformats.org/officeDocument/2006/relationships/hyperlink" Target="mailto:B.Kaczorowska@sta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stat.gov.pl/obszary-tematyczne/inne-opracowania/informacje-o-sytuacji-spoleczno-gospodarczej/sytuacja-spoleczno-gospodarcza-kraju-i-iii-kwartal-2019-r-,1,89.html" TargetMode="External"/><Relationship Id="rId30" Type="http://schemas.openxmlformats.org/officeDocument/2006/relationships/hyperlink" Target="http://stat.gov.pl/wskazniki-makroekonomiczne/" TargetMode="External"/><Relationship Id="rId35" Type="http://schemas.openxmlformats.org/officeDocument/2006/relationships/hyperlink" Target="http://stat.gov.pl/metainformacje/slownik-pojec/pojecia-stosowane-w-statystyce-publicznej/707,pojecie.html" TargetMode="External"/><Relationship Id="rId43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8" Type="http://schemas.openxmlformats.org/officeDocument/2006/relationships/hyperlink" Target="http://stat.gov.pl/metainformacje/slownik-pojec/pojecia-stosowane-w-statystyce-publicznej/362,pojecie.html" TargetMode="External"/><Relationship Id="rId56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356,pojecie.html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image" Target="media/image8.png"/><Relationship Id="rId33" Type="http://schemas.openxmlformats.org/officeDocument/2006/relationships/hyperlink" Target="http://stat.gov.pl/metainformacje/slownik-pojec/pojecia-stosowane-w-statystyce-publicznej/362,pojecie.html" TargetMode="External"/><Relationship Id="rId38" Type="http://schemas.openxmlformats.org/officeDocument/2006/relationships/hyperlink" Target="http://stat.gov.pl/metainformacje/slownik-pojec/pojecia-stosowane-w-statystyce-publicznej/1314,pojecie.html" TargetMode="External"/><Relationship Id="rId46" Type="http://schemas.openxmlformats.org/officeDocument/2006/relationships/hyperlink" Target="http://bdm.stat.gov.pl/" TargetMode="Externa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s://stat.gov.pl/obszary-tematyczne/inne-opracowania/informacje-o-sytuacji-spoleczno-gospodarczej/biuletyn-statystyczny-nr-92019,4,92.html" TargetMode="External"/><Relationship Id="rId54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://www.stat.gov.pl" TargetMode="External"/><Relationship Id="rId28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6" Type="http://schemas.openxmlformats.org/officeDocument/2006/relationships/hyperlink" Target="http://stat.gov.pl/metainformacje/slownik-pojec/pojecia-stosowane-w-statystyce-publicznej/356,pojecie.html" TargetMode="External"/><Relationship Id="rId49" Type="http://schemas.openxmlformats.org/officeDocument/2006/relationships/hyperlink" Target="http://stat.gov.pl/metainformacje/slownik-pojec/pojecia-stosowane-w-statystyce-publicznej/700,pojecie.html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emf"/><Relationship Id="rId31" Type="http://schemas.openxmlformats.org/officeDocument/2006/relationships/hyperlink" Target="http://bdm.stat.gov.pl/" TargetMode="External"/><Relationship Id="rId44" Type="http://schemas.openxmlformats.org/officeDocument/2006/relationships/hyperlink" Target="http://swaid.stat.gov.pl/SitePagesDBW/ProdukcjaPrzemyslowa.aspx" TargetMode="External"/><Relationship Id="rId52" Type="http://schemas.openxmlformats.org/officeDocument/2006/relationships/hyperlink" Target="http://stat.gov.pl/metainformacje/slownik-pojec/pojecia-stosowane-w-statystyce-publicznej/1317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133.30000000000001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05464944"/>
        <c:axId val="1105473104"/>
      </c:lineChart>
      <c:catAx>
        <c:axId val="1105464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5473104"/>
        <c:crossesAt val="100"/>
        <c:auto val="1"/>
        <c:lblAlgn val="ctr"/>
        <c:lblOffset val="100"/>
        <c:noMultiLvlLbl val="0"/>
      </c:catAx>
      <c:valAx>
        <c:axId val="1105473104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0546494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'X2019'!$B$1</c:f>
              <c:strCache>
                <c:ptCount val="1"/>
                <c:pt idx="0">
                  <c:v>X 2019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'X2019'!$A$2:$A$13</c:f>
              <c:strCache>
                <c:ptCount val="12"/>
                <c:pt idx="0">
                  <c:v>Gospodarka odpadami; odzysk surowców</c:v>
                </c:pt>
                <c:pt idx="1">
                  <c:v>Produkcja urządzeń elektrycznych</c:v>
                </c:pt>
                <c:pt idx="2">
                  <c:v>Produkcja komputerów, wyrobów elektronicznych i optycznych</c:v>
                </c:pt>
                <c:pt idx="3">
                  <c:v>Produkcja wyrobów farmaceutycznych</c:v>
                </c:pt>
                <c:pt idx="4">
                  <c:v>Produkcja maszyn i urządzeń</c:v>
                </c:pt>
                <c:pt idx="5">
                  <c:v>Produkcja mebli</c:v>
                </c:pt>
                <c:pt idx="6">
                  <c:v>Produkcja wyrobów z pozostałych mineralnych surowców niemetalicznych</c:v>
                </c:pt>
                <c:pt idx="7">
                  <c:v>Produkcja skór i wyrobów skórzanych</c:v>
                </c:pt>
                <c:pt idx="8">
                  <c:v>Produkcja koksu i produktów rafinacji ropy naftowej </c:v>
                </c:pt>
                <c:pt idx="9">
                  <c:v>Naprawa, konserwacja i instalowanie maszyn i urządzeń</c:v>
                </c:pt>
                <c:pt idx="10">
                  <c:v>Wydobywanie węgla kamiennego i węgla brunatnego (lignitu) </c:v>
                </c:pt>
                <c:pt idx="11">
                  <c:v>Produkcja metali</c:v>
                </c:pt>
              </c:strCache>
            </c:strRef>
          </c:cat>
          <c:val>
            <c:numRef>
              <c:f>'X2019'!$B$2:$B$13</c:f>
              <c:numCache>
                <c:formatCode>0.0_ ;[Red]\-0.0\ </c:formatCode>
                <c:ptCount val="12"/>
                <c:pt idx="0">
                  <c:v>114.8</c:v>
                </c:pt>
                <c:pt idx="1">
                  <c:v>113</c:v>
                </c:pt>
                <c:pt idx="2">
                  <c:v>110.5</c:v>
                </c:pt>
                <c:pt idx="3">
                  <c:v>107.6</c:v>
                </c:pt>
                <c:pt idx="4">
                  <c:v>107.5</c:v>
                </c:pt>
                <c:pt idx="5">
                  <c:v>107.3</c:v>
                </c:pt>
                <c:pt idx="6">
                  <c:v>99.7</c:v>
                </c:pt>
                <c:pt idx="7">
                  <c:v>99.3</c:v>
                </c:pt>
                <c:pt idx="8">
                  <c:v>98.4</c:v>
                </c:pt>
                <c:pt idx="9">
                  <c:v>96.8</c:v>
                </c:pt>
                <c:pt idx="10">
                  <c:v>96.3</c:v>
                </c:pt>
                <c:pt idx="11">
                  <c:v>96.2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'X2019'!$C$1</c:f>
              <c:strCache>
                <c:ptCount val="1"/>
                <c:pt idx="0">
                  <c:v>X 2018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'X2019'!$A$2:$A$13</c:f>
              <c:strCache>
                <c:ptCount val="12"/>
                <c:pt idx="0">
                  <c:v>Gospodarka odpadami; odzysk surowców</c:v>
                </c:pt>
                <c:pt idx="1">
                  <c:v>Produkcja urządzeń elektrycznych</c:v>
                </c:pt>
                <c:pt idx="2">
                  <c:v>Produkcja komputerów, wyrobów elektronicznych i optycznych</c:v>
                </c:pt>
                <c:pt idx="3">
                  <c:v>Produkcja wyrobów farmaceutycznych</c:v>
                </c:pt>
                <c:pt idx="4">
                  <c:v>Produkcja maszyn i urządzeń</c:v>
                </c:pt>
                <c:pt idx="5">
                  <c:v>Produkcja mebli</c:v>
                </c:pt>
                <c:pt idx="6">
                  <c:v>Produkcja wyrobów z pozostałych mineralnych surowców niemetalicznych</c:v>
                </c:pt>
                <c:pt idx="7">
                  <c:v>Produkcja skór i wyrobów skórzanych</c:v>
                </c:pt>
                <c:pt idx="8">
                  <c:v>Produkcja koksu i produktów rafinacji ropy naftowej </c:v>
                </c:pt>
                <c:pt idx="9">
                  <c:v>Naprawa, konserwacja i instalowanie maszyn i urządzeń</c:v>
                </c:pt>
                <c:pt idx="10">
                  <c:v>Wydobywanie węgla kamiennego i węgla brunatnego (lignitu) </c:v>
                </c:pt>
                <c:pt idx="11">
                  <c:v>Produkcja metali</c:v>
                </c:pt>
              </c:strCache>
            </c:strRef>
          </c:cat>
          <c:val>
            <c:numRef>
              <c:f>'X2019'!$C$2:$C$13</c:f>
              <c:numCache>
                <c:formatCode>General</c:formatCode>
                <c:ptCount val="12"/>
                <c:pt idx="0">
                  <c:v>111.2</c:v>
                </c:pt>
                <c:pt idx="1">
                  <c:v>119.4</c:v>
                </c:pt>
                <c:pt idx="2">
                  <c:v>107.4</c:v>
                </c:pt>
                <c:pt idx="3">
                  <c:v>75.7</c:v>
                </c:pt>
                <c:pt idx="4" formatCode="0.0">
                  <c:v>107.4</c:v>
                </c:pt>
                <c:pt idx="5" formatCode="0.0">
                  <c:v>104.4</c:v>
                </c:pt>
                <c:pt idx="6">
                  <c:v>111.1</c:v>
                </c:pt>
                <c:pt idx="7">
                  <c:v>92.9</c:v>
                </c:pt>
                <c:pt idx="8" formatCode="0.0">
                  <c:v>101.4</c:v>
                </c:pt>
                <c:pt idx="9" formatCode="0.0">
                  <c:v>107</c:v>
                </c:pt>
                <c:pt idx="10">
                  <c:v>98.1</c:v>
                </c:pt>
                <c:pt idx="11">
                  <c:v>103.4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05464400"/>
        <c:axId val="1105474192"/>
      </c:barChart>
      <c:catAx>
        <c:axId val="11054644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105474192"/>
        <c:crossesAt val="100"/>
        <c:auto val="1"/>
        <c:lblAlgn val="ctr"/>
        <c:lblOffset val="20"/>
        <c:noMultiLvlLbl val="0"/>
      </c:catAx>
      <c:valAx>
        <c:axId val="1105474192"/>
        <c:scaling>
          <c:orientation val="minMax"/>
          <c:max val="120"/>
          <c:min val="7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105464400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54825DAA-A0A9-4D74-86A7-2ED37B21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październiku 2019 roku</dc:title>
  <dc:subject/>
  <cp:keywords/>
  <dc:description/>
  <cp:lastPrinted>2019-11-19T09:29:00Z</cp:lastPrinted>
  <dcterms:created xsi:type="dcterms:W3CDTF">2019-11-19T08:31:00Z</dcterms:created>
  <dcterms:modified xsi:type="dcterms:W3CDTF">2019-11-22T07:35:00Z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