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2A" w:rsidRPr="00553353" w:rsidRDefault="0010242A" w:rsidP="0010242A">
      <w:pPr>
        <w:pStyle w:val="tytuinformacji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  </w:t>
      </w:r>
      <w:r w:rsidRPr="00553353">
        <w:rPr>
          <w:szCs w:val="40"/>
          <w:shd w:val="clear" w:color="auto" w:fill="FFFFFF"/>
        </w:rPr>
        <w:t>obsługą działalności gospodarczej za I kwartał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2020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:rsidR="00C11430" w:rsidRDefault="00C11430" w:rsidP="00074DD8">
      <w:pPr>
        <w:pStyle w:val="tytuinformacji"/>
        <w:rPr>
          <w:shd w:val="clear" w:color="auto" w:fill="FFFFFF"/>
        </w:rPr>
      </w:pPr>
    </w:p>
    <w:p w:rsidR="005916D7" w:rsidRPr="009F7C0E" w:rsidRDefault="002B5719" w:rsidP="00881DE5">
      <w:pPr>
        <w:pStyle w:val="tytuinformacji"/>
        <w:spacing w:line="240" w:lineRule="exact"/>
        <w:jc w:val="both"/>
        <w:rPr>
          <w:rFonts w:ascii="Fira Sans" w:hAnsi="Fira Sans"/>
          <w:b/>
          <w:strike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51765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76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81DE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D4E9F8A" wp14:editId="5C4B602D">
                                  <wp:extent cx="342000" cy="334800"/>
                                  <wp:effectExtent l="0" t="0" r="1270" b="825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EB6683" w:rsidRDefault="00881DE5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>
                              <w:t xml:space="preserve"> usług</w:t>
                            </w:r>
                            <w:r w:rsidR="006E4174"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E4174" w:rsidRPr="006E4174">
                              <w:t>związanych z obsługą działalności gospodarczej</w:t>
                            </w:r>
                            <w:r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</w:t>
                            </w:r>
                            <w:r>
                              <w:t xml:space="preserve">IV kwartałem </w:t>
                            </w:r>
                            <w:r w:rsidR="008205FC">
                              <w:t>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95pt;width:2in;height:119.5pt;z-index:2516556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Gd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" fillcolor="#001d77" stroked="f">
                <v:textbox>
                  <w:txbxContent>
                    <w:p w:rsidR="00933EC1" w:rsidRPr="00B66B19" w:rsidRDefault="00881DE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D4E9F8A" wp14:editId="5C4B602D">
                            <wp:extent cx="342000" cy="334800"/>
                            <wp:effectExtent l="0" t="0" r="1270" b="825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EB6683" w:rsidRDefault="00881DE5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>
                        <w:t xml:space="preserve"> usług</w:t>
                      </w:r>
                      <w:r w:rsidR="006E4174"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6E4174" w:rsidRPr="006E4174">
                        <w:t>związanych z obsługą działalności gospodarczej</w:t>
                      </w:r>
                      <w:r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</w:t>
                      </w:r>
                      <w:r>
                        <w:t xml:space="preserve">IV kwartałem </w:t>
                      </w:r>
                      <w:r w:rsidR="008205FC">
                        <w:t>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 kwartale 2020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 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do </w:t>
      </w:r>
      <w:r w:rsidR="0082752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kwartału wzrosły o 0,9%. 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do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kwartału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2019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6E41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rosły o 2,0%.</w:t>
      </w:r>
    </w:p>
    <w:p w:rsidR="00003437" w:rsidRPr="00286021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CC44C5" w:rsidRPr="00286021" w:rsidRDefault="00CC44C5" w:rsidP="00CC44C5">
      <w:pPr>
        <w:rPr>
          <w:szCs w:val="19"/>
          <w:lang w:eastAsia="pl-PL"/>
        </w:rPr>
      </w:pPr>
    </w:p>
    <w:p w:rsidR="002915CD" w:rsidRPr="00286021" w:rsidRDefault="002915CD" w:rsidP="00CC44C5">
      <w:pPr>
        <w:rPr>
          <w:szCs w:val="19"/>
          <w:lang w:eastAsia="pl-PL"/>
        </w:rPr>
      </w:pPr>
    </w:p>
    <w:p w:rsidR="00DD6A59" w:rsidRDefault="00DD6A59" w:rsidP="00C424B8">
      <w:pPr>
        <w:rPr>
          <w:szCs w:val="19"/>
          <w:shd w:val="clear" w:color="auto" w:fill="FFFFFF"/>
        </w:rPr>
      </w:pPr>
    </w:p>
    <w:p w:rsidR="00BC65D7" w:rsidRDefault="00BC65D7" w:rsidP="00A63840">
      <w:pPr>
        <w:ind w:left="851" w:hanging="851"/>
        <w:rPr>
          <w:b/>
          <w:sz w:val="18"/>
          <w:shd w:val="clear" w:color="auto" w:fill="FFFFFF"/>
        </w:rPr>
      </w:pPr>
      <w:r w:rsidRPr="00493E1F">
        <w:rPr>
          <w:b/>
          <w:noProof/>
          <w:spacing w:val="-2"/>
          <w:sz w:val="1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AFABC6" wp14:editId="5F5D9FE6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FABC6" id="Pole tekstowe 6" o:spid="_x0000_s1027" type="#_x0000_t202" style="position:absolute;left:0;text-align:left;margin-left:418.4pt;margin-top:26.75pt;width:135.75pt;height:251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" filled="f" stroked="f">
                <v:textbox>
                  <w:txbxContent>
                    <w:p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493E1F">
        <w:rPr>
          <w:b/>
          <w:sz w:val="18"/>
          <w:shd w:val="clear" w:color="auto" w:fill="FFFFFF"/>
        </w:rPr>
        <w:t xml:space="preserve">Tablica 1. </w:t>
      </w:r>
      <w:r w:rsidR="007062D3" w:rsidRPr="00493E1F">
        <w:rPr>
          <w:b/>
          <w:sz w:val="18"/>
          <w:shd w:val="clear" w:color="auto" w:fill="FFFFFF"/>
        </w:rPr>
        <w:t>Wskaźniki cen producentów usług związanych z obsługą działalnośc</w:t>
      </w:r>
      <w:r w:rsidR="00493E1F">
        <w:rPr>
          <w:b/>
          <w:sz w:val="18"/>
          <w:shd w:val="clear" w:color="auto" w:fill="FFFFFF"/>
        </w:rPr>
        <w:t>i gospodarczej za</w:t>
      </w:r>
      <w:r w:rsidR="00A63840">
        <w:rPr>
          <w:b/>
          <w:sz w:val="18"/>
          <w:shd w:val="clear" w:color="auto" w:fill="FFFFFF"/>
        </w:rPr>
        <w:t> </w:t>
      </w:r>
      <w:r w:rsidR="00493E1F">
        <w:rPr>
          <w:b/>
          <w:sz w:val="18"/>
          <w:shd w:val="clear" w:color="auto" w:fill="FFFFFF"/>
        </w:rPr>
        <w:t xml:space="preserve"> I </w:t>
      </w:r>
      <w:r w:rsidR="007062D3" w:rsidRPr="00493E1F">
        <w:rPr>
          <w:b/>
          <w:sz w:val="18"/>
          <w:shd w:val="clear" w:color="auto" w:fill="FFFFFF"/>
        </w:rPr>
        <w:t xml:space="preserve">kwartał 2020 </w:t>
      </w:r>
      <w:r w:rsidR="00C7723E" w:rsidRPr="00493E1F">
        <w:rPr>
          <w:b/>
          <w:sz w:val="18"/>
          <w:shd w:val="clear" w:color="auto" w:fill="FFFFFF"/>
        </w:rPr>
        <w:t>r.</w:t>
      </w:r>
    </w:p>
    <w:tbl>
      <w:tblPr>
        <w:tblStyle w:val="Tabela-Siatka11"/>
        <w:tblpPr w:leftFromText="142" w:rightFromText="142" w:vertAnchor="text" w:tblpXSpec="center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1984"/>
        <w:gridCol w:w="1819"/>
      </w:tblGrid>
      <w:tr w:rsidR="008E08A4" w:rsidRPr="008E08A4" w:rsidTr="008E08A4">
        <w:tc>
          <w:tcPr>
            <w:tcW w:w="4243" w:type="dxa"/>
            <w:vMerge w:val="restart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03" w:type="dxa"/>
            <w:gridSpan w:val="2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Times New Roman"/>
                <w:color w:val="000000"/>
                <w:sz w:val="16"/>
                <w:szCs w:val="16"/>
              </w:rPr>
              <w:t>I kwartał 2020</w:t>
            </w:r>
          </w:p>
        </w:tc>
      </w:tr>
      <w:tr w:rsidR="008E08A4" w:rsidRPr="008E08A4" w:rsidTr="008E08A4">
        <w:tc>
          <w:tcPr>
            <w:tcW w:w="4243" w:type="dxa"/>
            <w:vMerge/>
            <w:tcBorders>
              <w:bottom w:val="single" w:sz="12" w:space="0" w:color="001D77"/>
            </w:tcBorders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4" w:type="dxa"/>
            <w:tcBorders>
              <w:bottom w:val="single" w:sz="12" w:space="0" w:color="001D77"/>
            </w:tcBorders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pacing w:val="-12"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Times New Roman"/>
                <w:color w:val="000000"/>
                <w:spacing w:val="-12"/>
                <w:sz w:val="16"/>
                <w:szCs w:val="16"/>
              </w:rPr>
              <w:t>IV kwartał 2019=100</w:t>
            </w:r>
          </w:p>
        </w:tc>
        <w:tc>
          <w:tcPr>
            <w:tcW w:w="1819" w:type="dxa"/>
            <w:tcBorders>
              <w:bottom w:val="single" w:sz="12" w:space="0" w:color="001D77"/>
            </w:tcBorders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center"/>
              <w:rPr>
                <w:rFonts w:eastAsia="Fira Sans Light" w:cs="Times New Roman"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Times New Roman"/>
                <w:color w:val="000000"/>
                <w:sz w:val="16"/>
                <w:szCs w:val="16"/>
              </w:rPr>
              <w:t>analogiczny kwartał 2019=100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Times New Roman"/>
                <w:b/>
                <w:sz w:val="16"/>
                <w:szCs w:val="16"/>
                <w:shd w:val="clear" w:color="auto" w:fill="FFFFFF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  <w:highlight w:val="yellow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Arial"/>
                <w:b/>
                <w:color w:val="000000"/>
                <w:sz w:val="16"/>
                <w:szCs w:val="16"/>
                <w:highlight w:val="yellow"/>
              </w:rPr>
            </w:pPr>
            <w:r w:rsidRPr="008E08A4">
              <w:rPr>
                <w:rFonts w:eastAsia="Fira Sans Light" w:cs="Calibri"/>
                <w:b/>
                <w:color w:val="000000"/>
                <w:sz w:val="16"/>
                <w:szCs w:val="16"/>
              </w:rPr>
              <w:t>102,0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wydawnicza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102,4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produkcją filmów, nagrań wideo, programów telewizyjnych, nagrań dźwiękowych i muzycznych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99,8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Nadawanie programów ogólnodostępnych i abonamentowych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99,4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oprogramowaniem i doradztwem w zakresie informatyki oraz działalność powiązana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102,1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w zakresie informacji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102,6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prawnicza, rachunkowo-księgowa i doradztwo podatkowe; doradztwo związane z zarządzaniem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101,2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w zakresie architektury i inżynierii; badania i analizy techniczne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Reklama, badanie rynku i opinii publicznej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100,9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Pozostała działalność profesjonalna, naukowa i techniczna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100,1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Wynajem i dzierżawa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100,5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zatrudnieniem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104,1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103,0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lastRenderedPageBreak/>
              <w:t>Działalność detektywistyczna i ochroniarska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106,8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usługowa związana z utrzymaniem porządku w budynkach i zagospodarowaniem terenów zieleni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106,1</w:t>
            </w:r>
          </w:p>
        </w:tc>
      </w:tr>
      <w:tr w:rsidR="008E08A4" w:rsidRPr="008E08A4" w:rsidTr="008E08A4">
        <w:tc>
          <w:tcPr>
            <w:tcW w:w="4243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984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819" w:type="dxa"/>
            <w:vAlign w:val="center"/>
          </w:tcPr>
          <w:p w:rsidR="008E08A4" w:rsidRPr="008E08A4" w:rsidRDefault="008E08A4" w:rsidP="008E08A4">
            <w:pPr>
              <w:spacing w:before="80" w:after="80" w:line="240" w:lineRule="auto"/>
              <w:jc w:val="right"/>
              <w:rPr>
                <w:rFonts w:eastAsia="Fira Sans Light" w:cs="Calibri"/>
                <w:color w:val="000000"/>
                <w:sz w:val="16"/>
                <w:szCs w:val="16"/>
              </w:rPr>
            </w:pPr>
            <w:r w:rsidRPr="008E08A4">
              <w:rPr>
                <w:rFonts w:eastAsia="Fira Sans Light" w:cs="Calibri"/>
                <w:color w:val="000000"/>
                <w:sz w:val="16"/>
                <w:szCs w:val="16"/>
              </w:rPr>
              <w:t>101,9</w:t>
            </w:r>
          </w:p>
        </w:tc>
      </w:tr>
    </w:tbl>
    <w:p w:rsidR="00C20023" w:rsidRPr="00493E1F" w:rsidRDefault="00C20023" w:rsidP="00C424B8">
      <w:pPr>
        <w:rPr>
          <w:b/>
          <w:sz w:val="18"/>
          <w:shd w:val="clear" w:color="auto" w:fill="FFFFFF"/>
        </w:rPr>
      </w:pPr>
    </w:p>
    <w:p w:rsidR="00E321D8" w:rsidRPr="009F57F6" w:rsidRDefault="006C305A" w:rsidP="00286021">
      <w:pPr>
        <w:rPr>
          <w:color w:val="000000" w:themeColor="text1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2F9791A1" wp14:editId="64BA9D36">
                <wp:simplePos x="0" y="0"/>
                <wp:positionH relativeFrom="column">
                  <wp:posOffset>5323840</wp:posOffset>
                </wp:positionH>
                <wp:positionV relativeFrom="paragraph">
                  <wp:posOffset>335280</wp:posOffset>
                </wp:positionV>
                <wp:extent cx="1734820" cy="1290320"/>
                <wp:effectExtent l="0" t="0" r="0" b="5080"/>
                <wp:wrapTight wrapText="bothSides">
                  <wp:wrapPolygon edited="0">
                    <wp:start x="712" y="0"/>
                    <wp:lineTo x="712" y="21366"/>
                    <wp:lineTo x="20873" y="21366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29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05A" w:rsidRPr="00074DD8" w:rsidRDefault="006C305A" w:rsidP="00717BFD">
                            <w:pPr>
                              <w:pStyle w:val="tekstzboku"/>
                              <w:spacing w:before="0"/>
                            </w:pPr>
                            <w:r w:rsidRPr="007958EA">
                              <w:t xml:space="preserve">W I kwartale </w:t>
                            </w:r>
                            <w:r>
                              <w:t>2020</w:t>
                            </w:r>
                            <w:r w:rsidRPr="007958EA">
                              <w:t> r.</w:t>
                            </w:r>
                            <w:r>
                              <w:t xml:space="preserve"> największy </w:t>
                            </w:r>
                            <w:r w:rsidRPr="007958EA">
                              <w:t xml:space="preserve">wzrost cen odnotowano </w:t>
                            </w:r>
                            <w:r>
                              <w:t xml:space="preserve">w zakresie </w:t>
                            </w:r>
                            <w:r w:rsidRPr="007958EA">
                              <w:t>usług detektywistycznych i ochro</w:t>
                            </w:r>
                            <w:r>
                              <w:t>niarskich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791A1" id="_x0000_s1028" type="#_x0000_t202" style="position:absolute;margin-left:419.2pt;margin-top:26.4pt;width:136.6pt;height:101.6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" filled="f" stroked="f">
                <v:textbox inset="2.5mm,1mm,2.5mm,1mm">
                  <w:txbxContent>
                    <w:p w:rsidR="006C305A" w:rsidRPr="00074DD8" w:rsidRDefault="006C305A" w:rsidP="00717BFD">
                      <w:pPr>
                        <w:pStyle w:val="tekstzboku"/>
                        <w:spacing w:before="0"/>
                      </w:pPr>
                      <w:r w:rsidRPr="007958EA">
                        <w:t xml:space="preserve">W I kwartale </w:t>
                      </w:r>
                      <w:r>
                        <w:t>2020</w:t>
                      </w:r>
                      <w:r w:rsidRPr="007958EA">
                        <w:t> r.</w:t>
                      </w:r>
                      <w:r>
                        <w:t xml:space="preserve"> największy </w:t>
                      </w:r>
                      <w:r w:rsidRPr="007958EA">
                        <w:t xml:space="preserve">wzrost cen odnotowano </w:t>
                      </w:r>
                      <w:r>
                        <w:t xml:space="preserve">w zakresie </w:t>
                      </w:r>
                      <w:r w:rsidRPr="007958EA">
                        <w:t>usług detektywistycznych i ochro</w:t>
                      </w:r>
                      <w:r>
                        <w:t>niarskich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 I kwartale 2020 r. 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najwyższy wzrost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cen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odnotowano w przypadku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usług detektywistycznych i ochroniarskich, tj. o 6,2% w stosunku do poprzedniego kwartału oraz o 6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,8% w porównaniu z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t> 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I kwartałem </w:t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2019 r. Znacząco wzrosły także ceny uzyskiwane przez przedsiębiorstwa, które świadczyły usługi związane z utrzymaniem porządku w budynkach i zagospodarowaniem 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br/>
      </w:r>
      <w:r w:rsidR="00E321D8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terenów zieleni. W stosunku do IV kwartału 2019 r. zwiększyły się one o 3,4%, a w odniesieniu do I kwartału 2019 r. o 6,1%. Wyższy wzrost cen niż dla usług związanych z obsługą działalności gospodarczej ogółem zaobserwowano także w przypadku usług związanych z zatrudnieniem, które w porównaniu z ubiegłym kwartałem wzrosły o 2,1%, a w stosunku do analogicznego okresu roku poprzedniego o 4,1%. </w:t>
      </w:r>
      <w:r w:rsidR="00E321D8" w:rsidRPr="009F57F6">
        <w:rPr>
          <w:color w:val="000000" w:themeColor="text1"/>
        </w:rPr>
        <w:t xml:space="preserve">Najczęściej wymienianą przyczyną wzrostu cen usług był wzrost kosztów ich świadczenia wynikający ze wzrostu wynagrodzeń pracowników, w tym w szczególności z podniesienia kwoty minimalnego wynagrodzenia. </w:t>
      </w:r>
    </w:p>
    <w:p w:rsidR="00E321D8" w:rsidRPr="009F57F6" w:rsidRDefault="00E321D8" w:rsidP="00286021">
      <w:pPr>
        <w:rPr>
          <w:rFonts w:eastAsia="Fira Sans Light" w:cs="Times New Roman"/>
          <w:color w:val="000000" w:themeColor="text1"/>
          <w:shd w:val="clear" w:color="auto" w:fill="FFFFFF"/>
        </w:rPr>
      </w:pP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Spadek cen w </w:t>
      </w:r>
      <w:proofErr w:type="spellStart"/>
      <w:r w:rsidRPr="009F57F6">
        <w:rPr>
          <w:rFonts w:eastAsia="Fira Sans Light" w:cs="Times New Roman"/>
          <w:color w:val="000000" w:themeColor="text1"/>
          <w:shd w:val="clear" w:color="auto" w:fill="FFFFFF"/>
        </w:rPr>
        <w:t>p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orówaniu</w:t>
      </w:r>
      <w:proofErr w:type="spellEnd"/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z IV kwartałem 2019 r. zaobserwo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wano w przypadku usług reklamy, badania rynku i opinii publicznej (o 0,4%), usług związanych z produkcją filmów, nagrań wideo, programów telewizyjnych, nagrań dźwiękowych i muzycznych (o 0,2%) oraz usług wynajmu i dzierżawy (o 0,2%). Niższe ceny uzyskiwane przez przedsiębiorstwa </w:t>
      </w:r>
      <w:proofErr w:type="spellStart"/>
      <w:r w:rsidRPr="009F57F6">
        <w:rPr>
          <w:rFonts w:eastAsia="Fira Sans Light" w:cs="Times New Roman"/>
          <w:color w:val="000000" w:themeColor="text1"/>
          <w:shd w:val="clear" w:color="auto" w:fill="FFFFFF"/>
        </w:rPr>
        <w:t>świądczące</w:t>
      </w:r>
      <w:proofErr w:type="spellEnd"/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 te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t xml:space="preserve"> </w:t>
      </w:r>
      <w:r w:rsidR="008E0582"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usługi wynikały 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przede wszystkim z sezonowego spadku popytu na </w:t>
      </w:r>
      <w:r w:rsidR="002D75BF" w:rsidRPr="009F57F6">
        <w:rPr>
          <w:rFonts w:eastAsia="Fira Sans Light" w:cs="Times New Roman"/>
          <w:color w:val="000000" w:themeColor="text1"/>
          <w:shd w:val="clear" w:color="auto" w:fill="FFFFFF"/>
        </w:rPr>
        <w:t>usługi reklamowe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, czy też mniejszego zainteresowania wynajmem i dzierżawą samochodów osobowych, maszyn i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t> 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urządzeń budowlanych. Na powyższe spadki cen usłu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t xml:space="preserve">g znaczący wpływ miały również 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>ograniczenia wprowadzone w związku z początkiem epid</w:t>
      </w:r>
      <w:r w:rsidR="0082752F">
        <w:rPr>
          <w:rFonts w:eastAsia="Fira Sans Light" w:cs="Times New Roman"/>
          <w:color w:val="000000" w:themeColor="text1"/>
          <w:shd w:val="clear" w:color="auto" w:fill="FFFFFF"/>
        </w:rPr>
        <w:t>emii COVID-19. W porównaniu z I </w:t>
      </w:r>
      <w:r w:rsidRPr="009F57F6">
        <w:rPr>
          <w:rFonts w:eastAsia="Fira Sans Light" w:cs="Times New Roman"/>
          <w:color w:val="000000" w:themeColor="text1"/>
          <w:shd w:val="clear" w:color="auto" w:fill="FFFFFF"/>
        </w:rPr>
        <w:t xml:space="preserve">kwartałem 2019 r. spadek cen odnotowano natomiast w usługach nadawania programów ogólnodostępnych i abonamentowych (o 0,6%), jak również usługach związanych z produkcją filmów, nagrań wideo, programów telewizyjnych, nagrań dźwiękowych i muzycznych (o 0,2%). </w:t>
      </w:r>
    </w:p>
    <w:p w:rsidR="00095B4F" w:rsidRPr="009F57F6" w:rsidRDefault="002C2FA7" w:rsidP="00095B4F">
      <w:pPr>
        <w:pStyle w:val="tytuwykresu"/>
        <w:ind w:left="851" w:hanging="851"/>
        <w:jc w:val="both"/>
        <w:rPr>
          <w:rFonts w:eastAsia="Fira Sans Light" w:cs="Times New Roman"/>
          <w:noProof/>
          <w:color w:val="000000" w:themeColor="text1"/>
          <w:spacing w:val="0"/>
          <w:szCs w:val="18"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500380</wp:posOffset>
            </wp:positionV>
            <wp:extent cx="5372100" cy="29337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9F57F6">
        <w:rPr>
          <w:color w:val="000000" w:themeColor="text1"/>
        </w:rPr>
        <w:t xml:space="preserve">Wykres 1. Zmiany </w:t>
      </w:r>
      <w:r w:rsidR="00095B4F" w:rsidRPr="009F57F6">
        <w:rPr>
          <w:color w:val="000000" w:themeColor="text1"/>
          <w:szCs w:val="18"/>
        </w:rPr>
        <w:t>c</w:t>
      </w:r>
      <w:r w:rsidR="00095B4F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en producentów usług związanych z obsługą działalnośc</w:t>
      </w:r>
      <w:r w:rsidR="00F829E2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>i gospodarczej w latach 2017-2020</w:t>
      </w:r>
      <w:r w:rsidR="00095B4F" w:rsidRPr="009F57F6">
        <w:rPr>
          <w:rFonts w:eastAsia="Fira Sans Light" w:cs="Times New Roman"/>
          <w:bCs/>
          <w:color w:val="000000" w:themeColor="text1"/>
          <w:spacing w:val="0"/>
          <w:szCs w:val="18"/>
          <w:shd w:val="clear" w:color="auto" w:fill="FFFFFF"/>
        </w:rPr>
        <w:t xml:space="preserve">  </w:t>
      </w:r>
      <w:r w:rsidR="00095B4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(zmiana w % do poprzedniego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 kwartału</w:t>
      </w:r>
      <w:r w:rsidR="00095B4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>)</w:t>
      </w:r>
    </w:p>
    <w:p w:rsidR="000A426C" w:rsidRDefault="000A426C" w:rsidP="00095B4F">
      <w:pPr>
        <w:pStyle w:val="tytuwykresu"/>
        <w:ind w:left="851" w:hanging="851"/>
        <w:jc w:val="both"/>
      </w:pPr>
    </w:p>
    <w:p w:rsidR="00112322" w:rsidRDefault="00112322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095B4F" w:rsidRPr="00F31DD1" w:rsidRDefault="00095B4F" w:rsidP="00095B4F">
      <w:pPr>
        <w:pStyle w:val="tytuwykresu"/>
        <w:ind w:left="851" w:hanging="851"/>
        <w:jc w:val="both"/>
        <w:rPr>
          <w:noProof/>
          <w:szCs w:val="18"/>
          <w:shd w:val="clear" w:color="auto" w:fill="FFFFFF"/>
          <w:lang w:eastAsia="pl-PL"/>
        </w:rPr>
      </w:pPr>
      <w:r w:rsidRPr="00CD555D">
        <w:lastRenderedPageBreak/>
        <w:t xml:space="preserve">Wykres </w:t>
      </w:r>
      <w:r>
        <w:t>2</w:t>
      </w:r>
      <w:r w:rsidRPr="00CD555D">
        <w:t>.</w:t>
      </w:r>
      <w:r w:rsidRPr="007062D3">
        <w:rPr>
          <w:rFonts w:eastAsia="Fira Sans Light" w:cs="Times New Roman"/>
          <w:b w:val="0"/>
          <w:color w:val="FF0000"/>
          <w:spacing w:val="0"/>
          <w:sz w:val="19"/>
          <w:shd w:val="clear" w:color="auto" w:fill="FFFFFF"/>
        </w:rPr>
        <w:t xml:space="preserve"> </w:t>
      </w:r>
      <w:r>
        <w:t xml:space="preserve">Zmiany </w:t>
      </w:r>
      <w:r w:rsidRPr="00F31DD1">
        <w:rPr>
          <w:szCs w:val="18"/>
        </w:rPr>
        <w:t>c</w:t>
      </w:r>
      <w:r>
        <w:rPr>
          <w:rFonts w:eastAsia="Fira Sans Light" w:cs="Times New Roman"/>
          <w:bCs/>
          <w:spacing w:val="0"/>
          <w:szCs w:val="18"/>
          <w:shd w:val="clear" w:color="auto" w:fill="FFFFFF"/>
        </w:rPr>
        <w:t>en</w:t>
      </w:r>
      <w:r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producentów</w:t>
      </w:r>
      <w:r w:rsidR="000377AC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</w:t>
      </w:r>
      <w:bookmarkStart w:id="0" w:name="_GoBack"/>
      <w:bookmarkEnd w:id="0"/>
      <w:r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usług związanych z obsługą działalności </w:t>
      </w:r>
      <w:r w:rsidR="00F829E2">
        <w:rPr>
          <w:rFonts w:eastAsia="Fira Sans Light" w:cs="Times New Roman"/>
          <w:bCs/>
          <w:spacing w:val="0"/>
          <w:szCs w:val="18"/>
          <w:shd w:val="clear" w:color="auto" w:fill="FFFFFF"/>
        </w:rPr>
        <w:t>gospodarczej  w latach 2017-2020</w:t>
      </w:r>
      <w:r w:rsidRPr="00F31DD1">
        <w:rPr>
          <w:rFonts w:eastAsia="Fira Sans Light" w:cs="Times New Roman"/>
          <w:bCs/>
          <w:spacing w:val="0"/>
          <w:szCs w:val="18"/>
          <w:shd w:val="clear" w:color="auto" w:fill="FFFFFF"/>
        </w:rPr>
        <w:t xml:space="preserve">  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 xml:space="preserve">(zmiana w % do </w:t>
      </w:r>
      <w:r w:rsidR="002D75BF" w:rsidRPr="009F57F6">
        <w:rPr>
          <w:rFonts w:eastAsia="Fira Sans Light" w:cs="Times New Roman"/>
          <w:color w:val="000000" w:themeColor="text1"/>
          <w:spacing w:val="0"/>
          <w:szCs w:val="18"/>
          <w:shd w:val="clear" w:color="auto" w:fill="FFFFFF"/>
        </w:rPr>
        <w:t xml:space="preserve">analogicznego kwartału </w:t>
      </w:r>
      <w:r w:rsidR="002D75BF">
        <w:rPr>
          <w:rFonts w:eastAsia="Fira Sans Light" w:cs="Times New Roman"/>
          <w:spacing w:val="0"/>
          <w:szCs w:val="18"/>
          <w:shd w:val="clear" w:color="auto" w:fill="FFFFFF"/>
        </w:rPr>
        <w:t>roku</w:t>
      </w:r>
      <w:r w:rsidRPr="00F31DD1">
        <w:rPr>
          <w:rFonts w:eastAsia="Fira Sans Light" w:cs="Times New Roman"/>
          <w:spacing w:val="0"/>
          <w:szCs w:val="18"/>
          <w:shd w:val="clear" w:color="auto" w:fill="FFFFFF"/>
        </w:rPr>
        <w:t xml:space="preserve"> poprzedniego)</w:t>
      </w:r>
      <w:r w:rsidRPr="00F31DD1">
        <w:rPr>
          <w:rFonts w:eastAsia="Fira Sans Light" w:cs="Times New Roman"/>
          <w:noProof/>
          <w:spacing w:val="0"/>
          <w:szCs w:val="18"/>
          <w:shd w:val="clear" w:color="auto" w:fill="FFFFFF"/>
          <w:lang w:eastAsia="pl-PL"/>
        </w:rPr>
        <w:t xml:space="preserve"> </w:t>
      </w:r>
    </w:p>
    <w:p w:rsidR="000A426C" w:rsidRDefault="00350F10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5122545" cy="2788920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A426C" w:rsidRDefault="000A426C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5C72B7" w:rsidRDefault="005C72B7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756F8E" w:rsidRDefault="00756F8E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:rsidR="00095B4F" w:rsidRDefault="00756F8E" w:rsidP="00756F8E">
      <w:pPr>
        <w:rPr>
          <w:b/>
          <w:spacing w:val="-2"/>
          <w:sz w:val="18"/>
          <w:shd w:val="clear" w:color="auto" w:fill="FFFFFF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3B69C2" w:rsidRDefault="003B69C2" w:rsidP="007F69F3">
      <w:pPr>
        <w:ind w:left="851" w:hanging="851"/>
        <w:rPr>
          <w:sz w:val="18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:rsidTr="00EA26B5">
        <w:trPr>
          <w:trHeight w:val="1912"/>
        </w:trPr>
        <w:tc>
          <w:tcPr>
            <w:tcW w:w="4239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A46416" w:rsidRPr="00C11430" w:rsidRDefault="00A46416" w:rsidP="00A46416">
      <w:pPr>
        <w:rPr>
          <w:sz w:val="20"/>
          <w:lang w:val="en-US"/>
        </w:rPr>
      </w:pPr>
    </w:p>
    <w:p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:rsidTr="006D0159">
        <w:trPr>
          <w:trHeight w:val="436"/>
        </w:trPr>
        <w:tc>
          <w:tcPr>
            <w:tcW w:w="2721" w:type="pct"/>
            <w:vMerge/>
            <w:vAlign w:val="center"/>
          </w:tcPr>
          <w:p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61FDC" w:rsidRPr="006A7A5D" w:rsidRDefault="006A68B5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61FDC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6A7A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46416" w:rsidRPr="006A7A5D" w:rsidRDefault="006A7A5D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instrText xml:space="preserve"> HYPERLINK "https://stat.gov.pl/obszary-tematyczne/ceny-handel/ceny/ceny-w-gospodarce-narodowej-w-latach-2014-2018,3,16.html" </w:instrText>
                            </w: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C305A"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t>Ceny w gospodarce narodowej</w:t>
                            </w:r>
                          </w:p>
                          <w:p w:rsidR="0019729D" w:rsidRPr="0019729D" w:rsidRDefault="006A7A5D" w:rsidP="00A46416">
                            <w:pPr>
                              <w:rPr>
                                <w:color w:val="1F3864" w:themeColor="accent5" w:themeShade="80"/>
                                <w:sz w:val="18"/>
                                <w:szCs w:val="24"/>
                              </w:rPr>
                            </w:pPr>
                            <w:r w:rsidRPr="006A7A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  <w:p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A46416" w:rsidRPr="006A7A5D" w:rsidRDefault="006A68B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:rsidR="00A46416" w:rsidRPr="006A7A5D" w:rsidRDefault="006A68B5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6A7A5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A46416" w:rsidRPr="006A7A5D" w:rsidRDefault="006A68B5" w:rsidP="00A46416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19729D" w:rsidRPr="006A7A5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Wskaźniki cen producentów usług związanych z obsługą działalności gospodarczej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33.4pt;width:457.2pt;height:283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HBm/d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:rsidR="00A46416" w:rsidRDefault="00A46416" w:rsidP="00A46416">
                      <w:pPr>
                        <w:rPr>
                          <w:b/>
                        </w:rPr>
                      </w:pPr>
                    </w:p>
                    <w:p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:rsidR="00C61FDC" w:rsidRPr="006A7A5D" w:rsidRDefault="006A7A5D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</w:t>
                        </w:r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e</w:t>
                        </w:r>
                        <w:r w:rsidR="00C61FDC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sygnalne</w:t>
                        </w:r>
                      </w:hyperlink>
                      <w:r w:rsidR="00C61FDC" w:rsidRPr="006A7A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instrText xml:space="preserve"> HYPERLINK "https://stat.gov.pl/obszary-tematyczne/ceny-handel/ceny/ceny-w-gospodarce-narodowej-w-latach-2014-2018,3,16.html" </w:instrText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</w: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="006C305A"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t>Ceny w gospodarce narodowej</w:t>
                      </w:r>
                    </w:p>
                    <w:p w:rsidR="0019729D" w:rsidRPr="0019729D" w:rsidRDefault="006A7A5D" w:rsidP="00A46416">
                      <w:pPr>
                        <w:rPr>
                          <w:color w:val="1F3864" w:themeColor="accent5" w:themeShade="80"/>
                          <w:sz w:val="18"/>
                          <w:szCs w:val="24"/>
                        </w:rPr>
                      </w:pPr>
                      <w:r w:rsidRPr="006A7A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  <w:p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</w:t>
                        </w:r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</w:t>
                        </w:r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zy Ceny</w:t>
                        </w:r>
                      </w:hyperlink>
                    </w:p>
                    <w:p w:rsidR="00A46416" w:rsidRPr="006A7A5D" w:rsidRDefault="006A7A5D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</w:t>
                        </w:r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</w:t>
                        </w:r>
                        <w:r w:rsidR="00A46416" w:rsidRPr="006A7A5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ndel)</w:t>
                        </w:r>
                      </w:hyperlink>
                      <w:bookmarkStart w:id="1" w:name="_GoBack"/>
                      <w:bookmarkEnd w:id="1"/>
                    </w:p>
                    <w:p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A46416" w:rsidRPr="006A7A5D" w:rsidRDefault="006A7A5D" w:rsidP="00A46416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0" w:history="1">
                        <w:r w:rsidR="0019729D" w:rsidRPr="006A7A5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Wskaźniki cen producentów usług związanych z obsługą działalności gospodarczej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D122C" w:rsidRDefault="00FD122C" w:rsidP="000470AA">
      <w:pPr>
        <w:rPr>
          <w:sz w:val="18"/>
        </w:rPr>
      </w:pPr>
    </w:p>
    <w:p w:rsidR="00FD122C" w:rsidRDefault="00FD122C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A46416" w:rsidRDefault="00A46416" w:rsidP="000470AA">
      <w:pPr>
        <w:rPr>
          <w:sz w:val="18"/>
        </w:rPr>
      </w:pPr>
    </w:p>
    <w:p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04" w:rsidRDefault="00283D04" w:rsidP="000662E2">
      <w:pPr>
        <w:spacing w:after="0" w:line="240" w:lineRule="auto"/>
      </w:pPr>
      <w:r>
        <w:separator/>
      </w:r>
    </w:p>
  </w:endnote>
  <w:endnote w:type="continuationSeparator" w:id="0">
    <w:p w:rsidR="00283D04" w:rsidRDefault="00283D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B5">
          <w:rPr>
            <w:noProof/>
          </w:rPr>
          <w:t>4</w:t>
        </w:r>
        <w:r>
          <w:fldChar w:fldCharType="end"/>
        </w:r>
      </w:p>
    </w:sdtContent>
  </w:sdt>
  <w:p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8B5">
          <w:rPr>
            <w:noProof/>
          </w:rPr>
          <w:t>1</w:t>
        </w:r>
        <w:r>
          <w:fldChar w:fldCharType="end"/>
        </w:r>
      </w:p>
    </w:sdtContent>
  </w:sdt>
  <w:p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04" w:rsidRDefault="00283D04" w:rsidP="000662E2">
      <w:pPr>
        <w:spacing w:after="0" w:line="240" w:lineRule="auto"/>
      </w:pPr>
      <w:r>
        <w:separator/>
      </w:r>
    </w:p>
  </w:footnote>
  <w:footnote w:type="continuationSeparator" w:id="0">
    <w:p w:rsidR="00283D04" w:rsidRDefault="00283D0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F55B222" wp14:editId="059F8B8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80AF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B9B22F" wp14:editId="72F588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9B22F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87038B" wp14:editId="669FC5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D046C0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A738524" wp14:editId="5CC776BD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B23277E" wp14:editId="3EAF102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C4C6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10.06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277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6C4C6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10.06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7" type="#_x0000_t75" style="width:123.6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6A42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8B5"/>
    <w:rsid w:val="00027A5C"/>
    <w:rsid w:val="00030166"/>
    <w:rsid w:val="00031FFE"/>
    <w:rsid w:val="00032DDD"/>
    <w:rsid w:val="0003341A"/>
    <w:rsid w:val="00033D18"/>
    <w:rsid w:val="00034113"/>
    <w:rsid w:val="00034BE5"/>
    <w:rsid w:val="00035812"/>
    <w:rsid w:val="00036E59"/>
    <w:rsid w:val="000377AC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3A8"/>
    <w:rsid w:val="000569A0"/>
    <w:rsid w:val="000569BC"/>
    <w:rsid w:val="00056AE7"/>
    <w:rsid w:val="00056F31"/>
    <w:rsid w:val="00057CA1"/>
    <w:rsid w:val="00060815"/>
    <w:rsid w:val="00060961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2575"/>
    <w:rsid w:val="000840F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5B4F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2416"/>
    <w:rsid w:val="000C31CC"/>
    <w:rsid w:val="000C3471"/>
    <w:rsid w:val="000C3A1F"/>
    <w:rsid w:val="000C48FD"/>
    <w:rsid w:val="000C4F94"/>
    <w:rsid w:val="000C5E5A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242A"/>
    <w:rsid w:val="00106EBF"/>
    <w:rsid w:val="00106EFD"/>
    <w:rsid w:val="00107174"/>
    <w:rsid w:val="00110D87"/>
    <w:rsid w:val="00112322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2EFE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1B4"/>
    <w:rsid w:val="00140C2A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6A1A"/>
    <w:rsid w:val="0015737D"/>
    <w:rsid w:val="00157786"/>
    <w:rsid w:val="00160F83"/>
    <w:rsid w:val="00161F82"/>
    <w:rsid w:val="00162325"/>
    <w:rsid w:val="00162717"/>
    <w:rsid w:val="001629AA"/>
    <w:rsid w:val="001636AA"/>
    <w:rsid w:val="0016396C"/>
    <w:rsid w:val="00163975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3452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19CF"/>
    <w:rsid w:val="00192BE4"/>
    <w:rsid w:val="0019306E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267B"/>
    <w:rsid w:val="001A3E2A"/>
    <w:rsid w:val="001A428F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BCF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552E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25BF"/>
    <w:rsid w:val="0021357F"/>
    <w:rsid w:val="002143B4"/>
    <w:rsid w:val="0021748C"/>
    <w:rsid w:val="0022019B"/>
    <w:rsid w:val="0022042A"/>
    <w:rsid w:val="002205E7"/>
    <w:rsid w:val="00220C8A"/>
    <w:rsid w:val="00222619"/>
    <w:rsid w:val="002228EE"/>
    <w:rsid w:val="002240E0"/>
    <w:rsid w:val="00224339"/>
    <w:rsid w:val="00225760"/>
    <w:rsid w:val="00225BE3"/>
    <w:rsid w:val="00226300"/>
    <w:rsid w:val="00226A47"/>
    <w:rsid w:val="00227C33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4280"/>
    <w:rsid w:val="002557B2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2288"/>
    <w:rsid w:val="002723E2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4D0A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299A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2FA7"/>
    <w:rsid w:val="002C5AFD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21BA"/>
    <w:rsid w:val="002F29CD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6FE5"/>
    <w:rsid w:val="00307F94"/>
    <w:rsid w:val="003106F3"/>
    <w:rsid w:val="00310A47"/>
    <w:rsid w:val="003152D8"/>
    <w:rsid w:val="00316F52"/>
    <w:rsid w:val="00317469"/>
    <w:rsid w:val="00317E1D"/>
    <w:rsid w:val="00317F73"/>
    <w:rsid w:val="003203A3"/>
    <w:rsid w:val="0032064A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65DC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0F10"/>
    <w:rsid w:val="00351A80"/>
    <w:rsid w:val="00351B06"/>
    <w:rsid w:val="00352B6E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2BA"/>
    <w:rsid w:val="00380964"/>
    <w:rsid w:val="00381B0E"/>
    <w:rsid w:val="00383887"/>
    <w:rsid w:val="003843DB"/>
    <w:rsid w:val="003848A5"/>
    <w:rsid w:val="003861D4"/>
    <w:rsid w:val="0038752C"/>
    <w:rsid w:val="00387777"/>
    <w:rsid w:val="00387B62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34E9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4420"/>
    <w:rsid w:val="003E7858"/>
    <w:rsid w:val="003E7A68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655"/>
    <w:rsid w:val="0040713B"/>
    <w:rsid w:val="00410DEC"/>
    <w:rsid w:val="00410F17"/>
    <w:rsid w:val="004113B2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56E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4499"/>
    <w:rsid w:val="0048541B"/>
    <w:rsid w:val="0048571D"/>
    <w:rsid w:val="004858A6"/>
    <w:rsid w:val="00486711"/>
    <w:rsid w:val="00487448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B05A8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5778"/>
    <w:rsid w:val="004D62E3"/>
    <w:rsid w:val="004D745A"/>
    <w:rsid w:val="004D7C98"/>
    <w:rsid w:val="004E112B"/>
    <w:rsid w:val="004E2829"/>
    <w:rsid w:val="004E322A"/>
    <w:rsid w:val="004E37A1"/>
    <w:rsid w:val="004E3AE3"/>
    <w:rsid w:val="004E514C"/>
    <w:rsid w:val="004E5442"/>
    <w:rsid w:val="004E589B"/>
    <w:rsid w:val="004E718E"/>
    <w:rsid w:val="004E7436"/>
    <w:rsid w:val="004F03A3"/>
    <w:rsid w:val="004F0C3C"/>
    <w:rsid w:val="004F1E76"/>
    <w:rsid w:val="004F23AF"/>
    <w:rsid w:val="004F3DE8"/>
    <w:rsid w:val="004F45EF"/>
    <w:rsid w:val="004F52BD"/>
    <w:rsid w:val="004F53FD"/>
    <w:rsid w:val="004F6107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304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2AF"/>
    <w:rsid w:val="00527847"/>
    <w:rsid w:val="00527F2C"/>
    <w:rsid w:val="00531C2E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D5D"/>
    <w:rsid w:val="00566E2E"/>
    <w:rsid w:val="0056762A"/>
    <w:rsid w:val="00570544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511"/>
    <w:rsid w:val="0058072B"/>
    <w:rsid w:val="0058132F"/>
    <w:rsid w:val="0058150A"/>
    <w:rsid w:val="0058185A"/>
    <w:rsid w:val="005840AB"/>
    <w:rsid w:val="00584F20"/>
    <w:rsid w:val="00586371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3E6F"/>
    <w:rsid w:val="005B5765"/>
    <w:rsid w:val="005C3773"/>
    <w:rsid w:val="005C72B7"/>
    <w:rsid w:val="005C766F"/>
    <w:rsid w:val="005C7721"/>
    <w:rsid w:val="005D275C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4C35"/>
    <w:rsid w:val="005F4CB6"/>
    <w:rsid w:val="005F5A80"/>
    <w:rsid w:val="005F638A"/>
    <w:rsid w:val="005F7E43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50DF"/>
    <w:rsid w:val="00636C29"/>
    <w:rsid w:val="00640BEB"/>
    <w:rsid w:val="00641C44"/>
    <w:rsid w:val="006424A3"/>
    <w:rsid w:val="00646859"/>
    <w:rsid w:val="00646CFC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FFB"/>
    <w:rsid w:val="006A50FE"/>
    <w:rsid w:val="006A540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4C69"/>
    <w:rsid w:val="006C50A7"/>
    <w:rsid w:val="006C53B1"/>
    <w:rsid w:val="006D031F"/>
    <w:rsid w:val="006D1477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5AC3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93F"/>
    <w:rsid w:val="00712D9A"/>
    <w:rsid w:val="007138ED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2D6"/>
    <w:rsid w:val="00732884"/>
    <w:rsid w:val="00732E7F"/>
    <w:rsid w:val="00733463"/>
    <w:rsid w:val="007341E6"/>
    <w:rsid w:val="00734F17"/>
    <w:rsid w:val="00736278"/>
    <w:rsid w:val="00736F79"/>
    <w:rsid w:val="007372BC"/>
    <w:rsid w:val="00737892"/>
    <w:rsid w:val="00742625"/>
    <w:rsid w:val="00742959"/>
    <w:rsid w:val="00743272"/>
    <w:rsid w:val="00744723"/>
    <w:rsid w:val="007452BD"/>
    <w:rsid w:val="00745D56"/>
    <w:rsid w:val="00746187"/>
    <w:rsid w:val="007467BF"/>
    <w:rsid w:val="0074752A"/>
    <w:rsid w:val="007505FE"/>
    <w:rsid w:val="00750B3D"/>
    <w:rsid w:val="00751A7F"/>
    <w:rsid w:val="00751D3C"/>
    <w:rsid w:val="00752886"/>
    <w:rsid w:val="0075391A"/>
    <w:rsid w:val="007542B2"/>
    <w:rsid w:val="0075503C"/>
    <w:rsid w:val="00756CE4"/>
    <w:rsid w:val="00756F8E"/>
    <w:rsid w:val="0076033D"/>
    <w:rsid w:val="0076254F"/>
    <w:rsid w:val="00763323"/>
    <w:rsid w:val="00764C18"/>
    <w:rsid w:val="00764E21"/>
    <w:rsid w:val="00765914"/>
    <w:rsid w:val="00766CBC"/>
    <w:rsid w:val="00766EBC"/>
    <w:rsid w:val="00767BEA"/>
    <w:rsid w:val="007704D2"/>
    <w:rsid w:val="007716BF"/>
    <w:rsid w:val="00771D79"/>
    <w:rsid w:val="007725C2"/>
    <w:rsid w:val="0077373B"/>
    <w:rsid w:val="00774FFF"/>
    <w:rsid w:val="007759EA"/>
    <w:rsid w:val="00775DA6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5B83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2910"/>
    <w:rsid w:val="007935BB"/>
    <w:rsid w:val="0079406A"/>
    <w:rsid w:val="00794798"/>
    <w:rsid w:val="0079514B"/>
    <w:rsid w:val="007958EA"/>
    <w:rsid w:val="00796D4F"/>
    <w:rsid w:val="00796E86"/>
    <w:rsid w:val="007970EF"/>
    <w:rsid w:val="007A0AA5"/>
    <w:rsid w:val="007A1417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7EB3"/>
    <w:rsid w:val="007B0685"/>
    <w:rsid w:val="007B14B4"/>
    <w:rsid w:val="007B1F7F"/>
    <w:rsid w:val="007B340E"/>
    <w:rsid w:val="007B4186"/>
    <w:rsid w:val="007B5EEF"/>
    <w:rsid w:val="007B6789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31A2"/>
    <w:rsid w:val="0081504C"/>
    <w:rsid w:val="0081516C"/>
    <w:rsid w:val="008151B6"/>
    <w:rsid w:val="00815DE0"/>
    <w:rsid w:val="00816D82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72EC"/>
    <w:rsid w:val="0082752F"/>
    <w:rsid w:val="00827B03"/>
    <w:rsid w:val="008302CB"/>
    <w:rsid w:val="008324FC"/>
    <w:rsid w:val="00832583"/>
    <w:rsid w:val="00834AD3"/>
    <w:rsid w:val="0083548C"/>
    <w:rsid w:val="008357B5"/>
    <w:rsid w:val="00836404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021C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58A"/>
    <w:rsid w:val="00882643"/>
    <w:rsid w:val="00882683"/>
    <w:rsid w:val="00883B91"/>
    <w:rsid w:val="00883C07"/>
    <w:rsid w:val="00884729"/>
    <w:rsid w:val="00885373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65C3"/>
    <w:rsid w:val="008971E3"/>
    <w:rsid w:val="008A04B8"/>
    <w:rsid w:val="008A0936"/>
    <w:rsid w:val="008A0ABF"/>
    <w:rsid w:val="008A26D9"/>
    <w:rsid w:val="008A31AE"/>
    <w:rsid w:val="008A575A"/>
    <w:rsid w:val="008A5829"/>
    <w:rsid w:val="008A6D39"/>
    <w:rsid w:val="008A6D42"/>
    <w:rsid w:val="008B023D"/>
    <w:rsid w:val="008B0CAD"/>
    <w:rsid w:val="008B18CA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4461"/>
    <w:rsid w:val="008C714F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2B59"/>
    <w:rsid w:val="009032D3"/>
    <w:rsid w:val="009035E0"/>
    <w:rsid w:val="0090424A"/>
    <w:rsid w:val="00905C91"/>
    <w:rsid w:val="0090746E"/>
    <w:rsid w:val="00911549"/>
    <w:rsid w:val="00912135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7A6"/>
    <w:rsid w:val="0092280D"/>
    <w:rsid w:val="00922C75"/>
    <w:rsid w:val="00922CA8"/>
    <w:rsid w:val="009233BE"/>
    <w:rsid w:val="00926BA7"/>
    <w:rsid w:val="00930ABC"/>
    <w:rsid w:val="00930D62"/>
    <w:rsid w:val="00931DEA"/>
    <w:rsid w:val="00932279"/>
    <w:rsid w:val="0093333F"/>
    <w:rsid w:val="0093339C"/>
    <w:rsid w:val="00933EC1"/>
    <w:rsid w:val="00934B1D"/>
    <w:rsid w:val="00934B99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5E5B"/>
    <w:rsid w:val="00947A34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570"/>
    <w:rsid w:val="009757A7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1912"/>
    <w:rsid w:val="00991AA3"/>
    <w:rsid w:val="00991BAC"/>
    <w:rsid w:val="00993774"/>
    <w:rsid w:val="00994164"/>
    <w:rsid w:val="00995F24"/>
    <w:rsid w:val="00996B56"/>
    <w:rsid w:val="009A1986"/>
    <w:rsid w:val="009A293E"/>
    <w:rsid w:val="009A3104"/>
    <w:rsid w:val="009A4F2A"/>
    <w:rsid w:val="009A5E45"/>
    <w:rsid w:val="009A6E65"/>
    <w:rsid w:val="009A6EA0"/>
    <w:rsid w:val="009A7548"/>
    <w:rsid w:val="009A7B6D"/>
    <w:rsid w:val="009B1420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7251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520D"/>
    <w:rsid w:val="009F57F6"/>
    <w:rsid w:val="009F62DC"/>
    <w:rsid w:val="009F6A2B"/>
    <w:rsid w:val="009F78CE"/>
    <w:rsid w:val="009F7C0E"/>
    <w:rsid w:val="00A00005"/>
    <w:rsid w:val="00A00574"/>
    <w:rsid w:val="00A01D76"/>
    <w:rsid w:val="00A01F50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68D5"/>
    <w:rsid w:val="00A2723E"/>
    <w:rsid w:val="00A274AC"/>
    <w:rsid w:val="00A27FFB"/>
    <w:rsid w:val="00A308E7"/>
    <w:rsid w:val="00A3092D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864"/>
    <w:rsid w:val="00A52BCD"/>
    <w:rsid w:val="00A52BD1"/>
    <w:rsid w:val="00A53132"/>
    <w:rsid w:val="00A54D94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503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2F3E"/>
    <w:rsid w:val="00A95987"/>
    <w:rsid w:val="00A959CD"/>
    <w:rsid w:val="00A96F5B"/>
    <w:rsid w:val="00A97E79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4211"/>
    <w:rsid w:val="00AB46D0"/>
    <w:rsid w:val="00AB6128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217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8A1"/>
    <w:rsid w:val="00AF4B33"/>
    <w:rsid w:val="00AF5AC4"/>
    <w:rsid w:val="00AF694C"/>
    <w:rsid w:val="00AF6D29"/>
    <w:rsid w:val="00AF7181"/>
    <w:rsid w:val="00AF73E0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D7F"/>
    <w:rsid w:val="00B3674A"/>
    <w:rsid w:val="00B37041"/>
    <w:rsid w:val="00B40069"/>
    <w:rsid w:val="00B40201"/>
    <w:rsid w:val="00B4064D"/>
    <w:rsid w:val="00B41BCB"/>
    <w:rsid w:val="00B43041"/>
    <w:rsid w:val="00B43399"/>
    <w:rsid w:val="00B43717"/>
    <w:rsid w:val="00B44404"/>
    <w:rsid w:val="00B44A42"/>
    <w:rsid w:val="00B461E5"/>
    <w:rsid w:val="00B50066"/>
    <w:rsid w:val="00B50DF4"/>
    <w:rsid w:val="00B51B52"/>
    <w:rsid w:val="00B54F75"/>
    <w:rsid w:val="00B55098"/>
    <w:rsid w:val="00B55842"/>
    <w:rsid w:val="00B55861"/>
    <w:rsid w:val="00B55E02"/>
    <w:rsid w:val="00B56B16"/>
    <w:rsid w:val="00B56C12"/>
    <w:rsid w:val="00B57312"/>
    <w:rsid w:val="00B6002B"/>
    <w:rsid w:val="00B60F82"/>
    <w:rsid w:val="00B62062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5DDD"/>
    <w:rsid w:val="00B75F38"/>
    <w:rsid w:val="00B76374"/>
    <w:rsid w:val="00B774F8"/>
    <w:rsid w:val="00B815E7"/>
    <w:rsid w:val="00B81897"/>
    <w:rsid w:val="00B81A8E"/>
    <w:rsid w:val="00B81D67"/>
    <w:rsid w:val="00B829DB"/>
    <w:rsid w:val="00B82A70"/>
    <w:rsid w:val="00B83CA7"/>
    <w:rsid w:val="00B84ACF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732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6B08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5AA0"/>
    <w:rsid w:val="00BD6B23"/>
    <w:rsid w:val="00BD7D68"/>
    <w:rsid w:val="00BE0380"/>
    <w:rsid w:val="00BE05EA"/>
    <w:rsid w:val="00BE168B"/>
    <w:rsid w:val="00BE24DE"/>
    <w:rsid w:val="00BE3104"/>
    <w:rsid w:val="00BE4AE9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59AE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5841"/>
    <w:rsid w:val="00C56C6D"/>
    <w:rsid w:val="00C5733B"/>
    <w:rsid w:val="00C57C3E"/>
    <w:rsid w:val="00C57F2F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2F4A"/>
    <w:rsid w:val="00C7346B"/>
    <w:rsid w:val="00C73A0E"/>
    <w:rsid w:val="00C73BCB"/>
    <w:rsid w:val="00C76752"/>
    <w:rsid w:val="00C76E5B"/>
    <w:rsid w:val="00C76EB1"/>
    <w:rsid w:val="00C7723E"/>
    <w:rsid w:val="00C7755A"/>
    <w:rsid w:val="00C77C0E"/>
    <w:rsid w:val="00C80456"/>
    <w:rsid w:val="00C80964"/>
    <w:rsid w:val="00C80DE3"/>
    <w:rsid w:val="00C81880"/>
    <w:rsid w:val="00C82B1B"/>
    <w:rsid w:val="00C83D05"/>
    <w:rsid w:val="00C84438"/>
    <w:rsid w:val="00C84AE0"/>
    <w:rsid w:val="00C859E8"/>
    <w:rsid w:val="00C85BA3"/>
    <w:rsid w:val="00C864AE"/>
    <w:rsid w:val="00C9002C"/>
    <w:rsid w:val="00C90E7C"/>
    <w:rsid w:val="00C91687"/>
    <w:rsid w:val="00C91823"/>
    <w:rsid w:val="00C924A8"/>
    <w:rsid w:val="00C93A28"/>
    <w:rsid w:val="00C93FFC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3615"/>
    <w:rsid w:val="00CA3C2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3FAF"/>
    <w:rsid w:val="00CB4C31"/>
    <w:rsid w:val="00CB4DB2"/>
    <w:rsid w:val="00CB5DA2"/>
    <w:rsid w:val="00CC024B"/>
    <w:rsid w:val="00CC06BC"/>
    <w:rsid w:val="00CC0E25"/>
    <w:rsid w:val="00CC105E"/>
    <w:rsid w:val="00CC183C"/>
    <w:rsid w:val="00CC200A"/>
    <w:rsid w:val="00CC2410"/>
    <w:rsid w:val="00CC32A9"/>
    <w:rsid w:val="00CC378C"/>
    <w:rsid w:val="00CC3921"/>
    <w:rsid w:val="00CC3C44"/>
    <w:rsid w:val="00CC44C5"/>
    <w:rsid w:val="00CC452D"/>
    <w:rsid w:val="00CC6825"/>
    <w:rsid w:val="00CC6B1D"/>
    <w:rsid w:val="00CC739E"/>
    <w:rsid w:val="00CD307B"/>
    <w:rsid w:val="00CD58B7"/>
    <w:rsid w:val="00CD5F75"/>
    <w:rsid w:val="00CD72C1"/>
    <w:rsid w:val="00CD7FE6"/>
    <w:rsid w:val="00CE0031"/>
    <w:rsid w:val="00CE0210"/>
    <w:rsid w:val="00CE037E"/>
    <w:rsid w:val="00CE16B0"/>
    <w:rsid w:val="00CE2220"/>
    <w:rsid w:val="00CE23CF"/>
    <w:rsid w:val="00CE2DBB"/>
    <w:rsid w:val="00CE648C"/>
    <w:rsid w:val="00CE6E21"/>
    <w:rsid w:val="00CE7088"/>
    <w:rsid w:val="00CE71A6"/>
    <w:rsid w:val="00CE7E2E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601"/>
    <w:rsid w:val="00D105C0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276C7"/>
    <w:rsid w:val="00D27822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2C55"/>
    <w:rsid w:val="00D44B86"/>
    <w:rsid w:val="00D44EF7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7E4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5A6"/>
    <w:rsid w:val="00E23337"/>
    <w:rsid w:val="00E24428"/>
    <w:rsid w:val="00E2586D"/>
    <w:rsid w:val="00E259EA"/>
    <w:rsid w:val="00E303CD"/>
    <w:rsid w:val="00E30E01"/>
    <w:rsid w:val="00E32061"/>
    <w:rsid w:val="00E321D8"/>
    <w:rsid w:val="00E339F7"/>
    <w:rsid w:val="00E33CB0"/>
    <w:rsid w:val="00E3474B"/>
    <w:rsid w:val="00E34C67"/>
    <w:rsid w:val="00E353C5"/>
    <w:rsid w:val="00E361A0"/>
    <w:rsid w:val="00E379F2"/>
    <w:rsid w:val="00E407A4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1446"/>
    <w:rsid w:val="00E61551"/>
    <w:rsid w:val="00E6241A"/>
    <w:rsid w:val="00E62B72"/>
    <w:rsid w:val="00E63635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A6A0F"/>
    <w:rsid w:val="00EA722D"/>
    <w:rsid w:val="00EB010C"/>
    <w:rsid w:val="00EB11F1"/>
    <w:rsid w:val="00EB1390"/>
    <w:rsid w:val="00EB1BB6"/>
    <w:rsid w:val="00EB2C71"/>
    <w:rsid w:val="00EB4340"/>
    <w:rsid w:val="00EB4C09"/>
    <w:rsid w:val="00EB4E18"/>
    <w:rsid w:val="00EB556D"/>
    <w:rsid w:val="00EB5A7D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F0158F"/>
    <w:rsid w:val="00F037A4"/>
    <w:rsid w:val="00F0456E"/>
    <w:rsid w:val="00F05472"/>
    <w:rsid w:val="00F05E6D"/>
    <w:rsid w:val="00F10D06"/>
    <w:rsid w:val="00F1317E"/>
    <w:rsid w:val="00F13728"/>
    <w:rsid w:val="00F137D6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20A"/>
    <w:rsid w:val="00F35572"/>
    <w:rsid w:val="00F37172"/>
    <w:rsid w:val="00F37B23"/>
    <w:rsid w:val="00F40A08"/>
    <w:rsid w:val="00F42DDA"/>
    <w:rsid w:val="00F4477E"/>
    <w:rsid w:val="00F4601D"/>
    <w:rsid w:val="00F46A7B"/>
    <w:rsid w:val="00F46AB5"/>
    <w:rsid w:val="00F46AD9"/>
    <w:rsid w:val="00F512B0"/>
    <w:rsid w:val="00F5453E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985"/>
    <w:rsid w:val="00F71633"/>
    <w:rsid w:val="00F7220C"/>
    <w:rsid w:val="00F732A9"/>
    <w:rsid w:val="00F7434C"/>
    <w:rsid w:val="00F74599"/>
    <w:rsid w:val="00F74C9A"/>
    <w:rsid w:val="00F755DF"/>
    <w:rsid w:val="00F76B7E"/>
    <w:rsid w:val="00F76BDA"/>
    <w:rsid w:val="00F76CDF"/>
    <w:rsid w:val="00F775B9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EDA"/>
    <w:rsid w:val="00F85B18"/>
    <w:rsid w:val="00F86024"/>
    <w:rsid w:val="00F8611A"/>
    <w:rsid w:val="00F86276"/>
    <w:rsid w:val="00F86837"/>
    <w:rsid w:val="00F8781B"/>
    <w:rsid w:val="00F8797B"/>
    <w:rsid w:val="00F87A0D"/>
    <w:rsid w:val="00F917A2"/>
    <w:rsid w:val="00F9263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0D2508-4FDB-46B0-8B4F-1B862D8C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stat.gov.pl/metainformacje/slownik-pojec/pojecia-stosowane-w-statystyce-publicznej/3200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ceny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sygnalne/informacje-sygnalne/2,2020,kategoria.html" TargetMode="External"/><Relationship Id="rId28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sygnalne/informacje-sygnalne/2,2020,kategoria.html" TargetMode="External"/><Relationship Id="rId30" Type="http://schemas.openxmlformats.org/officeDocument/2006/relationships/hyperlink" Target="https://stat.gov.pl/metainformacje/slownik-pojec/pojecia-stosowane-w-statystyce-publicznej/3200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419572553430822E-2"/>
          <c:y val="9.1203401520417574E-2"/>
          <c:w val="0.87304714583066656"/>
          <c:h val="0.75538301066058566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'wykres 1'!$A$2:$B$14</c:f>
              <c:multiLvlStrCache>
                <c:ptCount val="13"/>
                <c:lvl>
                  <c:pt idx="0">
                    <c:v>I kw.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 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'wykres 1'!$C$2:$C$14</c:f>
              <c:numCache>
                <c:formatCode>General</c:formatCode>
                <c:ptCount val="13"/>
                <c:pt idx="0">
                  <c:v>0.8</c:v>
                </c:pt>
                <c:pt idx="1">
                  <c:v>0.4</c:v>
                </c:pt>
                <c:pt idx="2">
                  <c:v>0.7</c:v>
                </c:pt>
                <c:pt idx="3">
                  <c:v>0.3</c:v>
                </c:pt>
                <c:pt idx="4">
                  <c:v>0.7</c:v>
                </c:pt>
                <c:pt idx="5">
                  <c:v>0.5</c:v>
                </c:pt>
                <c:pt idx="6">
                  <c:v>0.2</c:v>
                </c:pt>
                <c:pt idx="7">
                  <c:v>0.3</c:v>
                </c:pt>
                <c:pt idx="8">
                  <c:v>0.8</c:v>
                </c:pt>
                <c:pt idx="9">
                  <c:v>0.4</c:v>
                </c:pt>
                <c:pt idx="10">
                  <c:v>0.5</c:v>
                </c:pt>
                <c:pt idx="11">
                  <c:v>0.2</c:v>
                </c:pt>
                <c:pt idx="12">
                  <c:v>0.9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24058448"/>
        <c:axId val="-824060080"/>
      </c:lineChart>
      <c:catAx>
        <c:axId val="-82405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 sz="900"/>
            </a:pPr>
            <a:endParaRPr lang="pl-PL"/>
          </a:p>
        </c:txPr>
        <c:crossAx val="-824060080"/>
        <c:crosses val="autoZero"/>
        <c:auto val="1"/>
        <c:lblAlgn val="ctr"/>
        <c:lblOffset val="100"/>
        <c:noMultiLvlLbl val="0"/>
      </c:catAx>
      <c:valAx>
        <c:axId val="-824060080"/>
        <c:scaling>
          <c:orientation val="minMax"/>
          <c:max val="1"/>
          <c:min val="0"/>
        </c:scaling>
        <c:delete val="0"/>
        <c:axPos val="l"/>
        <c:majorGridlines/>
        <c:numFmt formatCode="#,##0.0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900"/>
            </a:pPr>
            <a:endParaRPr lang="pl-PL"/>
          </a:p>
        </c:txPr>
        <c:crossAx val="-824058448"/>
        <c:crosses val="autoZero"/>
        <c:crossBetween val="between"/>
        <c:majorUnit val="0.5"/>
        <c:min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419611164165113E-2"/>
          <c:y val="4.5854704083934592E-2"/>
          <c:w val="0.92655536478992573"/>
          <c:h val="0.75467445174345649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001D77"/>
              </a:solidFill>
            </a:ln>
          </c:spPr>
          <c:marker>
            <c:spPr>
              <a:solidFill>
                <a:srgbClr val="001D77"/>
              </a:solidFill>
              <a:ln>
                <a:solidFill>
                  <a:srgbClr val="001D7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'wykres 2'!$A$2:$B$14</c:f>
              <c:multiLvlStrCache>
                <c:ptCount val="13"/>
                <c:lvl>
                  <c:pt idx="0">
                    <c:v>I kw. </c:v>
                  </c:pt>
                  <c:pt idx="1">
                    <c:v>II kw.</c:v>
                  </c:pt>
                  <c:pt idx="2">
                    <c:v>III kw.</c:v>
                  </c:pt>
                  <c:pt idx="3">
                    <c:v>IV kw.</c:v>
                  </c:pt>
                  <c:pt idx="4">
                    <c:v>I kw. </c:v>
                  </c:pt>
                  <c:pt idx="5">
                    <c:v>II kw.</c:v>
                  </c:pt>
                  <c:pt idx="6">
                    <c:v>III kw.</c:v>
                  </c:pt>
                  <c:pt idx="7">
                    <c:v>IV kw.</c:v>
                  </c:pt>
                  <c:pt idx="8">
                    <c:v>I kw. </c:v>
                  </c:pt>
                  <c:pt idx="9">
                    <c:v>II kw.</c:v>
                  </c:pt>
                  <c:pt idx="10">
                    <c:v>III kw.</c:v>
                  </c:pt>
                  <c:pt idx="11">
                    <c:v>IV kw.</c:v>
                  </c:pt>
                  <c:pt idx="12">
                    <c:v>I kw.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'wykres 2'!$C$2:$C$14</c:f>
              <c:numCache>
                <c:formatCode>General</c:formatCode>
                <c:ptCount val="13"/>
                <c:pt idx="0">
                  <c:v>1.6</c:v>
                </c:pt>
                <c:pt idx="1">
                  <c:v>1.7</c:v>
                </c:pt>
                <c:pt idx="2" formatCode="0.0">
                  <c:v>2.2999999999999998</c:v>
                </c:pt>
                <c:pt idx="3" formatCode="0.0">
                  <c:v>2.2000000000000002</c:v>
                </c:pt>
                <c:pt idx="4" formatCode="0.0">
                  <c:v>2.1</c:v>
                </c:pt>
                <c:pt idx="5" formatCode="0.0">
                  <c:v>2.2000000000000002</c:v>
                </c:pt>
                <c:pt idx="6" formatCode="0.0">
                  <c:v>1.7</c:v>
                </c:pt>
                <c:pt idx="7" formatCode="0.0">
                  <c:v>1.7</c:v>
                </c:pt>
                <c:pt idx="8" formatCode="0.0">
                  <c:v>1.8</c:v>
                </c:pt>
                <c:pt idx="9" formatCode="0.0">
                  <c:v>1.7</c:v>
                </c:pt>
                <c:pt idx="10" formatCode="0.0">
                  <c:v>2</c:v>
                </c:pt>
                <c:pt idx="11" formatCode="0.0">
                  <c:v>1.9</c:v>
                </c:pt>
                <c:pt idx="12" formatCode="0.0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24062800"/>
        <c:axId val="-824061712"/>
      </c:lineChart>
      <c:catAx>
        <c:axId val="-82406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pl-PL"/>
          </a:p>
        </c:txPr>
        <c:crossAx val="-824061712"/>
        <c:crosses val="autoZero"/>
        <c:auto val="1"/>
        <c:lblAlgn val="ctr"/>
        <c:lblOffset val="100"/>
        <c:noMultiLvlLbl val="0"/>
      </c:catAx>
      <c:valAx>
        <c:axId val="-824061712"/>
        <c:scaling>
          <c:orientation val="minMax"/>
          <c:max val="3"/>
          <c:min val="0"/>
        </c:scaling>
        <c:delete val="0"/>
        <c:axPos val="l"/>
        <c:majorGridlines/>
        <c:numFmt formatCode="#,##0.0" sourceLinked="0"/>
        <c:majorTickMark val="none"/>
        <c:minorTickMark val="in"/>
        <c:tickLblPos val="nextTo"/>
        <c:txPr>
          <a:bodyPr rot="-60000000" vert="horz"/>
          <a:lstStyle/>
          <a:p>
            <a:pPr>
              <a:defRPr/>
            </a:pPr>
            <a:endParaRPr lang="pl-PL"/>
          </a:p>
        </c:txPr>
        <c:crossAx val="-824062800"/>
        <c:crosses val="autoZero"/>
        <c:crossBetween val="between"/>
        <c:majorUnit val="1"/>
        <c:min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11A177-1027-40D8-8A3D-707DF356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2020-03-18T12:25:00Z</cp:lastPrinted>
  <dcterms:created xsi:type="dcterms:W3CDTF">2020-06-03T10:11:00Z</dcterms:created>
  <dcterms:modified xsi:type="dcterms:W3CDTF">2020-06-05T09:43:00Z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