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A62E16" w:rsidP="00C8681F">
      <w:pPr>
        <w:pStyle w:val="tytuinformacji"/>
        <w:spacing w:before="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612CB0">
        <w:rPr>
          <w:shd w:val="clear" w:color="auto" w:fill="FFFFFF"/>
        </w:rPr>
        <w:t xml:space="preserve"> </w:t>
      </w:r>
      <w:r w:rsidR="00146C3E">
        <w:rPr>
          <w:shd w:val="clear" w:color="auto" w:fill="FFFFFF"/>
        </w:rPr>
        <w:t>marcu</w:t>
      </w:r>
      <w:r w:rsidR="00220A8B">
        <w:rPr>
          <w:shd w:val="clear" w:color="auto" w:fill="FFFFFF"/>
        </w:rPr>
        <w:t xml:space="preserve"> </w:t>
      </w:r>
      <w:r w:rsidR="00DA7E4C">
        <w:rPr>
          <w:shd w:val="clear" w:color="auto" w:fill="FFFFFF"/>
        </w:rPr>
        <w:t>2020</w:t>
      </w:r>
      <w:r w:rsidR="00C8681F" w:rsidRPr="00AA640C">
        <w:rPr>
          <w:shd w:val="clear" w:color="auto" w:fill="FFFFFF"/>
        </w:rPr>
        <w:t xml:space="preserve"> </w:t>
      </w:r>
      <w:proofErr w:type="spellStart"/>
      <w:r w:rsidR="00C8681F" w:rsidRPr="00AA640C">
        <w:rPr>
          <w:shd w:val="clear" w:color="auto" w:fill="FFFFFF"/>
        </w:rPr>
        <w:t>r.</w:t>
      </w:r>
      <w:r w:rsidR="00C8681F" w:rsidRPr="00AA640C">
        <w:rPr>
          <w:shd w:val="clear" w:color="auto" w:fill="FFFFFF"/>
          <w:vertAlign w:val="superscript"/>
        </w:rPr>
        <w:t>a</w:t>
      </w:r>
      <w:proofErr w:type="spellEnd"/>
      <w:r w:rsidR="00C8681F" w:rsidRPr="00AA640C">
        <w:rPr>
          <w:shd w:val="clear" w:color="auto" w:fill="FFFFFF"/>
          <w:vertAlign w:val="superscript"/>
        </w:rPr>
        <w:t>)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C8681F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4071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738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0177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1D938F2" wp14:editId="456A674B">
                                  <wp:extent cx="336550" cy="336550"/>
                                  <wp:effectExtent l="0" t="0" r="6350" b="635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767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4DE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46C3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2,3</w:t>
                            </w:r>
                            <w:r w:rsidR="00964F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C8681F" w:rsidRPr="00364866" w:rsidRDefault="00745613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C8681F" w:rsidRPr="00364866">
                              <w:rPr>
                                <w:sz w:val="20"/>
                              </w:rPr>
                              <w:t xml:space="preserve">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>
                              <w:rPr>
                                <w:sz w:val="20"/>
                              </w:rPr>
                              <w:t> marcem</w:t>
                            </w:r>
                            <w:r w:rsidR="00E32156">
                              <w:rPr>
                                <w:sz w:val="20"/>
                              </w:rPr>
                              <w:t xml:space="preserve"> </w:t>
                            </w:r>
                            <w:r w:rsidR="002836F9">
                              <w:rPr>
                                <w:sz w:val="20"/>
                              </w:rPr>
                              <w:t>ub.</w:t>
                            </w:r>
                            <w:r w:rsidR="00C8681F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2836F9">
                              <w:rPr>
                                <w:sz w:val="20"/>
                              </w:rPr>
                              <w:t>oku</w:t>
                            </w:r>
                            <w:r w:rsidR="00C8681F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7B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2in;height:110.8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EPJQIAACE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0177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1D938F2" wp14:editId="456A674B">
                            <wp:extent cx="336550" cy="336550"/>
                            <wp:effectExtent l="0" t="0" r="6350" b="635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B767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4DEF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46C3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2,3</w:t>
                      </w:r>
                      <w:r w:rsidR="00964F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C8681F" w:rsidRPr="00364866" w:rsidRDefault="00745613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C8681F" w:rsidRPr="00364866">
                        <w:rPr>
                          <w:sz w:val="20"/>
                        </w:rPr>
                        <w:t xml:space="preserve">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>
                        <w:rPr>
                          <w:sz w:val="20"/>
                        </w:rPr>
                        <w:t> marcem</w:t>
                      </w:r>
                      <w:r w:rsidR="00E32156">
                        <w:rPr>
                          <w:sz w:val="20"/>
                        </w:rPr>
                        <w:t xml:space="preserve"> </w:t>
                      </w:r>
                      <w:r w:rsidR="002836F9">
                        <w:rPr>
                          <w:sz w:val="20"/>
                        </w:rPr>
                        <w:t>ub.</w:t>
                      </w:r>
                      <w:r w:rsidR="00C8681F" w:rsidRPr="00364866">
                        <w:rPr>
                          <w:sz w:val="20"/>
                        </w:rPr>
                        <w:t xml:space="preserve"> r</w:t>
                      </w:r>
                      <w:r w:rsidR="002836F9">
                        <w:rPr>
                          <w:sz w:val="20"/>
                        </w:rPr>
                        <w:t>oku</w:t>
                      </w:r>
                      <w:r w:rsidR="00C8681F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7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C3E">
        <w:t>W marcu</w:t>
      </w:r>
      <w:r w:rsidR="00220A8B" w:rsidRPr="00220A8B">
        <w:t xml:space="preserve"> br. produkcja sprzedana przemysłu była </w:t>
      </w:r>
      <w:r w:rsidR="00146C3E">
        <w:t>niższa</w:t>
      </w:r>
      <w:r w:rsidR="00220A8B" w:rsidRPr="00220A8B">
        <w:t xml:space="preserve"> o </w:t>
      </w:r>
      <w:r w:rsidR="00146C3E">
        <w:t>2,3% w porównaniu z marcem</w:t>
      </w:r>
      <w:r w:rsidR="00220A8B" w:rsidRPr="00220A8B">
        <w:t xml:space="preserve"> ub. roku, kiedy notowano wzrost o </w:t>
      </w:r>
      <w:r w:rsidR="00146C3E">
        <w:t>5,6</w:t>
      </w:r>
      <w:r w:rsidR="00220A8B" w:rsidRPr="00220A8B">
        <w:t>%, nat</w:t>
      </w:r>
      <w:r w:rsidR="00146C3E">
        <w:t>omiast w porównaniu z lutym</w:t>
      </w:r>
      <w:r w:rsidR="00220A8B" w:rsidRPr="00220A8B">
        <w:t xml:space="preserve"> br. </w:t>
      </w:r>
      <w:r w:rsidR="000C1158">
        <w:t>wzrosła</w:t>
      </w:r>
      <w:r w:rsidR="00220A8B" w:rsidRPr="00220A8B">
        <w:t xml:space="preserve"> o </w:t>
      </w:r>
      <w:r w:rsidR="000C1158">
        <w:t>2</w:t>
      </w:r>
      <w:r w:rsidR="00220A8B" w:rsidRPr="00220A8B">
        <w:t>,</w:t>
      </w:r>
      <w:r w:rsidR="00146C3E">
        <w:t>4%. W okresie styczeń – marzec</w:t>
      </w:r>
      <w:r w:rsidR="00220A8B" w:rsidRPr="00220A8B">
        <w:t xml:space="preserve"> br. produkcja sprzedana przemysłu była o </w:t>
      </w:r>
      <w:r w:rsidR="00146C3E">
        <w:t>1,0</w:t>
      </w:r>
      <w:r w:rsidR="00220A8B" w:rsidRPr="00220A8B">
        <w:t>% wyższa w porównaniu z</w:t>
      </w:r>
      <w:r w:rsidR="009B318D">
        <w:t> </w:t>
      </w:r>
      <w:r w:rsidR="00220A8B" w:rsidRPr="00220A8B">
        <w:t xml:space="preserve">analogicznym okresem ub. roku, kiedy notowano wzrost o </w:t>
      </w:r>
      <w:r w:rsidR="00E32156">
        <w:t>6</w:t>
      </w:r>
      <w:r w:rsidR="00220A8B" w:rsidRPr="00220A8B">
        <w:t>,</w:t>
      </w:r>
      <w:r w:rsidR="00146C3E">
        <w:t>1</w:t>
      </w:r>
      <w:r w:rsidR="00981AAC">
        <w:t>%</w:t>
      </w:r>
      <w:r w:rsidR="009D4C87">
        <w:t>.</w:t>
      </w:r>
      <w:r w:rsidR="00AF4C05" w:rsidRPr="00AF4C05">
        <w:t xml:space="preserve"> </w:t>
      </w:r>
    </w:p>
    <w:p w:rsidR="00DA7E4C" w:rsidRDefault="00DA7E4C" w:rsidP="00C8681F">
      <w:pPr>
        <w:pStyle w:val="LID"/>
        <w:spacing w:before="0" w:after="0"/>
      </w:pPr>
    </w:p>
    <w:p w:rsidR="00DA7E4C" w:rsidRPr="00C2742C" w:rsidRDefault="00DA7E4C" w:rsidP="00C8681F">
      <w:pPr>
        <w:pStyle w:val="LID"/>
        <w:spacing w:before="0" w:after="0"/>
      </w:pPr>
    </w:p>
    <w:p w:rsidR="002D0E0C" w:rsidRDefault="002D0E0C" w:rsidP="00A41DEF">
      <w:pPr>
        <w:pStyle w:val="LID"/>
        <w:jc w:val="both"/>
      </w:pPr>
    </w:p>
    <w:p w:rsidR="00D95EEA" w:rsidRDefault="00326044" w:rsidP="00A41DEF">
      <w:pPr>
        <w:pStyle w:val="LID"/>
        <w:jc w:val="both"/>
      </w:pPr>
      <w:r w:rsidRPr="00001C5B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356D75" w:rsidRDefault="00CA06D6" w:rsidP="00D0793C">
                            <w:pPr>
                              <w:pStyle w:val="tekstzboku"/>
                              <w:suppressAutoHyphens/>
                              <w:rPr>
                                <w:i/>
                              </w:rPr>
                            </w:pPr>
                            <w:r w:rsidRPr="00A24EA6">
                              <w:t xml:space="preserve">Po wyrównaniu sezonowym, </w:t>
                            </w:r>
                            <w:r w:rsidR="00C42B9D">
                              <w:t xml:space="preserve">spadek </w:t>
                            </w:r>
                            <w:r w:rsidR="00ED01FD" w:rsidRPr="00A24EA6">
                              <w:t>produkcji sprzedanej przemy</w:t>
                            </w:r>
                            <w:r w:rsidR="00612CB0" w:rsidRPr="00A24EA6">
                              <w:t xml:space="preserve">słu w </w:t>
                            </w:r>
                            <w:r w:rsidR="00A24EA6">
                              <w:t>marcu</w:t>
                            </w:r>
                            <w:r w:rsidR="000C1158" w:rsidRPr="00A24EA6">
                              <w:t xml:space="preserve"> </w:t>
                            </w:r>
                            <w:r w:rsidR="002836F9" w:rsidRPr="00A24EA6">
                              <w:t>b</w:t>
                            </w:r>
                            <w:r w:rsidR="000008A5" w:rsidRPr="00A24EA6">
                              <w:t>r.</w:t>
                            </w:r>
                            <w:r w:rsidR="00C8681F" w:rsidRPr="00A24EA6">
                              <w:t xml:space="preserve"> </w:t>
                            </w:r>
                            <w:r w:rsidR="00ED01FD" w:rsidRPr="00A24EA6">
                              <w:t xml:space="preserve">wyniósł </w:t>
                            </w:r>
                            <w:r w:rsidR="00C42B9D">
                              <w:t>4,8</w:t>
                            </w:r>
                            <w:r w:rsidR="007A6D59" w:rsidRPr="00C42B9D">
                              <w:t>%</w:t>
                            </w:r>
                            <w:r w:rsidR="00ED01FD" w:rsidRPr="00C42B9D">
                              <w:t xml:space="preserve"> </w:t>
                            </w:r>
                            <w:r w:rsidR="0073256C" w:rsidRPr="00C42B9D">
                              <w:t>w skali roku</w:t>
                            </w:r>
                            <w:r w:rsidR="0073256C" w:rsidRPr="00356D75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356D75" w:rsidRDefault="00356D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4pt;margin-top:6.1pt;width:133.95pt;height:80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" filled="f" stroked="f">
                <v:textbox>
                  <w:txbxContent>
                    <w:p w:rsidR="007A2DC1" w:rsidRPr="00356D75" w:rsidRDefault="00CA06D6" w:rsidP="00D0793C">
                      <w:pPr>
                        <w:pStyle w:val="tekstzboku"/>
                        <w:suppressAutoHyphens/>
                        <w:rPr>
                          <w:i/>
                        </w:rPr>
                      </w:pPr>
                      <w:r w:rsidRPr="00A24EA6">
                        <w:t xml:space="preserve">Po wyrównaniu sezonowym, </w:t>
                      </w:r>
                      <w:r w:rsidR="00C42B9D">
                        <w:t xml:space="preserve">spadek </w:t>
                      </w:r>
                      <w:r w:rsidR="00ED01FD" w:rsidRPr="00A24EA6">
                        <w:t>produkcji sprzedanej przemy</w:t>
                      </w:r>
                      <w:r w:rsidR="00612CB0" w:rsidRPr="00A24EA6">
                        <w:t xml:space="preserve">słu w </w:t>
                      </w:r>
                      <w:r w:rsidR="00A24EA6">
                        <w:t>marcu</w:t>
                      </w:r>
                      <w:r w:rsidR="000C1158" w:rsidRPr="00A24EA6">
                        <w:t xml:space="preserve"> </w:t>
                      </w:r>
                      <w:r w:rsidR="002836F9" w:rsidRPr="00A24EA6">
                        <w:t>b</w:t>
                      </w:r>
                      <w:r w:rsidR="000008A5" w:rsidRPr="00A24EA6">
                        <w:t>r.</w:t>
                      </w:r>
                      <w:r w:rsidR="00C8681F" w:rsidRPr="00A24EA6">
                        <w:t xml:space="preserve"> </w:t>
                      </w:r>
                      <w:r w:rsidR="00ED01FD" w:rsidRPr="00A24EA6">
                        <w:t xml:space="preserve">wyniósł </w:t>
                      </w:r>
                      <w:r w:rsidR="00C42B9D">
                        <w:t>4,8</w:t>
                      </w:r>
                      <w:r w:rsidR="007A6D59" w:rsidRPr="00C42B9D">
                        <w:t>%</w:t>
                      </w:r>
                      <w:r w:rsidR="00ED01FD" w:rsidRPr="00C42B9D">
                        <w:t xml:space="preserve"> </w:t>
                      </w:r>
                      <w:r w:rsidR="0073256C" w:rsidRPr="00C42B9D">
                        <w:t>w skali roku</w:t>
                      </w:r>
                      <w:r w:rsidR="0073256C" w:rsidRPr="00356D75">
                        <w:rPr>
                          <w:i/>
                        </w:rPr>
                        <w:t xml:space="preserve"> </w:t>
                      </w:r>
                    </w:p>
                    <w:p w:rsidR="00356D75" w:rsidRDefault="00356D75"/>
                  </w:txbxContent>
                </v:textbox>
                <w10:wrap type="tight"/>
              </v:shape>
            </w:pict>
          </mc:Fallback>
        </mc:AlternateContent>
      </w:r>
    </w:p>
    <w:p w:rsidR="00ED01FD" w:rsidRPr="00C42B9D" w:rsidRDefault="00D95EEA" w:rsidP="00C82ADB">
      <w:pPr>
        <w:pStyle w:val="LID"/>
        <w:rPr>
          <w:b w:val="0"/>
        </w:rPr>
      </w:pPr>
      <w:r w:rsidRPr="00A24EA6">
        <w:rPr>
          <w:b w:val="0"/>
        </w:rPr>
        <w:t>Po wyeliminowaniu wpływu czynników o charakterze sezonowym</w:t>
      </w:r>
      <w:r w:rsidR="00612CB0" w:rsidRPr="00A24EA6">
        <w:rPr>
          <w:b w:val="0"/>
        </w:rPr>
        <w:t xml:space="preserve">, w </w:t>
      </w:r>
      <w:r w:rsidR="00A24EA6">
        <w:rPr>
          <w:b w:val="0"/>
        </w:rPr>
        <w:t>marcu</w:t>
      </w:r>
      <w:r w:rsidR="00E32156" w:rsidRPr="00A24EA6">
        <w:rPr>
          <w:b w:val="0"/>
        </w:rPr>
        <w:t xml:space="preserve"> </w:t>
      </w:r>
      <w:r w:rsidR="002836F9" w:rsidRPr="00A24EA6">
        <w:rPr>
          <w:b w:val="0"/>
        </w:rPr>
        <w:t>b</w:t>
      </w:r>
      <w:r w:rsidR="000008A5" w:rsidRPr="00A24EA6">
        <w:rPr>
          <w:b w:val="0"/>
        </w:rPr>
        <w:t>r.</w:t>
      </w:r>
      <w:r w:rsidRPr="00A24EA6">
        <w:rPr>
          <w:b w:val="0"/>
        </w:rPr>
        <w:t xml:space="preserve"> produkcja sprzedana przemysłu ukształtowała się na poziomie </w:t>
      </w:r>
      <w:r w:rsidRPr="00C42B9D">
        <w:rPr>
          <w:b w:val="0"/>
        </w:rPr>
        <w:t xml:space="preserve">o </w:t>
      </w:r>
      <w:r w:rsidR="00C42B9D">
        <w:rPr>
          <w:b w:val="0"/>
        </w:rPr>
        <w:t>4,8</w:t>
      </w:r>
      <w:r w:rsidRPr="00C42B9D">
        <w:rPr>
          <w:b w:val="0"/>
        </w:rPr>
        <w:t xml:space="preserve">% </w:t>
      </w:r>
      <w:r w:rsidR="00C42B9D">
        <w:rPr>
          <w:b w:val="0"/>
        </w:rPr>
        <w:t>ni</w:t>
      </w:r>
      <w:r w:rsidRPr="00C42B9D">
        <w:rPr>
          <w:b w:val="0"/>
        </w:rPr>
        <w:t>ższym niż w</w:t>
      </w:r>
      <w:r w:rsidR="006474BE" w:rsidRPr="00C42B9D">
        <w:rPr>
          <w:b w:val="0"/>
        </w:rPr>
        <w:t> </w:t>
      </w:r>
      <w:r w:rsidRPr="00C42B9D">
        <w:rPr>
          <w:b w:val="0"/>
        </w:rPr>
        <w:t xml:space="preserve">analogicznym miesiącu </w:t>
      </w:r>
      <w:r w:rsidR="002836F9" w:rsidRPr="00C42B9D">
        <w:rPr>
          <w:b w:val="0"/>
        </w:rPr>
        <w:t>ub.</w:t>
      </w:r>
      <w:r w:rsidR="00981AAC" w:rsidRPr="00C42B9D">
        <w:rPr>
          <w:b w:val="0"/>
        </w:rPr>
        <w:t xml:space="preserve"> </w:t>
      </w:r>
      <w:r w:rsidR="000008A5" w:rsidRPr="00C42B9D">
        <w:rPr>
          <w:b w:val="0"/>
        </w:rPr>
        <w:t>r</w:t>
      </w:r>
      <w:r w:rsidR="002836F9" w:rsidRPr="00C42B9D">
        <w:rPr>
          <w:b w:val="0"/>
        </w:rPr>
        <w:t>oku</w:t>
      </w:r>
      <w:r w:rsidRPr="00C42B9D">
        <w:rPr>
          <w:b w:val="0"/>
        </w:rPr>
        <w:t xml:space="preserve"> i o </w:t>
      </w:r>
      <w:r w:rsidR="00C42B9D">
        <w:rPr>
          <w:b w:val="0"/>
        </w:rPr>
        <w:t>7,2</w:t>
      </w:r>
      <w:r w:rsidRPr="00C42B9D">
        <w:rPr>
          <w:b w:val="0"/>
        </w:rPr>
        <w:t xml:space="preserve">% </w:t>
      </w:r>
      <w:r w:rsidR="00C42B9D">
        <w:rPr>
          <w:b w:val="0"/>
        </w:rPr>
        <w:t>ni</w:t>
      </w:r>
      <w:r w:rsidR="00702EB7" w:rsidRPr="00C42B9D">
        <w:rPr>
          <w:b w:val="0"/>
        </w:rPr>
        <w:t>ższym</w:t>
      </w:r>
      <w:r w:rsidRPr="00C42B9D">
        <w:rPr>
          <w:b w:val="0"/>
        </w:rPr>
        <w:t xml:space="preserve"> w porównaniu z</w:t>
      </w:r>
      <w:r w:rsidR="00A24EA6" w:rsidRPr="00C42B9D">
        <w:rPr>
          <w:b w:val="0"/>
        </w:rPr>
        <w:t xml:space="preserve"> lutym </w:t>
      </w:r>
      <w:r w:rsidR="009B318D" w:rsidRPr="00C42B9D">
        <w:rPr>
          <w:b w:val="0"/>
        </w:rPr>
        <w:t>br.</w:t>
      </w:r>
    </w:p>
    <w:p w:rsidR="00ED01FD" w:rsidRDefault="00ED01FD" w:rsidP="00A41DEF">
      <w:pPr>
        <w:pStyle w:val="LID"/>
        <w:jc w:val="both"/>
      </w:pPr>
    </w:p>
    <w:p w:rsidR="00ED01FD" w:rsidRDefault="00833971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-61691</wp:posOffset>
            </wp:positionH>
            <wp:positionV relativeFrom="paragraph">
              <wp:posOffset>241408</wp:posOffset>
            </wp:positionV>
            <wp:extent cx="5122545" cy="315150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56117A" w:rsidRDefault="0056117A" w:rsidP="00ED01FD">
      <w:pPr>
        <w:pStyle w:val="tytuwykresu"/>
        <w:rPr>
          <w:szCs w:val="18"/>
          <w:shd w:val="clear" w:color="auto" w:fill="FFFFFF"/>
        </w:rPr>
      </w:pPr>
    </w:p>
    <w:p w:rsidR="00664EF3" w:rsidRDefault="00664EF3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45613" w:rsidRPr="00745613" w:rsidRDefault="00745613" w:rsidP="00745613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>W większości gł</w:t>
      </w:r>
      <w:r>
        <w:rPr>
          <w:rFonts w:eastAsia="Calibri" w:cs="Times New Roman"/>
        </w:rPr>
        <w:t>ównych grupowań przemysłowych w marcu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spadek</w:t>
      </w:r>
      <w:r w:rsidRPr="00DD58F4">
        <w:rPr>
          <w:rFonts w:eastAsia="Calibri" w:cs="Times New Roman"/>
        </w:rPr>
        <w:t xml:space="preserve"> produkcji w skali roku. Produkcja dóbr konsumpcyjnych trwałych</w:t>
      </w:r>
      <w:r>
        <w:rPr>
          <w:rFonts w:eastAsia="Calibri" w:cs="Times New Roman"/>
        </w:rPr>
        <w:t xml:space="preserve"> zmniejszyła się o 15,5</w:t>
      </w:r>
      <w:r w:rsidRPr="00DD58F4">
        <w:rPr>
          <w:rFonts w:eastAsia="Calibri" w:cs="Times New Roman"/>
        </w:rPr>
        <w:t>%,</w:t>
      </w:r>
      <w:r w:rsidRPr="00745613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 xml:space="preserve"> 15,2% oraz </w:t>
      </w:r>
      <w:r w:rsidR="00356D75">
        <w:rPr>
          <w:rFonts w:eastAsia="Calibri" w:cs="Times New Roman"/>
        </w:rPr>
        <w:t xml:space="preserve">nieznacznie </w:t>
      </w:r>
      <w:r w:rsidRPr="00DD58F4">
        <w:rPr>
          <w:rFonts w:eastAsia="Calibri" w:cs="Times New Roman"/>
        </w:rPr>
        <w:t xml:space="preserve">dóbr związanych z energią </w:t>
      </w:r>
      <w:r>
        <w:rPr>
          <w:rFonts w:eastAsia="Calibri" w:cs="Times New Roman"/>
        </w:rPr>
        <w:t>– o 0,9%.</w:t>
      </w:r>
      <w:r w:rsidRPr="0074561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Zwiększyła</w:t>
      </w:r>
      <w:r w:rsidRPr="00DD58F4">
        <w:rPr>
          <w:rFonts w:eastAsia="Calibri" w:cs="Times New Roman"/>
        </w:rPr>
        <w:t xml:space="preserve"> się natomiast produkcja</w:t>
      </w:r>
      <w:r>
        <w:rPr>
          <w:rFonts w:eastAsia="Calibri" w:cs="Times New Roman"/>
        </w:rPr>
        <w:t xml:space="preserve"> dóbr </w:t>
      </w:r>
      <w:r w:rsidRPr="00DD58F4">
        <w:rPr>
          <w:rFonts w:eastAsia="Calibri" w:cs="Times New Roman"/>
        </w:rPr>
        <w:t>konsumpcyjnych</w:t>
      </w:r>
      <w:r w:rsidRPr="00745613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nietrwałych – o </w:t>
      </w:r>
      <w:r>
        <w:rPr>
          <w:rFonts w:eastAsia="Calibri" w:cs="Times New Roman"/>
        </w:rPr>
        <w:t>4,1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 dóbr zaopatrzeniowych 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 xml:space="preserve"> 1,8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5A76AC" w:rsidRPr="00263373" w:rsidTr="005A76AC">
        <w:trPr>
          <w:trHeight w:val="57"/>
        </w:trPr>
        <w:tc>
          <w:tcPr>
            <w:tcW w:w="2552" w:type="dxa"/>
            <w:vMerge w:val="restart"/>
            <w:vAlign w:val="center"/>
          </w:tcPr>
          <w:p w:rsidR="005A76AC" w:rsidRPr="00263373" w:rsidRDefault="005A76AC" w:rsidP="005A76A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146C3E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146C3E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5A76AC" w:rsidRPr="00263373" w:rsidTr="005A76AC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5A76AC" w:rsidRPr="00263373" w:rsidRDefault="00146C3E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5A76AC">
              <w:rPr>
                <w:sz w:val="16"/>
                <w:szCs w:val="18"/>
                <w:shd w:val="clear" w:color="auto" w:fill="FFFFFF"/>
              </w:rPr>
              <w:t>I 2020</w:t>
            </w:r>
            <w:r w:rsidR="005A76AC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146C3E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5A76AC" w:rsidRDefault="005A76AC" w:rsidP="005A76A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5A76AC" w:rsidRPr="00263373" w:rsidRDefault="005A76AC" w:rsidP="005A76A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146C3E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5A76AC" w:rsidRPr="00263373" w:rsidRDefault="005A76AC" w:rsidP="005A76AC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102,4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97,7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5A76AC" w:rsidRPr="00DD58F4" w:rsidRDefault="00756ABA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124,6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101,0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112,1</w:t>
            </w:r>
          </w:p>
        </w:tc>
        <w:tc>
          <w:tcPr>
            <w:tcW w:w="1418" w:type="dxa"/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  <w:tc>
          <w:tcPr>
            <w:tcW w:w="1427" w:type="dxa"/>
            <w:vAlign w:val="center"/>
          </w:tcPr>
          <w:p w:rsidR="005A76AC" w:rsidRPr="00DD58F4" w:rsidRDefault="00756ABA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89,4</w:t>
            </w:r>
          </w:p>
        </w:tc>
        <w:tc>
          <w:tcPr>
            <w:tcW w:w="1278" w:type="dxa"/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92,3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1418" w:type="dxa"/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97,0</w:t>
            </w:r>
          </w:p>
        </w:tc>
        <w:tc>
          <w:tcPr>
            <w:tcW w:w="1427" w:type="dxa"/>
            <w:vAlign w:val="center"/>
          </w:tcPr>
          <w:p w:rsidR="005A76AC" w:rsidRPr="00DD58F4" w:rsidRDefault="00756ABA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126,1</w:t>
            </w:r>
          </w:p>
        </w:tc>
        <w:tc>
          <w:tcPr>
            <w:tcW w:w="1278" w:type="dxa"/>
            <w:vAlign w:val="center"/>
          </w:tcPr>
          <w:p w:rsidR="005A76AC" w:rsidRPr="009D4C87" w:rsidRDefault="006E2D07" w:rsidP="005A76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</w:t>
            </w:r>
          </w:p>
        </w:tc>
      </w:tr>
      <w:tr w:rsidR="005A76AC" w:rsidRPr="009D4C87" w:rsidTr="005A76AC">
        <w:trPr>
          <w:trHeight w:val="57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5A76AC" w:rsidRPr="009D4C87" w:rsidRDefault="006E2D07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97,3</w:t>
            </w:r>
          </w:p>
        </w:tc>
        <w:tc>
          <w:tcPr>
            <w:tcW w:w="1418" w:type="dxa"/>
            <w:vAlign w:val="center"/>
          </w:tcPr>
          <w:p w:rsidR="005A76AC" w:rsidRPr="009D4C87" w:rsidRDefault="006E2D07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1427" w:type="dxa"/>
            <w:vAlign w:val="center"/>
          </w:tcPr>
          <w:p w:rsidR="005A76AC" w:rsidRPr="00DD58F4" w:rsidRDefault="00756ABA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124,5</w:t>
            </w:r>
          </w:p>
        </w:tc>
        <w:tc>
          <w:tcPr>
            <w:tcW w:w="1278" w:type="dxa"/>
            <w:vAlign w:val="center"/>
          </w:tcPr>
          <w:p w:rsidR="005A76AC" w:rsidRPr="009D4C87" w:rsidRDefault="006E2D07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</w:tr>
      <w:tr w:rsidR="005A76AC" w:rsidRPr="009D4C87" w:rsidTr="005A76AC">
        <w:trPr>
          <w:trHeight w:val="624"/>
        </w:trPr>
        <w:tc>
          <w:tcPr>
            <w:tcW w:w="2552" w:type="dxa"/>
            <w:vAlign w:val="center"/>
          </w:tcPr>
          <w:p w:rsidR="005A76AC" w:rsidRPr="00263373" w:rsidRDefault="005A76AC" w:rsidP="005A76AC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A76AC" w:rsidRPr="009D4C87" w:rsidRDefault="006E2D07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105,6</w:t>
            </w:r>
          </w:p>
        </w:tc>
        <w:tc>
          <w:tcPr>
            <w:tcW w:w="1418" w:type="dxa"/>
            <w:vAlign w:val="center"/>
          </w:tcPr>
          <w:p w:rsidR="005A76AC" w:rsidRPr="009D4C87" w:rsidRDefault="006E2D07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1427" w:type="dxa"/>
            <w:vAlign w:val="center"/>
          </w:tcPr>
          <w:p w:rsidR="005A76AC" w:rsidRPr="00DD58F4" w:rsidRDefault="00756ABA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124,4</w:t>
            </w:r>
          </w:p>
        </w:tc>
        <w:tc>
          <w:tcPr>
            <w:tcW w:w="1278" w:type="dxa"/>
            <w:vAlign w:val="center"/>
          </w:tcPr>
          <w:p w:rsidR="005A76AC" w:rsidRPr="009D4C87" w:rsidRDefault="006E2D07" w:rsidP="005A76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104,9</w:t>
            </w:r>
          </w:p>
        </w:tc>
      </w:tr>
    </w:tbl>
    <w:p w:rsidR="00CC2901" w:rsidRDefault="00CC2901" w:rsidP="00CC2901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5A76AC" w:rsidRPr="00E81AF2" w:rsidRDefault="005A76AC" w:rsidP="00CC2901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z uwzględnieniem ostatecznych informacji o produkcji i cenach</w:t>
      </w:r>
      <w:r w:rsidR="00302438">
        <w:rPr>
          <w:sz w:val="16"/>
          <w:szCs w:val="16"/>
          <w:shd w:val="clear" w:color="auto" w:fill="FFFFFF"/>
        </w:rPr>
        <w:t xml:space="preserve"> w lutym oraz meldunkowych w marcu</w:t>
      </w:r>
      <w:r w:rsidRPr="00E81AF2">
        <w:rPr>
          <w:sz w:val="16"/>
          <w:szCs w:val="16"/>
          <w:shd w:val="clear" w:color="auto" w:fill="FFFFFF"/>
        </w:rPr>
        <w:t>.</w:t>
      </w:r>
    </w:p>
    <w:p w:rsidR="00ED01FD" w:rsidRDefault="00FE2F2B" w:rsidP="00CC2901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716B8E" w:rsidRDefault="00CC2901" w:rsidP="00716B8E">
      <w:pPr>
        <w:suppressAutoHyphens/>
        <w:spacing w:after="240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rightMargin">
                  <wp:align>left</wp:align>
                </wp:positionH>
                <wp:positionV relativeFrom="paragraph">
                  <wp:posOffset>11430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3024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3024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39,8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DCA7" id="Pole tekstowe 10" o:spid="_x0000_s1029" type="#_x0000_t202" style="position:absolute;margin-left:0;margin-top:.9pt;width:136.45pt;height:66.75pt;z-index:-2515066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3024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3024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39,8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55D64" w:rsidRPr="001055A7">
        <w:rPr>
          <w:shd w:val="clear" w:color="auto" w:fill="FFFFFF"/>
        </w:rPr>
        <w:t xml:space="preserve">Według wstępnych danych </w:t>
      </w:r>
      <w:r w:rsidR="00C4002B">
        <w:rPr>
          <w:shd w:val="clear" w:color="auto" w:fill="FFFFFF"/>
        </w:rPr>
        <w:t xml:space="preserve">w </w:t>
      </w:r>
      <w:r w:rsidR="00302438">
        <w:rPr>
          <w:shd w:val="clear" w:color="auto" w:fill="FFFFFF"/>
        </w:rPr>
        <w:t>marcu</w:t>
      </w:r>
      <w:r w:rsidR="00A51BBF">
        <w:rPr>
          <w:shd w:val="clear" w:color="auto" w:fill="FFFFFF"/>
        </w:rPr>
        <w:t xml:space="preserve"> </w:t>
      </w:r>
      <w:r w:rsidR="002836F9">
        <w:rPr>
          <w:shd w:val="clear" w:color="auto" w:fill="FFFFFF"/>
        </w:rPr>
        <w:t>b</w:t>
      </w:r>
      <w:r w:rsidR="008C023E">
        <w:rPr>
          <w:shd w:val="clear" w:color="auto" w:fill="FFFFFF"/>
        </w:rPr>
        <w:t>r.</w:t>
      </w:r>
      <w:r w:rsidR="00955D64">
        <w:rPr>
          <w:shd w:val="clear" w:color="auto" w:fill="FFFFFF"/>
        </w:rPr>
        <w:t>, w</w:t>
      </w:r>
      <w:r w:rsidR="00955D64" w:rsidRPr="001055A7">
        <w:rPr>
          <w:shd w:val="clear" w:color="auto" w:fill="FFFFFF"/>
        </w:rPr>
        <w:t xml:space="preserve"> stosunku do </w:t>
      </w:r>
      <w:r w:rsidR="00302438">
        <w:rPr>
          <w:shd w:val="clear" w:color="auto" w:fill="FFFFFF"/>
        </w:rPr>
        <w:t>marca</w:t>
      </w:r>
      <w:r w:rsidR="007B4D66">
        <w:rPr>
          <w:shd w:val="clear" w:color="auto" w:fill="FFFFFF"/>
        </w:rPr>
        <w:t xml:space="preserve"> </w:t>
      </w:r>
      <w:r w:rsidR="002836F9">
        <w:rPr>
          <w:shd w:val="clear" w:color="auto" w:fill="FFFFFF"/>
        </w:rPr>
        <w:t>ub.</w:t>
      </w:r>
      <w:r w:rsidR="008C023E">
        <w:rPr>
          <w:shd w:val="clear" w:color="auto" w:fill="FFFFFF"/>
        </w:rPr>
        <w:t xml:space="preserve"> r</w:t>
      </w:r>
      <w:r w:rsidR="002836F9">
        <w:rPr>
          <w:shd w:val="clear" w:color="auto" w:fill="FFFFFF"/>
        </w:rPr>
        <w:t>oku</w:t>
      </w:r>
      <w:r w:rsidR="00955D64">
        <w:rPr>
          <w:shd w:val="clear" w:color="auto" w:fill="FFFFFF"/>
        </w:rPr>
        <w:t>,</w:t>
      </w:r>
      <w:r w:rsidR="00955D64" w:rsidRPr="001055A7">
        <w:rPr>
          <w:shd w:val="clear" w:color="auto" w:fill="FFFFFF"/>
        </w:rPr>
        <w:t xml:space="preserve"> </w:t>
      </w:r>
      <w:r w:rsidR="00302438">
        <w:rPr>
          <w:shd w:val="clear" w:color="auto" w:fill="FFFFFF"/>
        </w:rPr>
        <w:t>spadek</w:t>
      </w:r>
      <w:r w:rsidR="00955D64" w:rsidRPr="001055A7">
        <w:rPr>
          <w:shd w:val="clear" w:color="auto" w:fill="FFFFFF"/>
        </w:rPr>
        <w:t xml:space="preserve"> produkcji sprzedanej </w:t>
      </w:r>
      <w:r w:rsidR="00955D64">
        <w:rPr>
          <w:shd w:val="clear" w:color="auto" w:fill="FFFFFF"/>
        </w:rPr>
        <w:t xml:space="preserve">(w cenach stałych) </w:t>
      </w:r>
      <w:r w:rsidR="00955D64" w:rsidRPr="001055A7">
        <w:rPr>
          <w:shd w:val="clear" w:color="auto" w:fill="FFFFFF"/>
        </w:rPr>
        <w:t xml:space="preserve">odnotowano w </w:t>
      </w:r>
      <w:r w:rsidR="00302438">
        <w:rPr>
          <w:shd w:val="clear" w:color="auto" w:fill="FFFFFF"/>
        </w:rPr>
        <w:t>16</w:t>
      </w:r>
      <w:r w:rsidR="00955D64" w:rsidRPr="00466F54">
        <w:rPr>
          <w:shd w:val="clear" w:color="auto" w:fill="FFFFFF"/>
        </w:rPr>
        <w:t xml:space="preserve"> (spośród 34) działach przemysłu, m.in. </w:t>
      </w:r>
      <w:r w:rsidR="00955D64">
        <w:rPr>
          <w:shd w:val="clear" w:color="auto" w:fill="FFFFFF"/>
        </w:rPr>
        <w:t>w</w:t>
      </w:r>
      <w:r w:rsidR="00DC1C28">
        <w:rPr>
          <w:shd w:val="clear" w:color="auto" w:fill="FFFFFF"/>
        </w:rPr>
        <w:t> </w:t>
      </w:r>
      <w:r w:rsidR="00302438">
        <w:rPr>
          <w:shd w:val="clear" w:color="auto" w:fill="FFFFFF"/>
        </w:rPr>
        <w:t>produkcji pojazdów samochodowych, przyczep i naczep – o 28,6%,</w:t>
      </w:r>
      <w:r w:rsidR="002045B0">
        <w:rPr>
          <w:shd w:val="clear" w:color="auto" w:fill="FFFFFF"/>
        </w:rPr>
        <w:t> </w:t>
      </w:r>
      <w:r w:rsidR="00302438">
        <w:rPr>
          <w:shd w:val="clear" w:color="auto" w:fill="FFFFFF"/>
        </w:rPr>
        <w:t>w </w:t>
      </w:r>
      <w:r w:rsidR="00302438" w:rsidRPr="001055A7">
        <w:rPr>
          <w:shd w:val="clear" w:color="auto" w:fill="FFFFFF"/>
        </w:rPr>
        <w:t>wydobywaniu wę</w:t>
      </w:r>
      <w:r w:rsidR="00302438">
        <w:rPr>
          <w:shd w:val="clear" w:color="auto" w:fill="FFFFFF"/>
        </w:rPr>
        <w:t xml:space="preserve">gla kamiennego i brunatnego </w:t>
      </w:r>
      <w:r w:rsidR="00302438" w:rsidRPr="00D63B1C">
        <w:rPr>
          <w:noProof/>
          <w:spacing w:val="-2"/>
          <w:szCs w:val="19"/>
          <w:lang w:eastAsia="pl-PL"/>
        </w:rPr>
        <w:t>–</w:t>
      </w:r>
      <w:r w:rsidR="00302438">
        <w:rPr>
          <w:shd w:val="clear" w:color="auto" w:fill="FFFFFF"/>
        </w:rPr>
        <w:t xml:space="preserve"> o 15,9%, w produkcji mebli – o 14,7%,</w:t>
      </w:r>
      <w:r w:rsidR="00302438" w:rsidRPr="00302438">
        <w:rPr>
          <w:shd w:val="clear" w:color="auto" w:fill="FFFFFF"/>
        </w:rPr>
        <w:t xml:space="preserve"> </w:t>
      </w:r>
      <w:r w:rsidR="00302438">
        <w:rPr>
          <w:shd w:val="clear" w:color="auto" w:fill="FFFFFF"/>
        </w:rPr>
        <w:t>komputerów, wyrobów elektronicznych i optycznych – o 11,1</w:t>
      </w:r>
      <w:r w:rsidR="00302438" w:rsidRPr="00466F54">
        <w:rPr>
          <w:shd w:val="clear" w:color="auto" w:fill="FFFFFF"/>
        </w:rPr>
        <w:t>%</w:t>
      </w:r>
      <w:r w:rsidR="00302438">
        <w:rPr>
          <w:shd w:val="clear" w:color="auto" w:fill="FFFFFF"/>
        </w:rPr>
        <w:t>,</w:t>
      </w:r>
      <w:r w:rsidR="00302438" w:rsidRPr="00302438">
        <w:rPr>
          <w:shd w:val="clear" w:color="auto" w:fill="FFFFFF"/>
        </w:rPr>
        <w:t xml:space="preserve"> </w:t>
      </w:r>
      <w:r w:rsidR="00302438">
        <w:rPr>
          <w:shd w:val="clear" w:color="auto" w:fill="FFFFFF"/>
        </w:rPr>
        <w:t>maszyn i urządzeń – o 10,4%,</w:t>
      </w:r>
      <w:r w:rsidR="00302438" w:rsidRPr="00302438">
        <w:rPr>
          <w:shd w:val="clear" w:color="auto" w:fill="FFFFFF"/>
        </w:rPr>
        <w:t xml:space="preserve"> </w:t>
      </w:r>
      <w:r w:rsidR="00302438">
        <w:rPr>
          <w:shd w:val="clear" w:color="auto" w:fill="FFFFFF"/>
        </w:rPr>
        <w:t>koksu i produktów rafinacji ropy naftowej – o 7,0%.</w:t>
      </w:r>
      <w:r w:rsidR="00302438" w:rsidRPr="00302438">
        <w:rPr>
          <w:shd w:val="clear" w:color="auto" w:fill="FFFFFF"/>
        </w:rPr>
        <w:t xml:space="preserve"> </w:t>
      </w:r>
      <w:r w:rsidR="00302438">
        <w:rPr>
          <w:shd w:val="clear" w:color="auto" w:fill="FFFFFF"/>
        </w:rPr>
        <w:t>Wzrost</w:t>
      </w:r>
      <w:r w:rsidR="00302438" w:rsidRPr="00466F54">
        <w:rPr>
          <w:shd w:val="clear" w:color="auto" w:fill="FFFFFF"/>
        </w:rPr>
        <w:t xml:space="preserve"> produkcji sprzedanej przemysłu, w</w:t>
      </w:r>
      <w:r w:rsidR="00302438">
        <w:rPr>
          <w:shd w:val="clear" w:color="auto" w:fill="FFFFFF"/>
        </w:rPr>
        <w:t xml:space="preserve"> </w:t>
      </w:r>
      <w:r w:rsidR="00302438" w:rsidRPr="00466F54">
        <w:rPr>
          <w:shd w:val="clear" w:color="auto" w:fill="FFFFFF"/>
        </w:rPr>
        <w:t xml:space="preserve">porównaniu </w:t>
      </w:r>
      <w:r w:rsidR="00DC1C28">
        <w:rPr>
          <w:shd w:val="clear" w:color="auto" w:fill="FFFFFF"/>
        </w:rPr>
        <w:t>z </w:t>
      </w:r>
      <w:r w:rsidR="00302438">
        <w:rPr>
          <w:shd w:val="clear" w:color="auto" w:fill="FFFFFF"/>
        </w:rPr>
        <w:t>marcem ub. roku,</w:t>
      </w:r>
      <w:r w:rsidR="00302438" w:rsidRPr="00466F54">
        <w:rPr>
          <w:shd w:val="clear" w:color="auto" w:fill="FFFFFF"/>
        </w:rPr>
        <w:t xml:space="preserve"> wystąpił w </w:t>
      </w:r>
      <w:r w:rsidR="00302438">
        <w:rPr>
          <w:shd w:val="clear" w:color="auto" w:fill="FFFFFF"/>
        </w:rPr>
        <w:t>18</w:t>
      </w:r>
      <w:r w:rsidR="00302438" w:rsidRPr="00466F54">
        <w:rPr>
          <w:shd w:val="clear" w:color="auto" w:fill="FFFFFF"/>
        </w:rPr>
        <w:t xml:space="preserve"> działach</w:t>
      </w:r>
      <w:r w:rsidR="00302438">
        <w:rPr>
          <w:shd w:val="clear" w:color="auto" w:fill="FFFFFF"/>
        </w:rPr>
        <w:t>, m.in.</w:t>
      </w:r>
      <w:r w:rsidR="00302438" w:rsidRPr="00C4002B">
        <w:rPr>
          <w:shd w:val="clear" w:color="auto" w:fill="FFFFFF"/>
        </w:rPr>
        <w:t xml:space="preserve"> </w:t>
      </w:r>
      <w:r w:rsidR="00716B8E">
        <w:rPr>
          <w:shd w:val="clear" w:color="auto" w:fill="FFFFFF"/>
        </w:rPr>
        <w:t>w produkcji wyrobów farmaceutycznych – o 39,7%, w produkcji papieru i wyrobów z papieru – o 9,9%, artykułów spożywczych – o 7,1%, chemikaliów</w:t>
      </w:r>
      <w:r w:rsidR="00DC1C28">
        <w:rPr>
          <w:shd w:val="clear" w:color="auto" w:fill="FFFFFF"/>
        </w:rPr>
        <w:t xml:space="preserve"> i </w:t>
      </w:r>
      <w:r w:rsidR="00DC1605">
        <w:rPr>
          <w:shd w:val="clear" w:color="auto" w:fill="FFFFFF"/>
        </w:rPr>
        <w:t>wyrobów chemicznych – o 6,9%</w:t>
      </w:r>
      <w:r w:rsidR="007759EC">
        <w:rPr>
          <w:shd w:val="clear" w:color="auto" w:fill="FFFFFF"/>
        </w:rPr>
        <w:t>, urządzeń elektrycznych – 5,0%, wyrobów z metali – o 4,3%</w:t>
      </w:r>
      <w:r w:rsidR="00716B8E">
        <w:rPr>
          <w:shd w:val="clear" w:color="auto" w:fill="FFFFFF"/>
        </w:rPr>
        <w:t>.</w:t>
      </w:r>
    </w:p>
    <w:p w:rsidR="00716B8E" w:rsidRDefault="00716B8E" w:rsidP="00716B8E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</w:t>
      </w:r>
      <w:r w:rsidR="00761179" w:rsidRPr="0070168F">
        <w:rPr>
          <w:b/>
          <w:sz w:val="18"/>
          <w:szCs w:val="18"/>
          <w:shd w:val="clear" w:color="auto" w:fill="FFFFFF"/>
        </w:rPr>
        <w:t xml:space="preserve">ykres </w:t>
      </w:r>
      <w:r w:rsidR="00761179">
        <w:rPr>
          <w:b/>
          <w:sz w:val="18"/>
          <w:szCs w:val="18"/>
          <w:shd w:val="clear" w:color="auto" w:fill="FFFFFF"/>
        </w:rPr>
        <w:t>2</w:t>
      </w:r>
      <w:r w:rsidR="00761179"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 w:rsidR="00761179">
        <w:rPr>
          <w:b/>
          <w:sz w:val="18"/>
          <w:szCs w:val="18"/>
          <w:shd w:val="clear" w:color="auto" w:fill="FFFFFF"/>
        </w:rPr>
        <w:t xml:space="preserve">według wybranych działów PKD </w:t>
      </w:r>
      <w:r>
        <w:rPr>
          <w:b/>
          <w:sz w:val="18"/>
          <w:szCs w:val="18"/>
          <w:shd w:val="clear" w:color="auto" w:fill="FFFFFF"/>
        </w:rPr>
        <w:t>(ceny stał</w:t>
      </w:r>
      <w:r w:rsidR="00C21450">
        <w:rPr>
          <w:b/>
          <w:sz w:val="18"/>
          <w:szCs w:val="18"/>
          <w:shd w:val="clear" w:color="auto" w:fill="FFFFFF"/>
        </w:rPr>
        <w:t>e</w:t>
      </w:r>
      <w:r w:rsidR="00DA6019">
        <w:rPr>
          <w:b/>
          <w:sz w:val="18"/>
          <w:szCs w:val="18"/>
          <w:shd w:val="clear" w:color="auto" w:fill="FFFFFF"/>
        </w:rPr>
        <w:t>;</w:t>
      </w:r>
      <w:r w:rsidR="00761179">
        <w:rPr>
          <w:b/>
          <w:sz w:val="18"/>
          <w:szCs w:val="18"/>
          <w:shd w:val="clear" w:color="auto" w:fill="FFFFFF"/>
        </w:rPr>
        <w:t xml:space="preserve">  </w:t>
      </w:r>
      <w:r>
        <w:rPr>
          <w:b/>
          <w:sz w:val="18"/>
          <w:szCs w:val="18"/>
          <w:shd w:val="clear" w:color="auto" w:fill="FFFFFF"/>
        </w:rPr>
        <w:t xml:space="preserve">     </w:t>
      </w:r>
    </w:p>
    <w:p w:rsidR="00C4002B" w:rsidRPr="0041134C" w:rsidRDefault="003E514D" w:rsidP="00DC1C28">
      <w:pPr>
        <w:suppressAutoHyphens/>
        <w:spacing w:before="0" w:after="0"/>
        <w:rPr>
          <w:b/>
          <w:sz w:val="18"/>
          <w:szCs w:val="18"/>
          <w:shd w:val="clear" w:color="auto" w:fill="FFFFFF"/>
        </w:rPr>
        <w:sectPr w:rsidR="00C4002B" w:rsidRPr="0041134C" w:rsidSect="00B06BC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165735</wp:posOffset>
            </wp:positionV>
            <wp:extent cx="4735830" cy="3683000"/>
            <wp:effectExtent l="0" t="0" r="7620" b="0"/>
            <wp:wrapSquare wrapText="bothSides"/>
            <wp:docPr id="2" name="Wykres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B8E">
        <w:rPr>
          <w:b/>
          <w:sz w:val="18"/>
          <w:szCs w:val="18"/>
          <w:shd w:val="clear" w:color="auto" w:fill="FFFFFF"/>
        </w:rPr>
        <w:t xml:space="preserve">                   </w:t>
      </w:r>
      <w:r w:rsidR="00761179">
        <w:rPr>
          <w:b/>
          <w:sz w:val="18"/>
          <w:szCs w:val="18"/>
          <w:shd w:val="clear" w:color="auto" w:fill="FFFFFF"/>
        </w:rPr>
        <w:t>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5A2FEE" w:rsidTr="005A2FEE">
        <w:trPr>
          <w:trHeight w:val="1344"/>
        </w:trPr>
        <w:tc>
          <w:tcPr>
            <w:tcW w:w="4218" w:type="dxa"/>
            <w:vAlign w:val="center"/>
          </w:tcPr>
          <w:p w:rsidR="00C8681F" w:rsidRPr="00C8681F" w:rsidRDefault="00C8681F" w:rsidP="005A2F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5A2FE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5A2FEE" w:rsidP="005A2FE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C8681F" w:rsidRPr="00C8681F" w:rsidRDefault="00C8681F" w:rsidP="008D26B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</w:t>
            </w:r>
            <w:r w:rsidR="008D26B3">
              <w:rPr>
                <w:rFonts w:cs="Arial"/>
                <w:color w:val="000000" w:themeColor="text1"/>
                <w:sz w:val="20"/>
                <w:lang w:val="en-US"/>
              </w:rPr>
              <w:t>1</w:t>
            </w:r>
            <w:r w:rsidR="005A2FEE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8D26B3">
              <w:rPr>
                <w:rFonts w:cs="Arial"/>
                <w:color w:val="000000" w:themeColor="text1"/>
                <w:sz w:val="20"/>
                <w:lang w:val="en-US"/>
              </w:rPr>
              <w:t>25</w:t>
            </w:r>
          </w:p>
        </w:tc>
        <w:tc>
          <w:tcPr>
            <w:tcW w:w="3779" w:type="dxa"/>
            <w:vAlign w:val="center"/>
          </w:tcPr>
          <w:p w:rsidR="00C8681F" w:rsidRPr="00C8681F" w:rsidRDefault="00C8681F" w:rsidP="005A2F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5A2FE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5A2FE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 w:rsidR="005A2FEE" w:rsidRPr="005A2FEE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695 255 011</w:t>
            </w:r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5A2FEE">
              <w:rPr>
                <w:sz w:val="20"/>
              </w:rPr>
              <w:t xml:space="preserve"> 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5A2FEE">
              <w:rPr>
                <w:sz w:val="20"/>
              </w:rPr>
              <w:t xml:space="preserve"> 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19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EC6BB3" w:rsidP="00E81AF2">
            <w:pPr>
              <w:rPr>
                <w:sz w:val="20"/>
                <w:szCs w:val="20"/>
              </w:rPr>
            </w:pPr>
            <w:hyperlink r:id="rId21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</w:t>
            </w:r>
            <w:proofErr w:type="spellStart"/>
            <w:r w:rsidRPr="00C8681F">
              <w:rPr>
                <w:sz w:val="20"/>
              </w:rPr>
              <w:t>GlownyUrzadStatystyczny</w:t>
            </w:r>
            <w:proofErr w:type="spellEnd"/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066AD5" w:rsidRDefault="008D26B3" w:rsidP="00C8681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DC1C28"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"https://stat.gov.pl/obszary-tematyczne/inne-opracowania/informacje-o-sytuacji-spoleczno-gospodarczej/biuletyn-statystyczny-nr-22020,4,97.html"</w:instrText>
                            </w:r>
                            <w:r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C8681F"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Biuletyn Statystyczny</w:t>
                            </w:r>
                          </w:p>
                          <w:p w:rsidR="00C8681F" w:rsidRPr="00066AD5" w:rsidRDefault="008D26B3" w:rsidP="00C8681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DC1C28"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"https://stat.gov.pl/obszary-tematyczne/inne-opracowania/informacje-o-sytuacji-spoleczno-gospodarczej/sytuacja-spoleczno-gospodarcza-kraju-w-lutym-2020-r-,1,94.html"</w:instrText>
                            </w:r>
                            <w:r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C04A4A"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Sytuacja</w:t>
                            </w:r>
                            <w:r w:rsidR="009B6898"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 xml:space="preserve"> społeczno-gospodarcza</w:t>
                            </w:r>
                            <w:r w:rsidR="00C8681F"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 xml:space="preserve"> kraju</w:t>
                            </w:r>
                          </w:p>
                          <w:p w:rsidR="00C8681F" w:rsidRPr="007C79C9" w:rsidRDefault="008D26B3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66AD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  <w:bookmarkStart w:id="0" w:name="_GoBack"/>
                            <w:bookmarkEnd w:id="0"/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EC6BB3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EC6BB3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9E42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066AD5" w:rsidRDefault="008D26B3" w:rsidP="00C8681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DC1C28"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"https://stat.gov.pl/obszary-tematyczne/inne-opracowania/informacje-o-sytuacji-spoleczno-gospodarczej/biuletyn-statystyczny-nr-22020,4,97.html"</w:instrText>
                      </w:r>
                      <w:r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C8681F"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Biuletyn Statystyczny</w:t>
                      </w:r>
                    </w:p>
                    <w:p w:rsidR="00C8681F" w:rsidRPr="00066AD5" w:rsidRDefault="008D26B3" w:rsidP="00C8681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DC1C28"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"https://stat.gov.pl/obszary-tematyczne/inne-opracowania/informacje-o-sytuacji-spoleczno-gospodarczej/sytuacja-spoleczno-gospodarcza-kraju-w-lutym-2020-r-,1,94.html"</w:instrText>
                      </w:r>
                      <w:r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C04A4A"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Sytuacja</w:t>
                      </w:r>
                      <w:r w:rsidR="009B6898"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 xml:space="preserve"> społeczno-gospodarcza</w:t>
                      </w:r>
                      <w:r w:rsidR="00C8681F"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 xml:space="preserve"> kraju</w:t>
                      </w:r>
                    </w:p>
                    <w:p w:rsidR="00C8681F" w:rsidRPr="007C79C9" w:rsidRDefault="008D26B3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66AD5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  <w:bookmarkStart w:id="1" w:name="_GoBack"/>
                      <w:bookmarkEnd w:id="1"/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EC6BB3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EC6BB3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0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BB3" w:rsidRDefault="00EC6BB3" w:rsidP="000662E2">
      <w:pPr>
        <w:spacing w:after="0" w:line="240" w:lineRule="auto"/>
      </w:pPr>
      <w:r>
        <w:separator/>
      </w:r>
    </w:p>
  </w:endnote>
  <w:endnote w:type="continuationSeparator" w:id="0">
    <w:p w:rsidR="00EC6BB3" w:rsidRDefault="00EC6B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260234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066AD5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4371680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AD5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BB3" w:rsidRDefault="00EC6BB3" w:rsidP="000662E2">
      <w:pPr>
        <w:spacing w:after="0" w:line="240" w:lineRule="auto"/>
      </w:pPr>
      <w:r>
        <w:separator/>
      </w:r>
    </w:p>
  </w:footnote>
  <w:footnote w:type="continuationSeparator" w:id="0">
    <w:p w:rsidR="00EC6BB3" w:rsidRDefault="00EC6BB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DC661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146C3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30256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A2FE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5A2FE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146C3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30256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A2FE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5A2FE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pt;height:123.7pt;visibility:visible;mso-wrap-style:square" o:bullet="t">
        <v:imagedata r:id="rId1" o:title=""/>
      </v:shape>
    </w:pict>
  </w:numPicBullet>
  <w:numPicBullet w:numPicBulletId="1">
    <w:pict>
      <v:shape id="_x0000_i1033" type="#_x0000_t75" style="width:122.45pt;height:123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08A5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2C7D"/>
    <w:rsid w:val="00023FB7"/>
    <w:rsid w:val="00025739"/>
    <w:rsid w:val="000317E7"/>
    <w:rsid w:val="0003409F"/>
    <w:rsid w:val="000360CA"/>
    <w:rsid w:val="00036E41"/>
    <w:rsid w:val="00037A14"/>
    <w:rsid w:val="000418BB"/>
    <w:rsid w:val="00042EB9"/>
    <w:rsid w:val="00042F32"/>
    <w:rsid w:val="00043AFD"/>
    <w:rsid w:val="000444FE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66AD5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2389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158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5FF"/>
    <w:rsid w:val="000D69AA"/>
    <w:rsid w:val="000D7754"/>
    <w:rsid w:val="000E0918"/>
    <w:rsid w:val="000E3E3B"/>
    <w:rsid w:val="000E6579"/>
    <w:rsid w:val="000F0C73"/>
    <w:rsid w:val="000F21E9"/>
    <w:rsid w:val="000F40A3"/>
    <w:rsid w:val="000F52C7"/>
    <w:rsid w:val="000F5DD1"/>
    <w:rsid w:val="001011C3"/>
    <w:rsid w:val="001041B7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1AA2"/>
    <w:rsid w:val="001236AC"/>
    <w:rsid w:val="00124D06"/>
    <w:rsid w:val="00126B69"/>
    <w:rsid w:val="00130296"/>
    <w:rsid w:val="001306F1"/>
    <w:rsid w:val="00134347"/>
    <w:rsid w:val="00135CA6"/>
    <w:rsid w:val="001414A1"/>
    <w:rsid w:val="00142340"/>
    <w:rsid w:val="001423B6"/>
    <w:rsid w:val="0014263B"/>
    <w:rsid w:val="001448A7"/>
    <w:rsid w:val="00146621"/>
    <w:rsid w:val="00146C3E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62A87"/>
    <w:rsid w:val="00163C94"/>
    <w:rsid w:val="00165DD1"/>
    <w:rsid w:val="00174419"/>
    <w:rsid w:val="00174550"/>
    <w:rsid w:val="00174D43"/>
    <w:rsid w:val="001802BD"/>
    <w:rsid w:val="00180640"/>
    <w:rsid w:val="00182BBA"/>
    <w:rsid w:val="001834E2"/>
    <w:rsid w:val="001951DA"/>
    <w:rsid w:val="001A013B"/>
    <w:rsid w:val="001A402E"/>
    <w:rsid w:val="001A76A5"/>
    <w:rsid w:val="001B0659"/>
    <w:rsid w:val="001B1424"/>
    <w:rsid w:val="001B211F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D41EB"/>
    <w:rsid w:val="001E1CE7"/>
    <w:rsid w:val="001E4F42"/>
    <w:rsid w:val="001E6093"/>
    <w:rsid w:val="001F023F"/>
    <w:rsid w:val="001F1220"/>
    <w:rsid w:val="002000FB"/>
    <w:rsid w:val="00203959"/>
    <w:rsid w:val="002045B0"/>
    <w:rsid w:val="00213231"/>
    <w:rsid w:val="00214694"/>
    <w:rsid w:val="00220A8B"/>
    <w:rsid w:val="0022516C"/>
    <w:rsid w:val="00231255"/>
    <w:rsid w:val="002338F4"/>
    <w:rsid w:val="00233D39"/>
    <w:rsid w:val="002376C0"/>
    <w:rsid w:val="00237B0A"/>
    <w:rsid w:val="00241F69"/>
    <w:rsid w:val="00244680"/>
    <w:rsid w:val="002447FE"/>
    <w:rsid w:val="002453D7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2DE3"/>
    <w:rsid w:val="002836F9"/>
    <w:rsid w:val="002839B6"/>
    <w:rsid w:val="002847AA"/>
    <w:rsid w:val="00290365"/>
    <w:rsid w:val="00290E81"/>
    <w:rsid w:val="002926DF"/>
    <w:rsid w:val="0029551F"/>
    <w:rsid w:val="00296697"/>
    <w:rsid w:val="002A0223"/>
    <w:rsid w:val="002A48BB"/>
    <w:rsid w:val="002A7A55"/>
    <w:rsid w:val="002B046F"/>
    <w:rsid w:val="002B0472"/>
    <w:rsid w:val="002B571E"/>
    <w:rsid w:val="002B6B12"/>
    <w:rsid w:val="002C2FF1"/>
    <w:rsid w:val="002C374C"/>
    <w:rsid w:val="002C4C4F"/>
    <w:rsid w:val="002C779B"/>
    <w:rsid w:val="002D0E0C"/>
    <w:rsid w:val="002E023D"/>
    <w:rsid w:val="002E1339"/>
    <w:rsid w:val="002E1A89"/>
    <w:rsid w:val="002E6140"/>
    <w:rsid w:val="002E6985"/>
    <w:rsid w:val="002E71B6"/>
    <w:rsid w:val="002F002D"/>
    <w:rsid w:val="002F5CFF"/>
    <w:rsid w:val="002F77C8"/>
    <w:rsid w:val="00302438"/>
    <w:rsid w:val="00302562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044"/>
    <w:rsid w:val="00326F83"/>
    <w:rsid w:val="00331E28"/>
    <w:rsid w:val="00332320"/>
    <w:rsid w:val="00334DDA"/>
    <w:rsid w:val="00337248"/>
    <w:rsid w:val="00337EFE"/>
    <w:rsid w:val="00341D35"/>
    <w:rsid w:val="00343E5F"/>
    <w:rsid w:val="00344940"/>
    <w:rsid w:val="00347D72"/>
    <w:rsid w:val="0035304E"/>
    <w:rsid w:val="00356D75"/>
    <w:rsid w:val="00357611"/>
    <w:rsid w:val="00364866"/>
    <w:rsid w:val="00367237"/>
    <w:rsid w:val="00367644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5C44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0CC8"/>
    <w:rsid w:val="003E3742"/>
    <w:rsid w:val="003E514D"/>
    <w:rsid w:val="003E7DD6"/>
    <w:rsid w:val="003F0177"/>
    <w:rsid w:val="003F3148"/>
    <w:rsid w:val="003F4C97"/>
    <w:rsid w:val="003F5050"/>
    <w:rsid w:val="003F616E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1134C"/>
    <w:rsid w:val="00416B6D"/>
    <w:rsid w:val="004212E7"/>
    <w:rsid w:val="0042446D"/>
    <w:rsid w:val="00424FE7"/>
    <w:rsid w:val="00426D90"/>
    <w:rsid w:val="00427BF8"/>
    <w:rsid w:val="00427FC1"/>
    <w:rsid w:val="00431954"/>
    <w:rsid w:val="00431C02"/>
    <w:rsid w:val="00434BC2"/>
    <w:rsid w:val="00435C0A"/>
    <w:rsid w:val="00437395"/>
    <w:rsid w:val="004438FC"/>
    <w:rsid w:val="00445047"/>
    <w:rsid w:val="004469F3"/>
    <w:rsid w:val="00450D27"/>
    <w:rsid w:val="0045393B"/>
    <w:rsid w:val="00455F39"/>
    <w:rsid w:val="00461FC6"/>
    <w:rsid w:val="00463E39"/>
    <w:rsid w:val="004657FC"/>
    <w:rsid w:val="00466F54"/>
    <w:rsid w:val="00467877"/>
    <w:rsid w:val="00471CFD"/>
    <w:rsid w:val="00472D0F"/>
    <w:rsid w:val="00473092"/>
    <w:rsid w:val="004733F6"/>
    <w:rsid w:val="00474E69"/>
    <w:rsid w:val="00475544"/>
    <w:rsid w:val="00485D27"/>
    <w:rsid w:val="00486816"/>
    <w:rsid w:val="00490F1E"/>
    <w:rsid w:val="00491500"/>
    <w:rsid w:val="00494266"/>
    <w:rsid w:val="0049621B"/>
    <w:rsid w:val="004974CF"/>
    <w:rsid w:val="004A0666"/>
    <w:rsid w:val="004A4D6A"/>
    <w:rsid w:val="004B43DE"/>
    <w:rsid w:val="004B4AC5"/>
    <w:rsid w:val="004B52DA"/>
    <w:rsid w:val="004B5D5B"/>
    <w:rsid w:val="004B7D05"/>
    <w:rsid w:val="004C1895"/>
    <w:rsid w:val="004C36E2"/>
    <w:rsid w:val="004C46FE"/>
    <w:rsid w:val="004C6D40"/>
    <w:rsid w:val="004D6355"/>
    <w:rsid w:val="004D7AD5"/>
    <w:rsid w:val="004D7C62"/>
    <w:rsid w:val="004E1477"/>
    <w:rsid w:val="004E22F9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B8E"/>
    <w:rsid w:val="00507D96"/>
    <w:rsid w:val="00507FDA"/>
    <w:rsid w:val="005108FB"/>
    <w:rsid w:val="005142C6"/>
    <w:rsid w:val="005157E9"/>
    <w:rsid w:val="00517664"/>
    <w:rsid w:val="005179B5"/>
    <w:rsid w:val="005203F1"/>
    <w:rsid w:val="0052142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17A"/>
    <w:rsid w:val="00561867"/>
    <w:rsid w:val="0056321D"/>
    <w:rsid w:val="00563C76"/>
    <w:rsid w:val="005645ED"/>
    <w:rsid w:val="005722E0"/>
    <w:rsid w:val="00575940"/>
    <w:rsid w:val="00575D28"/>
    <w:rsid w:val="00575FBB"/>
    <w:rsid w:val="0057615F"/>
    <w:rsid w:val="005762A7"/>
    <w:rsid w:val="00581325"/>
    <w:rsid w:val="00586611"/>
    <w:rsid w:val="005871A3"/>
    <w:rsid w:val="005916D7"/>
    <w:rsid w:val="00591EBB"/>
    <w:rsid w:val="005969B8"/>
    <w:rsid w:val="005A2411"/>
    <w:rsid w:val="005A2E64"/>
    <w:rsid w:val="005A2FEE"/>
    <w:rsid w:val="005A3C29"/>
    <w:rsid w:val="005A5994"/>
    <w:rsid w:val="005A698C"/>
    <w:rsid w:val="005A76AC"/>
    <w:rsid w:val="005B294A"/>
    <w:rsid w:val="005B347F"/>
    <w:rsid w:val="005C0646"/>
    <w:rsid w:val="005C0F77"/>
    <w:rsid w:val="005C212A"/>
    <w:rsid w:val="005C63F1"/>
    <w:rsid w:val="005D1692"/>
    <w:rsid w:val="005D401D"/>
    <w:rsid w:val="005E0799"/>
    <w:rsid w:val="005E726F"/>
    <w:rsid w:val="005E7AA5"/>
    <w:rsid w:val="005F1E67"/>
    <w:rsid w:val="005F5A80"/>
    <w:rsid w:val="005F650D"/>
    <w:rsid w:val="0060323D"/>
    <w:rsid w:val="00603C52"/>
    <w:rsid w:val="00603D6E"/>
    <w:rsid w:val="006044FF"/>
    <w:rsid w:val="006046C1"/>
    <w:rsid w:val="0060685D"/>
    <w:rsid w:val="00607CC5"/>
    <w:rsid w:val="00612CB0"/>
    <w:rsid w:val="006143F3"/>
    <w:rsid w:val="00620896"/>
    <w:rsid w:val="00622B75"/>
    <w:rsid w:val="0063104C"/>
    <w:rsid w:val="00633014"/>
    <w:rsid w:val="00633EA6"/>
    <w:rsid w:val="0063437B"/>
    <w:rsid w:val="0063762C"/>
    <w:rsid w:val="00642D1D"/>
    <w:rsid w:val="00643957"/>
    <w:rsid w:val="006460F8"/>
    <w:rsid w:val="006469F9"/>
    <w:rsid w:val="006474BE"/>
    <w:rsid w:val="0065120E"/>
    <w:rsid w:val="00657BEF"/>
    <w:rsid w:val="00657CF5"/>
    <w:rsid w:val="00664EF3"/>
    <w:rsid w:val="00667289"/>
    <w:rsid w:val="006673CA"/>
    <w:rsid w:val="0067188F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18EF"/>
    <w:rsid w:val="006C4775"/>
    <w:rsid w:val="006D4054"/>
    <w:rsid w:val="006D46F9"/>
    <w:rsid w:val="006D7265"/>
    <w:rsid w:val="006E02EC"/>
    <w:rsid w:val="006E2D07"/>
    <w:rsid w:val="006E711B"/>
    <w:rsid w:val="006F2195"/>
    <w:rsid w:val="006F508A"/>
    <w:rsid w:val="006F56D6"/>
    <w:rsid w:val="006F7CEE"/>
    <w:rsid w:val="007014DD"/>
    <w:rsid w:val="0070168F"/>
    <w:rsid w:val="007028FA"/>
    <w:rsid w:val="00702EB7"/>
    <w:rsid w:val="00704A1A"/>
    <w:rsid w:val="00705AF9"/>
    <w:rsid w:val="00706CDB"/>
    <w:rsid w:val="00707FD2"/>
    <w:rsid w:val="00711B6F"/>
    <w:rsid w:val="00711E1F"/>
    <w:rsid w:val="007120F2"/>
    <w:rsid w:val="00716B8E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5613"/>
    <w:rsid w:val="00746187"/>
    <w:rsid w:val="00756ABA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759EC"/>
    <w:rsid w:val="007801F5"/>
    <w:rsid w:val="007832F2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A6D59"/>
    <w:rsid w:val="007B06A0"/>
    <w:rsid w:val="007B4D66"/>
    <w:rsid w:val="007B4E61"/>
    <w:rsid w:val="007B5CF4"/>
    <w:rsid w:val="007C1A87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1E75"/>
    <w:rsid w:val="0080553C"/>
    <w:rsid w:val="00805B46"/>
    <w:rsid w:val="00805FDC"/>
    <w:rsid w:val="00806AF1"/>
    <w:rsid w:val="00807D2E"/>
    <w:rsid w:val="0081714D"/>
    <w:rsid w:val="00823814"/>
    <w:rsid w:val="00825DC2"/>
    <w:rsid w:val="008301CC"/>
    <w:rsid w:val="00833971"/>
    <w:rsid w:val="00834AD3"/>
    <w:rsid w:val="00835EE1"/>
    <w:rsid w:val="00841EC2"/>
    <w:rsid w:val="00843795"/>
    <w:rsid w:val="00845D15"/>
    <w:rsid w:val="00846562"/>
    <w:rsid w:val="00846F5E"/>
    <w:rsid w:val="00847F0F"/>
    <w:rsid w:val="00851A78"/>
    <w:rsid w:val="00852448"/>
    <w:rsid w:val="008538DD"/>
    <w:rsid w:val="00853CA5"/>
    <w:rsid w:val="00854BD8"/>
    <w:rsid w:val="008569B2"/>
    <w:rsid w:val="00860377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23E"/>
    <w:rsid w:val="008C0C29"/>
    <w:rsid w:val="008C141D"/>
    <w:rsid w:val="008C431E"/>
    <w:rsid w:val="008C5E1E"/>
    <w:rsid w:val="008D1C22"/>
    <w:rsid w:val="008D26B3"/>
    <w:rsid w:val="008D729B"/>
    <w:rsid w:val="008E2301"/>
    <w:rsid w:val="008E6266"/>
    <w:rsid w:val="008F1896"/>
    <w:rsid w:val="008F3638"/>
    <w:rsid w:val="008F4063"/>
    <w:rsid w:val="008F6F31"/>
    <w:rsid w:val="008F74DF"/>
    <w:rsid w:val="009002CC"/>
    <w:rsid w:val="0090415A"/>
    <w:rsid w:val="00906035"/>
    <w:rsid w:val="009127BA"/>
    <w:rsid w:val="009160A8"/>
    <w:rsid w:val="009176EE"/>
    <w:rsid w:val="00920117"/>
    <w:rsid w:val="009227A6"/>
    <w:rsid w:val="00924298"/>
    <w:rsid w:val="0092645A"/>
    <w:rsid w:val="0092720A"/>
    <w:rsid w:val="00930C81"/>
    <w:rsid w:val="00933EC1"/>
    <w:rsid w:val="00937881"/>
    <w:rsid w:val="00940442"/>
    <w:rsid w:val="009423C0"/>
    <w:rsid w:val="0094416F"/>
    <w:rsid w:val="009451ED"/>
    <w:rsid w:val="00946834"/>
    <w:rsid w:val="00950875"/>
    <w:rsid w:val="00952866"/>
    <w:rsid w:val="009530DB"/>
    <w:rsid w:val="00953676"/>
    <w:rsid w:val="00953788"/>
    <w:rsid w:val="00954038"/>
    <w:rsid w:val="00954B4D"/>
    <w:rsid w:val="009552BE"/>
    <w:rsid w:val="00955D64"/>
    <w:rsid w:val="009564A2"/>
    <w:rsid w:val="009635A5"/>
    <w:rsid w:val="00964FEA"/>
    <w:rsid w:val="00966C1F"/>
    <w:rsid w:val="00967FD8"/>
    <w:rsid w:val="009705EE"/>
    <w:rsid w:val="009711F3"/>
    <w:rsid w:val="009748C9"/>
    <w:rsid w:val="00976E12"/>
    <w:rsid w:val="00977927"/>
    <w:rsid w:val="0098135C"/>
    <w:rsid w:val="0098156A"/>
    <w:rsid w:val="00981AAC"/>
    <w:rsid w:val="00981BB4"/>
    <w:rsid w:val="00981FAF"/>
    <w:rsid w:val="00982218"/>
    <w:rsid w:val="00982424"/>
    <w:rsid w:val="009837D6"/>
    <w:rsid w:val="00987C5D"/>
    <w:rsid w:val="009900B9"/>
    <w:rsid w:val="00991BAC"/>
    <w:rsid w:val="00993D17"/>
    <w:rsid w:val="009972D0"/>
    <w:rsid w:val="00997C66"/>
    <w:rsid w:val="009A27F7"/>
    <w:rsid w:val="009A3F21"/>
    <w:rsid w:val="009A6EA0"/>
    <w:rsid w:val="009B125D"/>
    <w:rsid w:val="009B318D"/>
    <w:rsid w:val="009B4A1B"/>
    <w:rsid w:val="009B6898"/>
    <w:rsid w:val="009B72ED"/>
    <w:rsid w:val="009B7675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1CEE"/>
    <w:rsid w:val="009E2E91"/>
    <w:rsid w:val="009E5C5B"/>
    <w:rsid w:val="009F15D8"/>
    <w:rsid w:val="009F23BA"/>
    <w:rsid w:val="009F6D0A"/>
    <w:rsid w:val="009F7D73"/>
    <w:rsid w:val="00A05838"/>
    <w:rsid w:val="00A072EE"/>
    <w:rsid w:val="00A12EDF"/>
    <w:rsid w:val="00A139F5"/>
    <w:rsid w:val="00A14BEA"/>
    <w:rsid w:val="00A23D98"/>
    <w:rsid w:val="00A2477B"/>
    <w:rsid w:val="00A24AC8"/>
    <w:rsid w:val="00A24EA6"/>
    <w:rsid w:val="00A2578A"/>
    <w:rsid w:val="00A322C3"/>
    <w:rsid w:val="00A326FE"/>
    <w:rsid w:val="00A35794"/>
    <w:rsid w:val="00A365F4"/>
    <w:rsid w:val="00A36F0A"/>
    <w:rsid w:val="00A40159"/>
    <w:rsid w:val="00A41DEF"/>
    <w:rsid w:val="00A43F34"/>
    <w:rsid w:val="00A47543"/>
    <w:rsid w:val="00A47D80"/>
    <w:rsid w:val="00A51BBF"/>
    <w:rsid w:val="00A52F42"/>
    <w:rsid w:val="00A53132"/>
    <w:rsid w:val="00A563F2"/>
    <w:rsid w:val="00A566E8"/>
    <w:rsid w:val="00A61018"/>
    <w:rsid w:val="00A62E16"/>
    <w:rsid w:val="00A63D2E"/>
    <w:rsid w:val="00A644CB"/>
    <w:rsid w:val="00A66A5C"/>
    <w:rsid w:val="00A72AC4"/>
    <w:rsid w:val="00A75AD0"/>
    <w:rsid w:val="00A810F9"/>
    <w:rsid w:val="00A81C1C"/>
    <w:rsid w:val="00A8219A"/>
    <w:rsid w:val="00A86ECC"/>
    <w:rsid w:val="00A86FCC"/>
    <w:rsid w:val="00A9351A"/>
    <w:rsid w:val="00A936A6"/>
    <w:rsid w:val="00A969DB"/>
    <w:rsid w:val="00AA0BAD"/>
    <w:rsid w:val="00AA1C07"/>
    <w:rsid w:val="00AA4DEF"/>
    <w:rsid w:val="00AA710D"/>
    <w:rsid w:val="00AA7602"/>
    <w:rsid w:val="00AB1D72"/>
    <w:rsid w:val="00AB3023"/>
    <w:rsid w:val="00AB3A8D"/>
    <w:rsid w:val="00AB6D25"/>
    <w:rsid w:val="00AB7068"/>
    <w:rsid w:val="00AB710D"/>
    <w:rsid w:val="00AC144D"/>
    <w:rsid w:val="00AC7195"/>
    <w:rsid w:val="00AD3659"/>
    <w:rsid w:val="00AD387B"/>
    <w:rsid w:val="00AD3B3E"/>
    <w:rsid w:val="00AD6497"/>
    <w:rsid w:val="00AD74AD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3860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5BF"/>
    <w:rsid w:val="00B956EE"/>
    <w:rsid w:val="00B9696D"/>
    <w:rsid w:val="00B96EE4"/>
    <w:rsid w:val="00BA2BA1"/>
    <w:rsid w:val="00BB36CB"/>
    <w:rsid w:val="00BB4BF4"/>
    <w:rsid w:val="00BB4E3C"/>
    <w:rsid w:val="00BB4F09"/>
    <w:rsid w:val="00BB74B8"/>
    <w:rsid w:val="00BC6A63"/>
    <w:rsid w:val="00BD4E33"/>
    <w:rsid w:val="00BD79BE"/>
    <w:rsid w:val="00BE3861"/>
    <w:rsid w:val="00BF0999"/>
    <w:rsid w:val="00BF2F34"/>
    <w:rsid w:val="00C030DE"/>
    <w:rsid w:val="00C04A4A"/>
    <w:rsid w:val="00C05229"/>
    <w:rsid w:val="00C13062"/>
    <w:rsid w:val="00C21450"/>
    <w:rsid w:val="00C22105"/>
    <w:rsid w:val="00C221DB"/>
    <w:rsid w:val="00C244B6"/>
    <w:rsid w:val="00C26AA4"/>
    <w:rsid w:val="00C2742C"/>
    <w:rsid w:val="00C275DE"/>
    <w:rsid w:val="00C313AB"/>
    <w:rsid w:val="00C3175B"/>
    <w:rsid w:val="00C31800"/>
    <w:rsid w:val="00C31CB1"/>
    <w:rsid w:val="00C363E6"/>
    <w:rsid w:val="00C3702F"/>
    <w:rsid w:val="00C4002B"/>
    <w:rsid w:val="00C414B5"/>
    <w:rsid w:val="00C42B9D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B5AD0"/>
    <w:rsid w:val="00CC2901"/>
    <w:rsid w:val="00CC39FE"/>
    <w:rsid w:val="00CC4F59"/>
    <w:rsid w:val="00CC5183"/>
    <w:rsid w:val="00CC739E"/>
    <w:rsid w:val="00CD1D18"/>
    <w:rsid w:val="00CD3979"/>
    <w:rsid w:val="00CD58B7"/>
    <w:rsid w:val="00CD6DBE"/>
    <w:rsid w:val="00CE2C29"/>
    <w:rsid w:val="00CF1168"/>
    <w:rsid w:val="00CF376D"/>
    <w:rsid w:val="00CF4099"/>
    <w:rsid w:val="00CF6077"/>
    <w:rsid w:val="00CF7C3B"/>
    <w:rsid w:val="00D00796"/>
    <w:rsid w:val="00D01E2E"/>
    <w:rsid w:val="00D04B7F"/>
    <w:rsid w:val="00D0793C"/>
    <w:rsid w:val="00D07FC9"/>
    <w:rsid w:val="00D12BF4"/>
    <w:rsid w:val="00D17A8D"/>
    <w:rsid w:val="00D20E52"/>
    <w:rsid w:val="00D2317F"/>
    <w:rsid w:val="00D23C7E"/>
    <w:rsid w:val="00D261A2"/>
    <w:rsid w:val="00D31A73"/>
    <w:rsid w:val="00D41ABA"/>
    <w:rsid w:val="00D52A54"/>
    <w:rsid w:val="00D567E5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91B"/>
    <w:rsid w:val="00D95EEA"/>
    <w:rsid w:val="00D96026"/>
    <w:rsid w:val="00DA0269"/>
    <w:rsid w:val="00DA6019"/>
    <w:rsid w:val="00DA64F9"/>
    <w:rsid w:val="00DA7C1C"/>
    <w:rsid w:val="00DA7E4C"/>
    <w:rsid w:val="00DB0202"/>
    <w:rsid w:val="00DB04B9"/>
    <w:rsid w:val="00DB147A"/>
    <w:rsid w:val="00DB1B7A"/>
    <w:rsid w:val="00DB1D15"/>
    <w:rsid w:val="00DB1FBF"/>
    <w:rsid w:val="00DB54FC"/>
    <w:rsid w:val="00DB562E"/>
    <w:rsid w:val="00DB64B2"/>
    <w:rsid w:val="00DB700C"/>
    <w:rsid w:val="00DC1605"/>
    <w:rsid w:val="00DC1C28"/>
    <w:rsid w:val="00DC328C"/>
    <w:rsid w:val="00DC3C96"/>
    <w:rsid w:val="00DC4543"/>
    <w:rsid w:val="00DC4576"/>
    <w:rsid w:val="00DC5C44"/>
    <w:rsid w:val="00DC6708"/>
    <w:rsid w:val="00DD0355"/>
    <w:rsid w:val="00DD2FE5"/>
    <w:rsid w:val="00DD52B0"/>
    <w:rsid w:val="00DD55DF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832"/>
    <w:rsid w:val="00E019BF"/>
    <w:rsid w:val="00E045BD"/>
    <w:rsid w:val="00E125A2"/>
    <w:rsid w:val="00E16FA5"/>
    <w:rsid w:val="00E17B77"/>
    <w:rsid w:val="00E20DFD"/>
    <w:rsid w:val="00E2112C"/>
    <w:rsid w:val="00E213A6"/>
    <w:rsid w:val="00E22474"/>
    <w:rsid w:val="00E23337"/>
    <w:rsid w:val="00E23718"/>
    <w:rsid w:val="00E255AD"/>
    <w:rsid w:val="00E259EA"/>
    <w:rsid w:val="00E27713"/>
    <w:rsid w:val="00E3072E"/>
    <w:rsid w:val="00E30915"/>
    <w:rsid w:val="00E32061"/>
    <w:rsid w:val="00E32156"/>
    <w:rsid w:val="00E32639"/>
    <w:rsid w:val="00E33500"/>
    <w:rsid w:val="00E35249"/>
    <w:rsid w:val="00E41462"/>
    <w:rsid w:val="00E42FF9"/>
    <w:rsid w:val="00E430D6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14EC"/>
    <w:rsid w:val="00E664C5"/>
    <w:rsid w:val="00E671A2"/>
    <w:rsid w:val="00E72B2E"/>
    <w:rsid w:val="00E73157"/>
    <w:rsid w:val="00E76D26"/>
    <w:rsid w:val="00E76E0D"/>
    <w:rsid w:val="00E81AF2"/>
    <w:rsid w:val="00E8291F"/>
    <w:rsid w:val="00E86D95"/>
    <w:rsid w:val="00E948ED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C6BB3"/>
    <w:rsid w:val="00ED01FD"/>
    <w:rsid w:val="00ED2F18"/>
    <w:rsid w:val="00ED3259"/>
    <w:rsid w:val="00ED55C0"/>
    <w:rsid w:val="00ED682B"/>
    <w:rsid w:val="00ED6A4A"/>
    <w:rsid w:val="00EE0A58"/>
    <w:rsid w:val="00EE0E43"/>
    <w:rsid w:val="00EE13CD"/>
    <w:rsid w:val="00EE36BD"/>
    <w:rsid w:val="00EE39D5"/>
    <w:rsid w:val="00EE41D5"/>
    <w:rsid w:val="00EE4E92"/>
    <w:rsid w:val="00EF2A45"/>
    <w:rsid w:val="00EF7DBC"/>
    <w:rsid w:val="00F037A4"/>
    <w:rsid w:val="00F0451D"/>
    <w:rsid w:val="00F04CEF"/>
    <w:rsid w:val="00F06E5A"/>
    <w:rsid w:val="00F1007C"/>
    <w:rsid w:val="00F104DC"/>
    <w:rsid w:val="00F14BEF"/>
    <w:rsid w:val="00F16178"/>
    <w:rsid w:val="00F16287"/>
    <w:rsid w:val="00F225DE"/>
    <w:rsid w:val="00F2683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473B"/>
    <w:rsid w:val="00F561B1"/>
    <w:rsid w:val="00F561D4"/>
    <w:rsid w:val="00F6344E"/>
    <w:rsid w:val="00F6454E"/>
    <w:rsid w:val="00F645E3"/>
    <w:rsid w:val="00F64B60"/>
    <w:rsid w:val="00F66E98"/>
    <w:rsid w:val="00F67D8F"/>
    <w:rsid w:val="00F70E57"/>
    <w:rsid w:val="00F70F56"/>
    <w:rsid w:val="00F7377E"/>
    <w:rsid w:val="00F75102"/>
    <w:rsid w:val="00F802BE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  <w:rsid w:val="00FE5DED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40929136"/>
        <c:axId val="-440930768"/>
      </c:lineChart>
      <c:catAx>
        <c:axId val="-4409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40930768"/>
        <c:crossesAt val="100"/>
        <c:auto val="1"/>
        <c:lblAlgn val="ctr"/>
        <c:lblOffset val="100"/>
        <c:noMultiLvlLbl val="0"/>
      </c:catAx>
      <c:valAx>
        <c:axId val="-440930768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4092913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'III 2020'!$B$1</c:f>
              <c:strCache>
                <c:ptCount val="1"/>
                <c:pt idx="0">
                  <c:v>III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'III 2020'!$A$2:$A$13</c:f>
              <c:strCache>
                <c:ptCount val="12"/>
                <c:pt idx="0">
                  <c:v>Produkcja pojazdów samochodowych, przyczep i naczep</c:v>
                </c:pt>
                <c:pt idx="1">
                  <c:v>Produkcja odzieży</c:v>
                </c:pt>
                <c:pt idx="2">
                  <c:v>Produkcja skór i wyrobów skórzanych</c:v>
                </c:pt>
                <c:pt idx="3">
                  <c:v>Wydobywanie węgla kamiennego i węgla brunatnego (lignitu) </c:v>
                </c:pt>
                <c:pt idx="4">
                  <c:v>Produkcja mebli</c:v>
                </c:pt>
                <c:pt idx="5">
                  <c:v>Produkcja wyrobów tekstylnych</c:v>
                </c:pt>
                <c:pt idx="6">
                  <c:v>Pozostała produkja wyrobów</c:v>
                </c:pt>
                <c:pt idx="7">
                  <c:v>Produkcji chemikaliów i wyrobów chemicznych</c:v>
                </c:pt>
                <c:pt idx="8">
                  <c:v>Produkcja artykułów spożywczych</c:v>
                </c:pt>
                <c:pt idx="9">
                  <c:v>Produkcja papieru i wyrobów z papieru</c:v>
                </c:pt>
                <c:pt idx="10">
                  <c:v>Naprawa, konserwacja i instalowanie maszyn i urządzeń </c:v>
                </c:pt>
                <c:pt idx="11">
                  <c:v>Produkcja wyrobów farmaceutycznych</c:v>
                </c:pt>
              </c:strCache>
            </c:strRef>
          </c:cat>
          <c:val>
            <c:numRef>
              <c:f>'III 2020'!$B$2:$B$13</c:f>
              <c:numCache>
                <c:formatCode>0.0_ ;[Red]\-0.0\ </c:formatCode>
                <c:ptCount val="12"/>
                <c:pt idx="0">
                  <c:v>71.400000000000006</c:v>
                </c:pt>
                <c:pt idx="1">
                  <c:v>72.7</c:v>
                </c:pt>
                <c:pt idx="2">
                  <c:v>78.599999999999994</c:v>
                </c:pt>
                <c:pt idx="3">
                  <c:v>84.1</c:v>
                </c:pt>
                <c:pt idx="4">
                  <c:v>85.3</c:v>
                </c:pt>
                <c:pt idx="5">
                  <c:v>86.2</c:v>
                </c:pt>
                <c:pt idx="6">
                  <c:v>105.1</c:v>
                </c:pt>
                <c:pt idx="7">
                  <c:v>106.9</c:v>
                </c:pt>
                <c:pt idx="8">
                  <c:v>107.1</c:v>
                </c:pt>
                <c:pt idx="9">
                  <c:v>109.9</c:v>
                </c:pt>
                <c:pt idx="10">
                  <c:v>118.2</c:v>
                </c:pt>
                <c:pt idx="11">
                  <c:v>139.69999999999999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'III 2020'!$C$1</c:f>
              <c:strCache>
                <c:ptCount val="1"/>
                <c:pt idx="0">
                  <c:v>III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'III 2020'!$A$2:$A$13</c:f>
              <c:strCache>
                <c:ptCount val="12"/>
                <c:pt idx="0">
                  <c:v>Produkcja pojazdów samochodowych, przyczep i naczep</c:v>
                </c:pt>
                <c:pt idx="1">
                  <c:v>Produkcja odzieży</c:v>
                </c:pt>
                <c:pt idx="2">
                  <c:v>Produkcja skór i wyrobów skórzanych</c:v>
                </c:pt>
                <c:pt idx="3">
                  <c:v>Wydobywanie węgla kamiennego i węgla brunatnego (lignitu) </c:v>
                </c:pt>
                <c:pt idx="4">
                  <c:v>Produkcja mebli</c:v>
                </c:pt>
                <c:pt idx="5">
                  <c:v>Produkcja wyrobów tekstylnych</c:v>
                </c:pt>
                <c:pt idx="6">
                  <c:v>Pozostała produkja wyrobów</c:v>
                </c:pt>
                <c:pt idx="7">
                  <c:v>Produkcji chemikaliów i wyrobów chemicznych</c:v>
                </c:pt>
                <c:pt idx="8">
                  <c:v>Produkcja artykułów spożywczych</c:v>
                </c:pt>
                <c:pt idx="9">
                  <c:v>Produkcja papieru i wyrobów z papieru</c:v>
                </c:pt>
                <c:pt idx="10">
                  <c:v>Naprawa, konserwacja i instalowanie maszyn i urządzeń </c:v>
                </c:pt>
                <c:pt idx="11">
                  <c:v>Produkcja wyrobów farmaceutycznych</c:v>
                </c:pt>
              </c:strCache>
            </c:strRef>
          </c:cat>
          <c:val>
            <c:numRef>
              <c:f>'III 2020'!$C$2:$C$13</c:f>
              <c:numCache>
                <c:formatCode>0.0</c:formatCode>
                <c:ptCount val="12"/>
                <c:pt idx="0">
                  <c:v>105.9</c:v>
                </c:pt>
                <c:pt idx="1">
                  <c:v>104.2</c:v>
                </c:pt>
                <c:pt idx="2">
                  <c:v>87.3</c:v>
                </c:pt>
                <c:pt idx="3">
                  <c:v>89.9</c:v>
                </c:pt>
                <c:pt idx="4">
                  <c:v>101</c:v>
                </c:pt>
                <c:pt idx="5">
                  <c:v>104.6</c:v>
                </c:pt>
                <c:pt idx="6">
                  <c:v>107</c:v>
                </c:pt>
                <c:pt idx="7">
                  <c:v>109.8</c:v>
                </c:pt>
                <c:pt idx="8">
                  <c:v>99.7</c:v>
                </c:pt>
                <c:pt idx="9">
                  <c:v>101.3</c:v>
                </c:pt>
                <c:pt idx="10">
                  <c:v>108.2</c:v>
                </c:pt>
                <c:pt idx="11">
                  <c:v>99.1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40933488"/>
        <c:axId val="-440935664"/>
      </c:barChart>
      <c:catAx>
        <c:axId val="-4409334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40935664"/>
        <c:crossesAt val="100"/>
        <c:auto val="1"/>
        <c:lblAlgn val="ctr"/>
        <c:lblOffset val="20"/>
        <c:noMultiLvlLbl val="0"/>
      </c:catAx>
      <c:valAx>
        <c:axId val="-440935664"/>
        <c:scaling>
          <c:orientation val="minMax"/>
          <c:max val="14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40933488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FBE249E-ACBE-4712-9ABA-ACD9F2F0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2020-03-17T11:48:00Z</cp:lastPrinted>
  <dcterms:created xsi:type="dcterms:W3CDTF">2020-04-16T10:50:00Z</dcterms:created>
  <dcterms:modified xsi:type="dcterms:W3CDTF">2020-04-20T12:34:00Z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