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777777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456E1016" w14:textId="77777777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A6BFEAD" w14:textId="77777777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kwietniu 2020 </w:t>
      </w:r>
      <w:proofErr w:type="spellStart"/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0C15EECB" w14:textId="77777777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076A136" w14:textId="7777777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1714E86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3FB8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282F117D">
                                  <wp:extent cx="336550" cy="336550"/>
                                  <wp:effectExtent l="0" t="0" r="6350" b="635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24,6%</w:t>
                            </w:r>
                          </w:p>
                          <w:p w14:paraId="06FB4127" w14:textId="77777777" w:rsidR="003627E7" w:rsidRPr="00364866" w:rsidRDefault="003627E7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>
                              <w:rPr>
                                <w:sz w:val="20"/>
                              </w:rPr>
                              <w:t> kwietniem ub.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>
                              <w:rPr>
                                <w:sz w:val="20"/>
                              </w:rPr>
                              <w:t>oku</w:t>
                            </w:r>
                            <w:r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41CA3FB8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282F117D">
                            <wp:extent cx="336550" cy="336550"/>
                            <wp:effectExtent l="0" t="0" r="6350" b="635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24,6%</w:t>
                      </w:r>
                    </w:p>
                    <w:p w14:paraId="06FB4127" w14:textId="77777777" w:rsidR="003627E7" w:rsidRPr="00364866" w:rsidRDefault="003627E7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>
                        <w:rPr>
                          <w:sz w:val="20"/>
                        </w:rPr>
                        <w:t> kwietniem ub.</w:t>
                      </w:r>
                      <w:r w:rsidRPr="00364866">
                        <w:rPr>
                          <w:sz w:val="20"/>
                        </w:rPr>
                        <w:t xml:space="preserve"> r</w:t>
                      </w:r>
                      <w:r>
                        <w:rPr>
                          <w:sz w:val="20"/>
                        </w:rPr>
                        <w:t>oku</w:t>
                      </w:r>
                      <w:r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BAC2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00F6FD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B42F410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30BEBAC2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00F6FD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B42F410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w:t xml:space="preserve">W kwietniu br. produkcja sprzedana przemysłu była niższa o 24,6% w porównaniu z kwietniem ub. roku, kiedy notowano wzrost o 9,2%, natomiast w porównaniu z marcem br. spadła o 25,5%. W okresie styczeń – kwiecień br. produkcja sprzedana przemysłu była o 5,6% niższa w porównaniu z analogicznym okresem ub. roku, kiedy notowano wzrost o 6,8%. </w:t>
      </w:r>
    </w:p>
    <w:p w14:paraId="221368B0" w14:textId="7777777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DA3FA22" w14:textId="7777777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76BFCE27" w14:textId="77777777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3754AC46" w14:textId="77777777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47B9F169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A79D" w14:textId="77777777" w:rsidR="003627E7" w:rsidRPr="0062178E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62178E">
                              <w:t xml:space="preserve">Po wyrównaniu sezonowym, spadek produkcji sprzedanej przemysłu w kwietniu br. wyniósł </w:t>
                            </w:r>
                            <w:r>
                              <w:t>24,7</w:t>
                            </w:r>
                            <w:r w:rsidRPr="0062178E">
                              <w:t xml:space="preserve">% w skali roku </w:t>
                            </w:r>
                          </w:p>
                          <w:p w14:paraId="436CF133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14:paraId="142AA79D" w14:textId="77777777" w:rsidR="003627E7" w:rsidRPr="0062178E" w:rsidRDefault="003627E7" w:rsidP="003627E7">
                      <w:pPr>
                        <w:pStyle w:val="tekstzboku"/>
                        <w:suppressAutoHyphens/>
                      </w:pPr>
                      <w:r w:rsidRPr="0062178E">
                        <w:t xml:space="preserve">Po wyrównaniu sezonowym, spadek produkcji sprzedanej przemysłu w kwietniu br. wyniósł </w:t>
                      </w:r>
                      <w:r>
                        <w:t>24,7</w:t>
                      </w:r>
                      <w:r w:rsidRPr="0062178E">
                        <w:t xml:space="preserve">% w skali roku </w:t>
                      </w:r>
                    </w:p>
                    <w:p w14:paraId="436CF133" w14:textId="77777777" w:rsidR="003627E7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661C7E1" w14:textId="77777777" w:rsidR="003627E7" w:rsidRPr="003627E7" w:rsidRDefault="003627E7" w:rsidP="003627E7">
      <w:pPr>
        <w:rPr>
          <w:noProof/>
          <w:szCs w:val="19"/>
          <w:lang w:eastAsia="pl-PL"/>
        </w:rPr>
      </w:pPr>
      <w:r w:rsidRPr="003627E7">
        <w:rPr>
          <w:noProof/>
          <w:szCs w:val="19"/>
          <w:lang w:eastAsia="pl-PL"/>
        </w:rPr>
        <w:t>Po wyeliminowaniu wpływu czynników o charakterze sezonowym, w kwietniu br. produkcja sprzedana przemysłu ukształtowała się na poziomie o 24,7% niższym niż w analogicznym miesiącu ub. roku i o 20,8% niższym w porównaniu z marcem br.</w:t>
      </w:r>
    </w:p>
    <w:p w14:paraId="303DE366" w14:textId="77777777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51497FAB" w14:textId="77777777"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  <w:r w:rsidRPr="003627E7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04672" behindDoc="0" locked="0" layoutInCell="1" allowOverlap="1" wp14:anchorId="436F2887" wp14:editId="1A72A5A7">
            <wp:simplePos x="0" y="0"/>
            <wp:positionH relativeFrom="margin">
              <wp:align>right</wp:align>
            </wp:positionH>
            <wp:positionV relativeFrom="paragraph">
              <wp:posOffset>281458</wp:posOffset>
            </wp:positionV>
            <wp:extent cx="5186045" cy="3151505"/>
            <wp:effectExtent l="0" t="0" r="0" b="0"/>
            <wp:wrapSquare wrapText="bothSides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Pr="003627E7">
        <w:rPr>
          <w:b/>
          <w:spacing w:val="-2"/>
          <w:sz w:val="18"/>
          <w:szCs w:val="18"/>
        </w:rPr>
        <w:t>Wykres 1.</w:t>
      </w:r>
      <w:r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0BB3A521" w14:textId="77777777"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05D2ACF2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E417E1A" w14:textId="77777777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rFonts w:eastAsia="Calibri" w:cs="Times New Roman"/>
        </w:rPr>
        <w:t>We wszystkich głównych grupowaniach przemysłowych w kwietniu br. odnotowano spadek produkcji w skali roku. Produkcja dóbr inwestycyjnych spadła o 50,9%, dóbr konsumpcyjnych trwałych – o 47,8%, dóbr zaopatrzeniowych – o 18,2%, dóbr konsumpcyjnych nietrwałych – o 15,1%, a dóbr związanych z energią – o 10,6%.</w:t>
      </w:r>
    </w:p>
    <w:p w14:paraId="318FA282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6E5A20D4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87FA806" w14:textId="38E11ADB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4505EAB1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14:paraId="751EF4AA" w14:textId="7777777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14:paraId="0F096D4F" w14:textId="77777777"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14:paraId="77B31D7A" w14:textId="77777777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IV 2020</w:t>
            </w:r>
          </w:p>
        </w:tc>
        <w:tc>
          <w:tcPr>
            <w:tcW w:w="1278" w:type="dxa"/>
            <w:vAlign w:val="center"/>
          </w:tcPr>
          <w:p w14:paraId="2D7ED0DA" w14:textId="77777777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I-IV 2020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14:paraId="68D3652D" w14:textId="7777777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14:paraId="3F9D03CF" w14:textId="77777777"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5A80554" w14:textId="77777777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III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19E114ED" w14:textId="77777777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IV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14:paraId="6AEC7E6B" w14:textId="77777777"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0DBAC32A" w14:textId="77777777"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14:paraId="50DDD223" w14:textId="77777777"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I-IV 2019=100</w:t>
            </w:r>
          </w:p>
        </w:tc>
      </w:tr>
      <w:tr w:rsidR="003627E7" w:rsidRPr="003627E7" w14:paraId="58274D85" w14:textId="7777777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10DD4EBC" w14:textId="77777777"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5223E8B" w14:textId="77777777" w:rsidR="003627E7" w:rsidRPr="003627E7" w:rsidRDefault="003627E7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74,5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5DC60F78" w14:textId="77777777" w:rsidR="003627E7" w:rsidRPr="003627E7" w:rsidRDefault="003627E7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75,4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14:paraId="124C588C" w14:textId="77777777" w:rsidR="003627E7" w:rsidRPr="003627E7" w:rsidRDefault="003627E7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92,7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14:paraId="15EDA032" w14:textId="77777777" w:rsidR="003627E7" w:rsidRPr="003627E7" w:rsidRDefault="003627E7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94,4</w:t>
            </w:r>
          </w:p>
        </w:tc>
      </w:tr>
      <w:tr w:rsidR="003627E7" w:rsidRPr="003627E7" w14:paraId="6B7E2454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76D5B95C" w14:textId="77777777"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14:paraId="0034FAA8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90,1</w:t>
            </w:r>
          </w:p>
        </w:tc>
        <w:tc>
          <w:tcPr>
            <w:tcW w:w="1418" w:type="dxa"/>
            <w:vAlign w:val="center"/>
          </w:tcPr>
          <w:p w14:paraId="0B80B8CE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91,2</w:t>
            </w:r>
          </w:p>
        </w:tc>
        <w:tc>
          <w:tcPr>
            <w:tcW w:w="1427" w:type="dxa"/>
            <w:vAlign w:val="center"/>
          </w:tcPr>
          <w:p w14:paraId="643E6C09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80,6</w:t>
            </w:r>
          </w:p>
        </w:tc>
        <w:tc>
          <w:tcPr>
            <w:tcW w:w="1278" w:type="dxa"/>
            <w:vAlign w:val="center"/>
          </w:tcPr>
          <w:p w14:paraId="49C37C23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91,6</w:t>
            </w:r>
          </w:p>
        </w:tc>
      </w:tr>
      <w:tr w:rsidR="003627E7" w:rsidRPr="003627E7" w14:paraId="64009104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61448DA5" w14:textId="77777777"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14:paraId="1DFAD8C5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72,5</w:t>
            </w:r>
          </w:p>
        </w:tc>
        <w:tc>
          <w:tcPr>
            <w:tcW w:w="1418" w:type="dxa"/>
            <w:vAlign w:val="center"/>
          </w:tcPr>
          <w:p w14:paraId="3B5AD1A3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72,5</w:t>
            </w:r>
          </w:p>
        </w:tc>
        <w:tc>
          <w:tcPr>
            <w:tcW w:w="1427" w:type="dxa"/>
            <w:vAlign w:val="center"/>
          </w:tcPr>
          <w:p w14:paraId="26292C6A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91,4</w:t>
            </w:r>
          </w:p>
        </w:tc>
        <w:tc>
          <w:tcPr>
            <w:tcW w:w="1278" w:type="dxa"/>
            <w:vAlign w:val="center"/>
          </w:tcPr>
          <w:p w14:paraId="14999BF4" w14:textId="77777777" w:rsidR="003627E7" w:rsidRPr="003627E7" w:rsidRDefault="003627E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93,7</w:t>
            </w:r>
          </w:p>
        </w:tc>
      </w:tr>
      <w:tr w:rsidR="003627E7" w:rsidRPr="003627E7" w14:paraId="47BAC1DA" w14:textId="77777777" w:rsidTr="00F84574">
        <w:trPr>
          <w:trHeight w:val="57"/>
        </w:trPr>
        <w:tc>
          <w:tcPr>
            <w:tcW w:w="2552" w:type="dxa"/>
            <w:vAlign w:val="center"/>
          </w:tcPr>
          <w:p w14:paraId="04C83B32" w14:textId="77777777"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14:paraId="1093A07E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84,5</w:t>
            </w:r>
          </w:p>
        </w:tc>
        <w:tc>
          <w:tcPr>
            <w:tcW w:w="1418" w:type="dxa"/>
            <w:vAlign w:val="center"/>
          </w:tcPr>
          <w:p w14:paraId="0A80C583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1427" w:type="dxa"/>
            <w:vAlign w:val="center"/>
          </w:tcPr>
          <w:p w14:paraId="0925EDDD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105,2</w:t>
            </w:r>
          </w:p>
        </w:tc>
        <w:tc>
          <w:tcPr>
            <w:tcW w:w="1278" w:type="dxa"/>
            <w:vAlign w:val="center"/>
          </w:tcPr>
          <w:p w14:paraId="0F22DE67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100,4</w:t>
            </w:r>
          </w:p>
        </w:tc>
      </w:tr>
      <w:tr w:rsidR="003627E7" w:rsidRPr="003627E7" w14:paraId="7631FC05" w14:textId="77777777" w:rsidTr="00F84574">
        <w:trPr>
          <w:trHeight w:val="624"/>
        </w:trPr>
        <w:tc>
          <w:tcPr>
            <w:tcW w:w="2552" w:type="dxa"/>
            <w:vAlign w:val="center"/>
          </w:tcPr>
          <w:p w14:paraId="62AB9705" w14:textId="77777777"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BCD77F3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94,9</w:t>
            </w:r>
          </w:p>
        </w:tc>
        <w:tc>
          <w:tcPr>
            <w:tcW w:w="1418" w:type="dxa"/>
            <w:vAlign w:val="center"/>
          </w:tcPr>
          <w:p w14:paraId="447F9D03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96,9</w:t>
            </w:r>
          </w:p>
        </w:tc>
        <w:tc>
          <w:tcPr>
            <w:tcW w:w="1427" w:type="dxa"/>
            <w:vAlign w:val="center"/>
          </w:tcPr>
          <w:p w14:paraId="6EB7601E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118,2</w:t>
            </w:r>
          </w:p>
        </w:tc>
        <w:tc>
          <w:tcPr>
            <w:tcW w:w="1278" w:type="dxa"/>
            <w:vAlign w:val="center"/>
          </w:tcPr>
          <w:p w14:paraId="0BEF4B8C" w14:textId="77777777" w:rsidR="003627E7" w:rsidRPr="003627E7" w:rsidRDefault="003627E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103,2</w:t>
            </w:r>
          </w:p>
        </w:tc>
      </w:tr>
    </w:tbl>
    <w:p w14:paraId="769E3490" w14:textId="77777777"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14:paraId="2E53761E" w14:textId="77777777"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 i cenach w marcu oraz meldunkowych w kwietniu.</w:t>
      </w:r>
    </w:p>
    <w:p w14:paraId="52E735D6" w14:textId="77777777"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818EEF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72D15013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 spadek w sto-</w:t>
                            </w:r>
                            <w:proofErr w:type="spellStart"/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sunku</w:t>
                            </w:r>
                            <w:proofErr w:type="spellEnd"/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do kwietnia ub. roku, wyniósł 96,9%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1CC8237B" w14:textId="72D15013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 spadek w sto-sunku do kwietnia ub. roku, wyniósł 96,9%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B0943E3" w14:textId="77777777" w:rsidR="003627E7" w:rsidRPr="003627E7" w:rsidRDefault="003627E7" w:rsidP="003627E7">
      <w:pPr>
        <w:suppressAutoHyphens/>
        <w:spacing w:before="0" w:after="0"/>
        <w:rPr>
          <w:i/>
          <w:shd w:val="clear" w:color="auto" w:fill="FFFFFF"/>
        </w:rPr>
      </w:pPr>
      <w:r w:rsidRPr="003627E7">
        <w:rPr>
          <w:shd w:val="clear" w:color="auto" w:fill="FFFFFF"/>
        </w:rPr>
        <w:t xml:space="preserve"> Według wstępnych danych w kwietniu br., w stosunku do kwietnia ub. roku, spadek produkcji sprzedanej (w cenach stałych) odnotowano w 30 (spośród 34) działach przemysłu, m.in. w produkcji pojazdów samochodowych, przyczep i naczep – o 78,9%, 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34,0%, urządzeń elektrycznych – o 28,1%, wyrobów z gumy i tworzyw sztucznych – o 25,9%, koksu i produktów rafinacji ropy naftowej – o 23,2%, metali – o 20,0%, wyrobów z metali – o 18,6%, wyrobów z pozostałych mineralnych surowców niemetalicznych – o 17,7%. </w:t>
      </w:r>
    </w:p>
    <w:p w14:paraId="7D7E1994" w14:textId="77777777" w:rsidR="003627E7" w:rsidRPr="003627E7" w:rsidRDefault="003627E7" w:rsidP="003627E7">
      <w:pPr>
        <w:suppressAutoHyphens/>
        <w:spacing w:before="0"/>
        <w:rPr>
          <w:shd w:val="clear" w:color="auto" w:fill="FFFFFF"/>
        </w:rPr>
      </w:pPr>
      <w:r w:rsidRPr="003627E7">
        <w:rPr>
          <w:shd w:val="clear" w:color="auto" w:fill="FFFFFF"/>
        </w:rPr>
        <w:t xml:space="preserve">Wzrost produkcji sprzedanej przemysłu, w porównaniu z kwietniem ub. roku, wystąpił w 4 działach, m.in. w produkcji wyrobów farmaceutycznych – o 14,8%, przy czym w porównaniu z marcem br. w tym dziale obserwowany był spadek o 37,2%.  </w:t>
      </w:r>
    </w:p>
    <w:p w14:paraId="69A832DB" w14:textId="1AF4418F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74B3F191" w14:textId="77777777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1F95A293" wp14:editId="048FC514">
            <wp:simplePos x="0" y="0"/>
            <wp:positionH relativeFrom="column">
              <wp:posOffset>57150</wp:posOffset>
            </wp:positionH>
            <wp:positionV relativeFrom="paragraph">
              <wp:posOffset>163830</wp:posOffset>
            </wp:positionV>
            <wp:extent cx="5017770" cy="3857625"/>
            <wp:effectExtent l="0" t="0" r="0" b="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14:paraId="56CE5F97" w14:textId="6D753E99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6172EEAA" w14:textId="1E255B15" w:rsidR="003627E7" w:rsidRPr="003627E7" w:rsidRDefault="003627E7" w:rsidP="003627E7">
      <w:pPr>
        <w:spacing w:line="240" w:lineRule="auto"/>
        <w:rPr>
          <w:szCs w:val="19"/>
        </w:rPr>
      </w:pPr>
      <w:r w:rsidRPr="003627E7">
        <w:rPr>
          <w:szCs w:val="19"/>
        </w:rPr>
        <w:lastRenderedPageBreak/>
        <w:t xml:space="preserve">W uzupełnieniu do standardowej miesięcznej sprawozdawczości, respondenci wykazujący w kwietniu br. w porównaniu do miesiąca poprzedniego znaczące spadki lub wzrosty wybranych kategorii badanych zmiennych, poproszeni zostali o dobrowolne przekazanie dodatkowej informacji na temat przyczyn tych zmian, w tym przyczyn związanych z COVID-19. Jako uzasadnienia spadku produkcji sprzedanej, część respondentów wskazywała spadek liczby zamówień w związku z COVID-19 (przede wszystkim w produkcji </w:t>
      </w:r>
      <w:r w:rsidRPr="005E4AF4">
        <w:rPr>
          <w:szCs w:val="19"/>
        </w:rPr>
        <w:t xml:space="preserve">wyrobów z metali, wyrobów z gumy i z tworzyw sztucznych, </w:t>
      </w:r>
      <w:r w:rsidRPr="005E4AF4">
        <w:rPr>
          <w:sz w:val="20"/>
          <w:szCs w:val="20"/>
          <w:shd w:val="clear" w:color="auto" w:fill="FFFFFF"/>
        </w:rPr>
        <w:t>koksu i produktów rafinacji ropy naftowej</w:t>
      </w:r>
      <w:r w:rsidRPr="005E4AF4">
        <w:rPr>
          <w:szCs w:val="19"/>
        </w:rPr>
        <w:t>,</w:t>
      </w:r>
      <w:r w:rsidRPr="003627E7">
        <w:rPr>
          <w:szCs w:val="19"/>
        </w:rPr>
        <w:t xml:space="preserve"> pojazdów samochodowych, przyczep i naczep oraz w produkcji mebli). Innymi przyczynami wskazywanymi częściej przez respondentów były: zmiana wymiaru etatów pracowników oraz przebywanie pracowników „na postojowym” (głównie w produkcji pojazdów samochodowych, przyczep i naczep oraz produkcji mebli). W przypadku raportowania wzrostu produkcji sprzedanej, nieliczne podmioty wskazywały jako przyczynę wzrost liczby zamówień związany z COVID-19, m.in. w produkcji odzieży, chemikaliów i wyrobów chemicznych, niemniej jednak nie przełożyły się one na wyniki uzyskane na poziomie agregatów, w których odnotowano spadki.  </w:t>
      </w:r>
    </w:p>
    <w:p w14:paraId="6D035226" w14:textId="20FC7EA3" w:rsidR="00B5543C" w:rsidRDefault="00B5543C" w:rsidP="00F113BA">
      <w:pPr>
        <w:rPr>
          <w:b/>
          <w:sz w:val="18"/>
          <w:szCs w:val="18"/>
        </w:rPr>
      </w:pPr>
    </w:p>
    <w:p w14:paraId="33735DD0" w14:textId="1D8F15AD" w:rsidR="00B5543C" w:rsidRDefault="00B5543C" w:rsidP="00F113BA">
      <w:pPr>
        <w:rPr>
          <w:b/>
          <w:sz w:val="18"/>
          <w:szCs w:val="18"/>
        </w:rPr>
      </w:pPr>
    </w:p>
    <w:p w14:paraId="6BE2D598" w14:textId="3F2D5467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7E5C78E0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4802D170" w14:textId="153F3FC1" w:rsidR="007F2685" w:rsidRDefault="007F2685" w:rsidP="00C77B68">
      <w:pPr>
        <w:spacing w:line="240" w:lineRule="auto"/>
        <w:ind w:left="851" w:hanging="851"/>
        <w:rPr>
          <w:noProof/>
          <w:lang w:eastAsia="pl-PL"/>
        </w:rPr>
      </w:pPr>
    </w:p>
    <w:p w14:paraId="08724D98" w14:textId="10A3D635" w:rsidR="00EF3AE3" w:rsidRDefault="00EF3AE3" w:rsidP="00C77B68">
      <w:pPr>
        <w:spacing w:line="240" w:lineRule="auto"/>
        <w:ind w:left="851" w:hanging="851"/>
        <w:rPr>
          <w:b/>
          <w:sz w:val="18"/>
          <w:szCs w:val="18"/>
        </w:rPr>
      </w:pPr>
    </w:p>
    <w:p w14:paraId="23CEA485" w14:textId="27E10340" w:rsidR="00724458" w:rsidRPr="00C77B68" w:rsidRDefault="00724458" w:rsidP="00C77B68">
      <w:pPr>
        <w:spacing w:line="240" w:lineRule="auto"/>
        <w:ind w:left="851" w:hanging="851"/>
        <w:rPr>
          <w:b/>
          <w:sz w:val="18"/>
          <w:szCs w:val="18"/>
        </w:rPr>
        <w:sectPr w:rsidR="00724458" w:rsidRPr="00C77B68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41510281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BD9F729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53EBDA1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1A1AFB1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81FDE41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99E13DF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06D0496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0B3C9C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0D20FC53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457CB2DA" w14:textId="77777777"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20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77777777"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77777777" w:rsidR="003627E7" w:rsidRPr="003627E7" w:rsidRDefault="00B33B16" w:rsidP="003627E7">
            <w:pPr>
              <w:rPr>
                <w:sz w:val="20"/>
                <w:szCs w:val="20"/>
              </w:rPr>
            </w:pPr>
            <w:hyperlink r:id="rId22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C60062F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5A953EA7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A9179B1" w14:textId="7777777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"https://stat.gov.pl/obszary-tematyczne/inne-opracowania/informacje-o-sytuacji-spoleczno-gospodarczej/biuletyn-statystyczny-nr-32020,4,98.html"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29F639CB" w14:textId="7777777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"https://stat.gov.pl/obszary-tematyczne/inne-opracowania/informacje-o-sytuacji-spoleczno-gospodarczej/sytuacja-spoleczno-gospodarcza-kraju-w-pierwszym-kwartale-2020-r-,1,95.html"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6613E6F4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14:paraId="2490000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35EAB4B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21DE3B68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6599D27B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592CA062" w14:textId="77777777" w:rsidR="003627E7" w:rsidRPr="00364866" w:rsidRDefault="00B33B16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011B86E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62DD0BDB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51CBDBA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AA77B5C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16345CC1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71D713E7" w14:textId="77777777" w:rsidR="003627E7" w:rsidRPr="00364866" w:rsidRDefault="00B33B16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6323832C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646C0B5E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1FFD13EE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4AF251D3" w14:textId="77777777" w:rsidR="003627E7" w:rsidRPr="00364866" w:rsidRDefault="00B33B16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4D39E69D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5A953EA7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2A9179B1" w14:textId="77777777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"https://stat.gov.pl/obszary-tematyczne/inne-opracowania/informacje-o-sytuacji-spoleczno-gospodarczej/biuletyn-statystyczny-nr-32020,4,98.html"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29F639CB" w14:textId="77777777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"https://stat.gov.pl/obszary-tematyczne/inne-opracowania/informacje-o-sytuacji-spoleczno-gospodarczej/sytuacja-spoleczno-gospodarcza-kraju-w-pierwszym-kwartale-2020-r-,1,95.html"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6613E6F4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8" w:history="1"/>
                    </w:p>
                    <w:p w14:paraId="2490000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35EAB4B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21DE3B68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  <w:bookmarkStart w:id="1" w:name="_GoBack"/>
                      <w:bookmarkEnd w:id="1"/>
                    </w:p>
                    <w:p w14:paraId="6599D27B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592CA062" w14:textId="77777777" w:rsidR="003627E7" w:rsidRPr="00364866" w:rsidRDefault="00B33B1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011B86E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62DD0BDB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51CBDBA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AA77B5C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16345CC1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71D713E7" w14:textId="77777777" w:rsidR="003627E7" w:rsidRPr="00364866" w:rsidRDefault="00B33B1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6323832C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646C0B5E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1FFD13EE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4AF251D3" w14:textId="77777777" w:rsidR="003627E7" w:rsidRPr="00364866" w:rsidRDefault="00B33B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4D39E69D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6EE21" w14:textId="77777777" w:rsidR="00B33B16" w:rsidRDefault="00B33B16" w:rsidP="000662E2">
      <w:pPr>
        <w:spacing w:after="0" w:line="240" w:lineRule="auto"/>
      </w:pPr>
      <w:r>
        <w:separator/>
      </w:r>
    </w:p>
  </w:endnote>
  <w:endnote w:type="continuationSeparator" w:id="0">
    <w:p w14:paraId="78EA319D" w14:textId="77777777" w:rsidR="00B33B16" w:rsidRDefault="00B33B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C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C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A0131" w14:textId="77777777" w:rsidR="00B33B16" w:rsidRDefault="00B33B16" w:rsidP="000662E2">
      <w:pPr>
        <w:spacing w:after="0" w:line="240" w:lineRule="auto"/>
      </w:pPr>
      <w:r>
        <w:separator/>
      </w:r>
    </w:p>
  </w:footnote>
  <w:footnote w:type="continuationSeparator" w:id="0">
    <w:p w14:paraId="2A9A46C7" w14:textId="77777777" w:rsidR="00B33B16" w:rsidRDefault="00B33B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0C892846" w:rsidR="004862B6" w:rsidRDefault="003627E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F8524E7" w:rsidR="00112A4D" w:rsidRPr="00C97596" w:rsidRDefault="003627E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21.05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F8524E7" w:rsidR="00112A4D" w:rsidRPr="00C97596" w:rsidRDefault="003627E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21.05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3C365C8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2.95pt;height:127pt;visibility:visible;mso-wrap-style:square" o:bullet="t">
        <v:imagedata r:id="rId1" o:title=""/>
      </v:shape>
    </w:pict>
  </w:numPicBullet>
  <w:numPicBullet w:numPicBulletId="1">
    <w:pict>
      <v:shape id="_x0000_i1041" type="#_x0000_t75" style="width:125pt;height:12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3EAB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3B16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2D8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7211888"/>
        <c:axId val="-627210800"/>
      </c:lineChart>
      <c:catAx>
        <c:axId val="-62721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27210800"/>
        <c:crossesAt val="100"/>
        <c:auto val="1"/>
        <c:lblAlgn val="ctr"/>
        <c:lblOffset val="100"/>
        <c:noMultiLvlLbl val="0"/>
      </c:catAx>
      <c:valAx>
        <c:axId val="-62721080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2721188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'IV 2020'!$B$1</c:f>
              <c:strCache>
                <c:ptCount val="1"/>
                <c:pt idx="0">
                  <c:v>IV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'IV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skór i wyrobów skórzanych</c:v>
                </c:pt>
                <c:pt idx="2">
                  <c:v>Produkcja mebli</c:v>
                </c:pt>
                <c:pt idx="3">
                  <c:v>Produkcja wyrobów tekstylnych</c:v>
                </c:pt>
                <c:pt idx="4">
                  <c:v>Produkcja maszyn i urządzeń</c:v>
                </c:pt>
                <c:pt idx="5">
                  <c:v>Produkcja urządzeń elektrycznych</c:v>
                </c:pt>
                <c:pt idx="6">
                  <c:v>Produkcja pozostałego sprzętu transportowego</c:v>
                </c:pt>
                <c:pt idx="7">
                  <c:v>Produkcja wyrobów z gumy i tworzyw sztucznych</c:v>
                </c:pt>
                <c:pt idx="8">
                  <c:v>Produkcja odzieży</c:v>
                </c:pt>
                <c:pt idx="9">
                  <c:v>Produkcja wyrobów z drewna, korka, słomy i wikliny</c:v>
                </c:pt>
                <c:pt idx="10">
                  <c:v>Produkcja koksu i produktów rafinacji ropy naftowej</c:v>
                </c:pt>
                <c:pt idx="11">
                  <c:v>Produkcja wyrobów farmaceutycznych</c:v>
                </c:pt>
              </c:strCache>
            </c:strRef>
          </c:cat>
          <c:val>
            <c:numRef>
              <c:f>'IV 2020'!$B$2:$B$13</c:f>
              <c:numCache>
                <c:formatCode>0.0_ ;[Red]\-0.0\ </c:formatCode>
                <c:ptCount val="12"/>
                <c:pt idx="0">
                  <c:v>21.1</c:v>
                </c:pt>
                <c:pt idx="1">
                  <c:v>30.6</c:v>
                </c:pt>
                <c:pt idx="2">
                  <c:v>49.6</c:v>
                </c:pt>
                <c:pt idx="3">
                  <c:v>63.1</c:v>
                </c:pt>
                <c:pt idx="4">
                  <c:v>66</c:v>
                </c:pt>
                <c:pt idx="5">
                  <c:v>71.900000000000006</c:v>
                </c:pt>
                <c:pt idx="6">
                  <c:v>72.7</c:v>
                </c:pt>
                <c:pt idx="7">
                  <c:v>74.099999999999994</c:v>
                </c:pt>
                <c:pt idx="8">
                  <c:v>74.3</c:v>
                </c:pt>
                <c:pt idx="9">
                  <c:v>74.599999999999994</c:v>
                </c:pt>
                <c:pt idx="10">
                  <c:v>76.8</c:v>
                </c:pt>
                <c:pt idx="11">
                  <c:v>114.8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'IV 2020'!$C$1</c:f>
              <c:strCache>
                <c:ptCount val="1"/>
                <c:pt idx="0">
                  <c:v>IV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'IV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skór i wyrobów skórzanych</c:v>
                </c:pt>
                <c:pt idx="2">
                  <c:v>Produkcja mebli</c:v>
                </c:pt>
                <c:pt idx="3">
                  <c:v>Produkcja wyrobów tekstylnych</c:v>
                </c:pt>
                <c:pt idx="4">
                  <c:v>Produkcja maszyn i urządzeń</c:v>
                </c:pt>
                <c:pt idx="5">
                  <c:v>Produkcja urządzeń elektrycznych</c:v>
                </c:pt>
                <c:pt idx="6">
                  <c:v>Produkcja pozostałego sprzętu transportowego</c:v>
                </c:pt>
                <c:pt idx="7">
                  <c:v>Produkcja wyrobów z gumy i tworzyw sztucznych</c:v>
                </c:pt>
                <c:pt idx="8">
                  <c:v>Produkcja odzieży</c:v>
                </c:pt>
                <c:pt idx="9">
                  <c:v>Produkcja wyrobów z drewna, korka, słomy i wikliny</c:v>
                </c:pt>
                <c:pt idx="10">
                  <c:v>Produkcja koksu i produktów rafinacji ropy naftowej</c:v>
                </c:pt>
                <c:pt idx="11">
                  <c:v>Produkcja wyrobów farmaceutycznych</c:v>
                </c:pt>
              </c:strCache>
            </c:strRef>
          </c:cat>
          <c:val>
            <c:numRef>
              <c:f>'IV 2020'!$C$2:$C$13</c:f>
              <c:numCache>
                <c:formatCode>0.0_ ;[Red]\-0.0\ </c:formatCode>
                <c:ptCount val="12"/>
                <c:pt idx="0">
                  <c:v>108</c:v>
                </c:pt>
                <c:pt idx="1">
                  <c:v>86.4</c:v>
                </c:pt>
                <c:pt idx="2">
                  <c:v>105.8</c:v>
                </c:pt>
                <c:pt idx="3">
                  <c:v>106.8</c:v>
                </c:pt>
                <c:pt idx="4">
                  <c:v>107.3</c:v>
                </c:pt>
                <c:pt idx="5">
                  <c:v>126.5</c:v>
                </c:pt>
                <c:pt idx="6">
                  <c:v>122.9</c:v>
                </c:pt>
                <c:pt idx="7">
                  <c:v>110.9</c:v>
                </c:pt>
                <c:pt idx="8">
                  <c:v>89.4</c:v>
                </c:pt>
                <c:pt idx="9">
                  <c:v>105.7</c:v>
                </c:pt>
                <c:pt idx="10">
                  <c:v>103</c:v>
                </c:pt>
                <c:pt idx="1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27199920"/>
        <c:axId val="-627210256"/>
      </c:barChart>
      <c:catAx>
        <c:axId val="-6271999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627210256"/>
        <c:crossesAt val="100"/>
        <c:auto val="1"/>
        <c:lblAlgn val="ctr"/>
        <c:lblOffset val="20"/>
        <c:noMultiLvlLbl val="0"/>
      </c:catAx>
      <c:valAx>
        <c:axId val="-627210256"/>
        <c:scaling>
          <c:orientation val="minMax"/>
          <c:max val="130"/>
          <c:min val="2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2719992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7209712"/>
        <c:axId val="-735370880"/>
      </c:lineChart>
      <c:catAx>
        <c:axId val="-62720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353708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3537088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2720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35369792"/>
        <c:axId val="-735054096"/>
      </c:lineChart>
      <c:catAx>
        <c:axId val="-73536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350540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350540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3536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BD910-F969-4EF3-BFB0-A5487DA2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2020-05-20T08:58:00Z</dcterms:created>
  <dcterms:modified xsi:type="dcterms:W3CDTF">2020-05-21T07:51:00Z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