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472CCE">
        <w:rPr>
          <w:rFonts w:cs="Arial"/>
          <w:spacing w:val="-2"/>
          <w:szCs w:val="40"/>
        </w:rPr>
        <w:t xml:space="preserve">grudniu </w:t>
      </w:r>
      <w:r w:rsidRPr="00276764">
        <w:rPr>
          <w:rFonts w:cs="Arial"/>
          <w:spacing w:val="-2"/>
          <w:szCs w:val="40"/>
        </w:rPr>
        <w:t>201</w:t>
      </w:r>
      <w:r w:rsidR="009979A1" w:rsidRPr="00276764">
        <w:rPr>
          <w:rFonts w:cs="Arial"/>
          <w:spacing w:val="-2"/>
          <w:szCs w:val="40"/>
        </w:rPr>
        <w:t>9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64774" w:rsidRPr="00264774" w:rsidRDefault="00F97850" w:rsidP="00264774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01B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7%</w:t>
                            </w:r>
                          </w:p>
                          <w:p w:rsidR="00431F5B" w:rsidRPr="007C61E6" w:rsidRDefault="00FF54D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w porównaniu </w:t>
                            </w:r>
                            <w:r w:rsidR="00B8772D">
                              <w:br/>
                            </w:r>
                            <w:r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01B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7%</w:t>
                      </w:r>
                    </w:p>
                    <w:p w:rsidR="00431F5B" w:rsidRPr="007C61E6" w:rsidRDefault="00FF54D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w porównaniu </w:t>
                      </w:r>
                      <w:r w:rsidR="00B8772D">
                        <w:br/>
                      </w:r>
                      <w:r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1849BD">
        <w:t xml:space="preserve"> </w:t>
      </w:r>
      <w:r w:rsidR="009C719E">
        <w:t xml:space="preserve">grudniu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395C6C">
        <w:t>5</w:t>
      </w:r>
      <w:r w:rsidR="00C62998" w:rsidRPr="009815A2">
        <w:t>,</w:t>
      </w:r>
      <w:r w:rsidR="009C719E">
        <w:t>7</w:t>
      </w:r>
      <w:r w:rsidR="00C62998" w:rsidRPr="009815A2">
        <w:t>% (wobec wzrostu o</w:t>
      </w:r>
      <w:r w:rsidR="00511F40" w:rsidRPr="009815A2">
        <w:t> </w:t>
      </w:r>
      <w:r w:rsidR="009C719E">
        <w:t>3</w:t>
      </w:r>
      <w:r w:rsidR="00C62998" w:rsidRPr="009815A2">
        <w:t>,</w:t>
      </w:r>
      <w:r w:rsidR="00395C6C">
        <w:t>9</w:t>
      </w:r>
      <w:r w:rsidR="00C62998" w:rsidRPr="009815A2">
        <w:t>% w</w:t>
      </w:r>
      <w:r w:rsidR="002E533B">
        <w:t xml:space="preserve"> </w:t>
      </w:r>
      <w:r w:rsidR="009C719E">
        <w:t>grudniu</w:t>
      </w:r>
      <w:r w:rsidR="00BF4885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9C719E">
        <w:rPr>
          <w:rFonts w:cs="Arial"/>
          <w:szCs w:val="24"/>
        </w:rPr>
        <w:t xml:space="preserve">listopadem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9C719E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9C719E">
        <w:rPr>
          <w:rFonts w:cs="Arial"/>
          <w:spacing w:val="-10"/>
          <w:szCs w:val="24"/>
        </w:rPr>
        <w:t>14</w:t>
      </w:r>
      <w:r w:rsidR="00017FFE" w:rsidRPr="009815A2">
        <w:rPr>
          <w:rFonts w:cs="Arial"/>
          <w:spacing w:val="-10"/>
          <w:szCs w:val="24"/>
        </w:rPr>
        <w:t>,</w:t>
      </w:r>
      <w:r w:rsidR="009C719E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264774" w:rsidRPr="00D33427" w:rsidRDefault="00264774" w:rsidP="00264774">
      <w:pPr>
        <w:spacing w:before="0" w:after="0"/>
        <w:rPr>
          <w:rFonts w:cs="Arial"/>
          <w:b/>
        </w:rPr>
      </w:pPr>
      <w:r w:rsidRPr="00D33427">
        <w:rPr>
          <w:b/>
        </w:rPr>
        <w:t xml:space="preserve">W okresie </w:t>
      </w:r>
      <w:r w:rsidRPr="00D33427">
        <w:rPr>
          <w:rFonts w:cs="Arial"/>
          <w:b/>
        </w:rPr>
        <w:t>styczeń-grudzień</w:t>
      </w:r>
      <w:r w:rsidR="00D33427" w:rsidRPr="00D33427">
        <w:rPr>
          <w:rStyle w:val="Odwoanieprzypisudolnego"/>
          <w:rFonts w:cs="Arial"/>
          <w:b/>
        </w:rPr>
        <w:footnoteReference w:id="2"/>
      </w:r>
      <w:r w:rsidR="00D33427" w:rsidRPr="00D33427">
        <w:rPr>
          <w:rFonts w:cs="Arial"/>
          <w:b/>
        </w:rPr>
        <w:t xml:space="preserve"> </w:t>
      </w:r>
      <w:r w:rsidRPr="00D33427">
        <w:rPr>
          <w:rFonts w:cs="Arial"/>
          <w:b/>
        </w:rPr>
        <w:t xml:space="preserve">2019 r. wzrost sprzedaży </w:t>
      </w:r>
      <w:r w:rsidRPr="00D33427">
        <w:rPr>
          <w:rFonts w:cs="Arial"/>
          <w:b/>
        </w:rPr>
        <w:br/>
        <w:t xml:space="preserve">detalicznej r/r wyniósł 5,4% (wobec wzrostu o 6,2% </w:t>
      </w:r>
      <w:r w:rsidRPr="00D33427">
        <w:rPr>
          <w:rFonts w:cs="Arial"/>
          <w:b/>
        </w:rPr>
        <w:br/>
        <w:t>w 2018 r.).</w:t>
      </w: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163830</wp:posOffset>
                </wp:positionV>
                <wp:extent cx="1781175" cy="1273175"/>
                <wp:effectExtent l="0" t="0" r="0" b="3175"/>
                <wp:wrapTight wrapText="bothSides">
                  <wp:wrapPolygon edited="0">
                    <wp:start x="693" y="0"/>
                    <wp:lineTo x="693" y="21331"/>
                    <wp:lineTo x="20791" y="21331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7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0409F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grudniu</w:t>
                            </w:r>
                            <w:r w:rsidR="00863A9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0D6FD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większości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9B5F0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E7AB9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 czego 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</w:t>
                            </w:r>
                            <w:r w:rsidR="007E0E92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yższy</w:t>
                            </w:r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grupie „meble, </w:t>
                            </w:r>
                            <w:proofErr w:type="spellStart"/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rtv</w:t>
                            </w:r>
                            <w:proofErr w:type="spellEnd"/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agd</w:t>
                            </w:r>
                            <w:proofErr w:type="spellEnd"/>
                            <w:r w:rsidR="00264774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8" type="#_x0000_t202" style="position:absolute;margin-left:449.05pt;margin-top:12.9pt;width:140.25pt;height:10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0409F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grudniu</w:t>
                      </w:r>
                      <w:r w:rsidR="00863A9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0D6FD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większości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9B5F0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E7AB9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 czego 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</w:t>
                      </w:r>
                      <w:r w:rsidR="007E0E92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yższy</w:t>
                      </w:r>
                      <w:r w:rsidR="00264774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grupie „meble, rtv, agd”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D40147" w:rsidRPr="00D33427" w:rsidRDefault="00E80C30" w:rsidP="00F05462">
      <w:pPr>
        <w:spacing w:before="0" w:after="0"/>
        <w:rPr>
          <w:rFonts w:cs="Arial"/>
        </w:rPr>
      </w:pPr>
      <w:r w:rsidRPr="00D33427">
        <w:rPr>
          <w:rFonts w:cs="Arial"/>
        </w:rPr>
        <w:t>Wśród grup o znaczącym udziale w sprzedaży detalicznej „ogółem</w:t>
      </w:r>
      <w:r w:rsidR="00E00E46" w:rsidRPr="00D33427">
        <w:rPr>
          <w:rFonts w:cs="Arial"/>
        </w:rPr>
        <w:t>”</w:t>
      </w:r>
      <w:r w:rsidR="00C20E37" w:rsidRPr="00D33427">
        <w:rPr>
          <w:rFonts w:cs="Arial"/>
        </w:rPr>
        <w:t xml:space="preserve"> </w:t>
      </w:r>
      <w:r w:rsidR="004C2C0C" w:rsidRPr="00D33427">
        <w:rPr>
          <w:rFonts w:cs="Arial"/>
        </w:rPr>
        <w:t xml:space="preserve">wyższy niż przeciętny wzrost </w:t>
      </w:r>
      <w:r w:rsidRPr="00D33427">
        <w:rPr>
          <w:rFonts w:cs="Arial"/>
        </w:rPr>
        <w:t>w</w:t>
      </w:r>
      <w:r w:rsidR="006C74EF" w:rsidRPr="00D33427">
        <w:rPr>
          <w:rFonts w:cs="Arial"/>
        </w:rPr>
        <w:t xml:space="preserve"> </w:t>
      </w:r>
      <w:r w:rsidR="00771FA0" w:rsidRPr="00D33427">
        <w:rPr>
          <w:rFonts w:cs="Arial"/>
        </w:rPr>
        <w:t>grudniu</w:t>
      </w:r>
      <w:r w:rsidR="004B3E2B" w:rsidRPr="00D33427">
        <w:rPr>
          <w:rFonts w:cs="Arial"/>
        </w:rPr>
        <w:t xml:space="preserve"> </w:t>
      </w:r>
      <w:r w:rsidRPr="00D33427">
        <w:t>201</w:t>
      </w:r>
      <w:r w:rsidR="006546EA" w:rsidRPr="00D33427">
        <w:t>9</w:t>
      </w:r>
      <w:r w:rsidR="00A44540" w:rsidRPr="00D33427">
        <w:t xml:space="preserve"> </w:t>
      </w:r>
      <w:r w:rsidRPr="00D33427">
        <w:t>r</w:t>
      </w:r>
      <w:r w:rsidRPr="00D33427">
        <w:rPr>
          <w:rFonts w:cs="Arial"/>
        </w:rPr>
        <w:t xml:space="preserve">. w porównaniu z analogicznym okresem </w:t>
      </w:r>
      <w:r w:rsidR="0028585A" w:rsidRPr="00D33427">
        <w:rPr>
          <w:rFonts w:cs="Arial"/>
        </w:rPr>
        <w:t>2018</w:t>
      </w:r>
      <w:r w:rsidRPr="00D33427">
        <w:rPr>
          <w:rFonts w:cs="Arial"/>
        </w:rPr>
        <w:t xml:space="preserve"> r</w:t>
      </w:r>
      <w:r w:rsidR="00D04158" w:rsidRPr="00D33427">
        <w:rPr>
          <w:rFonts w:cs="Arial"/>
        </w:rPr>
        <w:t>.</w:t>
      </w:r>
      <w:r w:rsidR="0008767F" w:rsidRPr="00D33427">
        <w:rPr>
          <w:rFonts w:cs="Arial"/>
        </w:rPr>
        <w:t xml:space="preserve"> (w cenach stałych)</w:t>
      </w:r>
      <w:r w:rsidRPr="00D33427">
        <w:rPr>
          <w:rFonts w:cs="Arial"/>
        </w:rPr>
        <w:t xml:space="preserve"> zaobse</w:t>
      </w:r>
      <w:r w:rsidR="00C20A42" w:rsidRPr="00D33427">
        <w:rPr>
          <w:rFonts w:cs="Arial"/>
        </w:rPr>
        <w:t>rwowano</w:t>
      </w:r>
      <w:r w:rsidR="00B20CA9" w:rsidRPr="00D33427">
        <w:rPr>
          <w:rFonts w:cs="Arial"/>
        </w:rPr>
        <w:t xml:space="preserve"> </w:t>
      </w:r>
      <w:r w:rsidR="00262DA0" w:rsidRPr="00D33427">
        <w:rPr>
          <w:rFonts w:cs="Arial"/>
        </w:rPr>
        <w:t>w</w:t>
      </w:r>
      <w:r w:rsidR="00B20CA9" w:rsidRPr="00D33427">
        <w:rPr>
          <w:rFonts w:cs="Arial"/>
        </w:rPr>
        <w:t xml:space="preserve"> </w:t>
      </w:r>
      <w:r w:rsidR="003434AE" w:rsidRPr="00D33427">
        <w:rPr>
          <w:rFonts w:cs="Arial"/>
        </w:rPr>
        <w:t>przedsiębiorstwach</w:t>
      </w:r>
      <w:r w:rsidR="00185DC0" w:rsidRPr="00D33427">
        <w:rPr>
          <w:rFonts w:cs="Arial"/>
        </w:rPr>
        <w:t xml:space="preserve"> prowadzących pozostałą sprzedaż detaliczną w</w:t>
      </w:r>
      <w:r w:rsidR="003221DD" w:rsidRPr="00D33427">
        <w:rPr>
          <w:rFonts w:cs="Arial"/>
        </w:rPr>
        <w:t> </w:t>
      </w:r>
      <w:r w:rsidR="00185DC0" w:rsidRPr="00D33427">
        <w:rPr>
          <w:rFonts w:cs="Arial"/>
        </w:rPr>
        <w:t xml:space="preserve">niewyspecjalizowanych sklepach (o </w:t>
      </w:r>
      <w:r w:rsidR="00F5031E" w:rsidRPr="00D33427">
        <w:rPr>
          <w:rFonts w:cs="Arial"/>
        </w:rPr>
        <w:t>1</w:t>
      </w:r>
      <w:r w:rsidR="00771FA0" w:rsidRPr="00D33427">
        <w:rPr>
          <w:rFonts w:cs="Arial"/>
        </w:rPr>
        <w:t>0</w:t>
      </w:r>
      <w:r w:rsidR="00185DC0" w:rsidRPr="00D33427">
        <w:rPr>
          <w:rFonts w:cs="Arial"/>
        </w:rPr>
        <w:t>,</w:t>
      </w:r>
      <w:r w:rsidR="00F5031E" w:rsidRPr="00D33427">
        <w:rPr>
          <w:rFonts w:cs="Arial"/>
        </w:rPr>
        <w:t>6</w:t>
      </w:r>
      <w:r w:rsidR="00185DC0" w:rsidRPr="00D33427">
        <w:rPr>
          <w:rFonts w:cs="Arial"/>
        </w:rPr>
        <w:t>%</w:t>
      </w:r>
      <w:r w:rsidR="00481568" w:rsidRPr="00D33427">
        <w:rPr>
          <w:rFonts w:cs="Arial"/>
        </w:rPr>
        <w:t xml:space="preserve"> wobec </w:t>
      </w:r>
      <w:r w:rsidR="00C20A42" w:rsidRPr="00D33427">
        <w:rPr>
          <w:rFonts w:cs="Arial"/>
        </w:rPr>
        <w:t>wzrostu</w:t>
      </w:r>
      <w:r w:rsidR="003221DD" w:rsidRPr="00D33427">
        <w:rPr>
          <w:rFonts w:cs="Arial"/>
        </w:rPr>
        <w:t xml:space="preserve"> </w:t>
      </w:r>
      <w:r w:rsidR="00481568" w:rsidRPr="00D33427">
        <w:rPr>
          <w:rFonts w:cs="Arial"/>
        </w:rPr>
        <w:t>o</w:t>
      </w:r>
      <w:r w:rsidR="00DA15BC" w:rsidRPr="00D33427">
        <w:rPr>
          <w:rFonts w:cs="Arial"/>
        </w:rPr>
        <w:t> </w:t>
      </w:r>
      <w:r w:rsidR="00771FA0" w:rsidRPr="00D33427">
        <w:rPr>
          <w:rFonts w:cs="Arial"/>
        </w:rPr>
        <w:t>5</w:t>
      </w:r>
      <w:r w:rsidR="00C57F47" w:rsidRPr="00D33427">
        <w:rPr>
          <w:rFonts w:cs="Arial"/>
        </w:rPr>
        <w:t>,</w:t>
      </w:r>
      <w:r w:rsidR="00771FA0" w:rsidRPr="00D33427">
        <w:rPr>
          <w:rFonts w:cs="Arial"/>
        </w:rPr>
        <w:t>1</w:t>
      </w:r>
      <w:r w:rsidR="00481568" w:rsidRPr="00D33427">
        <w:rPr>
          <w:rFonts w:cs="Arial"/>
        </w:rPr>
        <w:t xml:space="preserve">% </w:t>
      </w:r>
      <w:r w:rsidR="0075448D" w:rsidRPr="00D33427">
        <w:rPr>
          <w:rFonts w:cs="Arial"/>
        </w:rPr>
        <w:t>przed rokiem</w:t>
      </w:r>
      <w:r w:rsidR="00B27DA7" w:rsidRPr="00D33427">
        <w:rPr>
          <w:rFonts w:cs="Arial"/>
        </w:rPr>
        <w:t>)</w:t>
      </w:r>
      <w:r w:rsidR="00550FAF" w:rsidRPr="00D33427">
        <w:rPr>
          <w:rFonts w:cs="Arial"/>
        </w:rPr>
        <w:t xml:space="preserve">. </w:t>
      </w:r>
    </w:p>
    <w:p w:rsidR="00D27840" w:rsidRPr="00D33427" w:rsidRDefault="00D27840" w:rsidP="00F05462">
      <w:pPr>
        <w:spacing w:before="0" w:after="0"/>
        <w:rPr>
          <w:rFonts w:cs="Arial"/>
        </w:rPr>
      </w:pPr>
      <w:r w:rsidRPr="00D33427">
        <w:rPr>
          <w:rFonts w:cs="Arial"/>
        </w:rPr>
        <w:t xml:space="preserve">Spośród grup o niższym udziale w sprzedaży detalicznej „ogółem” największy wzrost </w:t>
      </w:r>
      <w:r w:rsidR="002A55BC" w:rsidRPr="00D33427">
        <w:rPr>
          <w:rFonts w:cs="Arial"/>
        </w:rPr>
        <w:t>odnotowano w</w:t>
      </w:r>
      <w:r w:rsidRPr="00D33427">
        <w:rPr>
          <w:rFonts w:cs="Arial"/>
        </w:rPr>
        <w:t xml:space="preserve"> jednostkach zaklasyfikowanych do </w:t>
      </w:r>
      <w:r w:rsidR="00C943D6" w:rsidRPr="00D33427">
        <w:rPr>
          <w:rFonts w:cs="Arial"/>
        </w:rPr>
        <w:t>grup</w:t>
      </w:r>
      <w:r w:rsidRPr="00D33427">
        <w:rPr>
          <w:rFonts w:cs="Arial"/>
        </w:rPr>
        <w:t>y</w:t>
      </w:r>
      <w:r w:rsidR="0017515F" w:rsidRPr="00D33427">
        <w:rPr>
          <w:rFonts w:cs="Arial"/>
        </w:rPr>
        <w:t>:</w:t>
      </w:r>
      <w:r w:rsidR="00F63132" w:rsidRPr="00D33427">
        <w:rPr>
          <w:rFonts w:cs="Arial"/>
        </w:rPr>
        <w:t xml:space="preserve"> </w:t>
      </w:r>
      <w:r w:rsidR="00207163" w:rsidRPr="00D33427">
        <w:rPr>
          <w:rFonts w:cs="Arial"/>
        </w:rPr>
        <w:t>„</w:t>
      </w:r>
      <w:r w:rsidR="00695A26" w:rsidRPr="00D33427">
        <w:rPr>
          <w:rFonts w:cs="Arial"/>
        </w:rPr>
        <w:t xml:space="preserve">meble, </w:t>
      </w:r>
      <w:proofErr w:type="spellStart"/>
      <w:r w:rsidR="00695A26" w:rsidRPr="00D33427">
        <w:rPr>
          <w:rFonts w:cs="Arial"/>
        </w:rPr>
        <w:t>rtv</w:t>
      </w:r>
      <w:proofErr w:type="spellEnd"/>
      <w:r w:rsidR="00695A26" w:rsidRPr="00D33427">
        <w:rPr>
          <w:rFonts w:cs="Arial"/>
        </w:rPr>
        <w:t xml:space="preserve">, </w:t>
      </w:r>
      <w:proofErr w:type="spellStart"/>
      <w:r w:rsidR="00695A26" w:rsidRPr="00D33427">
        <w:rPr>
          <w:rFonts w:cs="Arial"/>
        </w:rPr>
        <w:t>agd</w:t>
      </w:r>
      <w:proofErr w:type="spellEnd"/>
      <w:r w:rsidR="00207163" w:rsidRPr="00D33427">
        <w:rPr>
          <w:rFonts w:cs="Arial"/>
        </w:rPr>
        <w:t xml:space="preserve">” </w:t>
      </w:r>
      <w:r w:rsidR="00F63132" w:rsidRPr="00D33427">
        <w:rPr>
          <w:rFonts w:cs="Arial"/>
        </w:rPr>
        <w:t>(o</w:t>
      </w:r>
      <w:r w:rsidR="00431624" w:rsidRPr="00D33427">
        <w:rPr>
          <w:rFonts w:cs="Arial"/>
        </w:rPr>
        <w:t> </w:t>
      </w:r>
      <w:r w:rsidR="00695A26" w:rsidRPr="00D33427">
        <w:rPr>
          <w:rFonts w:cs="Arial"/>
        </w:rPr>
        <w:t>1</w:t>
      </w:r>
      <w:r w:rsidR="00771FA0" w:rsidRPr="00D33427">
        <w:rPr>
          <w:rFonts w:cs="Arial"/>
        </w:rPr>
        <w:t>3</w:t>
      </w:r>
      <w:r w:rsidR="00F63132" w:rsidRPr="00D33427">
        <w:rPr>
          <w:rFonts w:cs="Arial"/>
        </w:rPr>
        <w:t>,</w:t>
      </w:r>
      <w:r w:rsidR="00771FA0" w:rsidRPr="00D33427">
        <w:rPr>
          <w:rFonts w:cs="Arial"/>
        </w:rPr>
        <w:t>6</w:t>
      </w:r>
      <w:r w:rsidR="007B10DE" w:rsidRPr="00D33427">
        <w:rPr>
          <w:rFonts w:cs="Arial"/>
        </w:rPr>
        <w:t>%)</w:t>
      </w:r>
      <w:r w:rsidRPr="00D33427">
        <w:rPr>
          <w:rFonts w:cs="Arial"/>
        </w:rPr>
        <w:t>.</w:t>
      </w:r>
    </w:p>
    <w:p w:rsidR="0060587D" w:rsidRPr="00D33427" w:rsidRDefault="00C30605" w:rsidP="00F05462">
      <w:pPr>
        <w:spacing w:before="0" w:after="0"/>
        <w:rPr>
          <w:rFonts w:cs="Arial"/>
        </w:rPr>
      </w:pPr>
      <w:r w:rsidRPr="00D33427">
        <w:rPr>
          <w:rFonts w:cs="Arial"/>
        </w:rPr>
        <w:t>Spadek sprzedaży</w:t>
      </w:r>
      <w:r w:rsidR="00D33427" w:rsidRPr="00D33427">
        <w:rPr>
          <w:rFonts w:cs="Arial"/>
        </w:rPr>
        <w:t xml:space="preserve"> </w:t>
      </w:r>
      <w:r w:rsidR="00B22041" w:rsidRPr="00D33427">
        <w:rPr>
          <w:rFonts w:cs="Arial"/>
        </w:rPr>
        <w:t xml:space="preserve">wykazały </w:t>
      </w:r>
      <w:r w:rsidR="000D6FD0" w:rsidRPr="00D33427">
        <w:rPr>
          <w:rFonts w:cs="Arial"/>
        </w:rPr>
        <w:t xml:space="preserve"> natomiast</w:t>
      </w:r>
      <w:r w:rsidRPr="00D33427">
        <w:rPr>
          <w:rFonts w:cs="Arial"/>
        </w:rPr>
        <w:t xml:space="preserve"> przedsiębiorstwa </w:t>
      </w:r>
      <w:r w:rsidR="00322E4F" w:rsidRPr="00D33427">
        <w:rPr>
          <w:rFonts w:cs="Arial"/>
        </w:rPr>
        <w:t>handlując</w:t>
      </w:r>
      <w:r w:rsidR="00B22041" w:rsidRPr="00D33427">
        <w:rPr>
          <w:rFonts w:cs="Arial"/>
        </w:rPr>
        <w:t>e</w:t>
      </w:r>
      <w:r w:rsidR="00322E4F" w:rsidRPr="00D33427">
        <w:rPr>
          <w:rFonts w:cs="Arial"/>
        </w:rPr>
        <w:t xml:space="preserve"> żywnością, napojami</w:t>
      </w:r>
      <w:r w:rsidR="00316781" w:rsidRPr="00D33427">
        <w:rPr>
          <w:rFonts w:cs="Arial"/>
        </w:rPr>
        <w:t xml:space="preserve"> i</w:t>
      </w:r>
      <w:r w:rsidR="006F58E5">
        <w:rPr>
          <w:rFonts w:cs="Arial"/>
        </w:rPr>
        <w:t> </w:t>
      </w:r>
      <w:bookmarkStart w:id="0" w:name="_GoBack"/>
      <w:bookmarkEnd w:id="0"/>
      <w:r w:rsidR="00316781" w:rsidRPr="00D33427">
        <w:rPr>
          <w:rFonts w:cs="Arial"/>
        </w:rPr>
        <w:t>wyrob</w:t>
      </w:r>
      <w:r w:rsidR="00322E4F" w:rsidRPr="00D33427">
        <w:rPr>
          <w:rFonts w:cs="Arial"/>
        </w:rPr>
        <w:t>ami tytoniowymi</w:t>
      </w:r>
      <w:r w:rsidR="00C43613" w:rsidRPr="00D33427">
        <w:rPr>
          <w:rFonts w:cs="Arial"/>
        </w:rPr>
        <w:t xml:space="preserve"> </w:t>
      </w:r>
      <w:r w:rsidR="00316781" w:rsidRPr="00D33427">
        <w:rPr>
          <w:rFonts w:cs="Arial"/>
        </w:rPr>
        <w:t xml:space="preserve"> (o 0,</w:t>
      </w:r>
      <w:r w:rsidR="00502955" w:rsidRPr="00D33427">
        <w:rPr>
          <w:rFonts w:cs="Arial"/>
        </w:rPr>
        <w:t>2</w:t>
      </w:r>
      <w:r w:rsidR="00316781" w:rsidRPr="00D33427">
        <w:rPr>
          <w:rFonts w:cs="Arial"/>
        </w:rPr>
        <w:t>%)</w:t>
      </w:r>
      <w:r w:rsidRPr="00D33427">
        <w:rPr>
          <w:rFonts w:cs="Arial"/>
        </w:rPr>
        <w:t>.</w:t>
      </w:r>
    </w:p>
    <w:p w:rsidR="006669BE" w:rsidRPr="009815A2" w:rsidRDefault="006669BE" w:rsidP="00F05462">
      <w:pPr>
        <w:spacing w:before="0" w:after="0"/>
        <w:rPr>
          <w:rFonts w:cs="Arial"/>
        </w:rPr>
      </w:pPr>
    </w:p>
    <w:p w:rsidR="00DA1C69" w:rsidRDefault="00B25EE8" w:rsidP="00D97A4D">
      <w:pPr>
        <w:pStyle w:val="tytuwykresu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D33427" w:rsidRDefault="00D33427" w:rsidP="00D97A4D">
      <w:pPr>
        <w:pStyle w:val="tytuwykresu"/>
        <w:rPr>
          <w:shd w:val="clear" w:color="auto" w:fill="FFFFFF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69504" behindDoc="0" locked="0" layoutInCell="1" allowOverlap="1" wp14:anchorId="72957322" wp14:editId="6A6EE6BF">
            <wp:simplePos x="0" y="0"/>
            <wp:positionH relativeFrom="margin">
              <wp:posOffset>0</wp:posOffset>
            </wp:positionH>
            <wp:positionV relativeFrom="margin">
              <wp:posOffset>4481830</wp:posOffset>
            </wp:positionV>
            <wp:extent cx="5048250" cy="2606040"/>
            <wp:effectExtent l="0" t="0" r="0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D33427" w:rsidRPr="00F05462" w:rsidRDefault="00D33427" w:rsidP="00D97A4D">
      <w:pPr>
        <w:pStyle w:val="tytuwykresu"/>
        <w:rPr>
          <w:lang w:eastAsia="pl-PL"/>
        </w:rPr>
      </w:pPr>
    </w:p>
    <w:p w:rsidR="003F3D37" w:rsidRDefault="003F3D37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232FC5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A17D78">
              <w:rPr>
                <w:rFonts w:cs="Arial"/>
                <w:color w:val="000000"/>
                <w:sz w:val="16"/>
                <w:szCs w:val="16"/>
              </w:rPr>
              <w:t>I</w:t>
            </w:r>
            <w:r w:rsidR="00920D5E">
              <w:rPr>
                <w:rFonts w:cs="Arial"/>
                <w:color w:val="000000"/>
                <w:sz w:val="16"/>
                <w:szCs w:val="16"/>
              </w:rPr>
              <w:t>I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232FC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232FC5">
              <w:rPr>
                <w:rFonts w:cs="Arial"/>
                <w:color w:val="000000"/>
                <w:sz w:val="16"/>
                <w:szCs w:val="16"/>
              </w:rPr>
              <w:t>X</w:t>
            </w:r>
            <w:r w:rsidR="00A17D78">
              <w:rPr>
                <w:rFonts w:cs="Arial"/>
                <w:color w:val="000000"/>
                <w:sz w:val="16"/>
                <w:szCs w:val="16"/>
              </w:rPr>
              <w:t>I</w:t>
            </w:r>
            <w:r w:rsidR="00920D5E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1560C4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570F36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920D5E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232FC5" w:rsidP="00920D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A17D78">
              <w:rPr>
                <w:rFonts w:cs="Arial"/>
                <w:sz w:val="16"/>
                <w:szCs w:val="16"/>
              </w:rPr>
              <w:t>I</w:t>
            </w:r>
            <w:r w:rsidR="00920D5E">
              <w:rPr>
                <w:rFonts w:cs="Arial"/>
                <w:sz w:val="16"/>
                <w:szCs w:val="16"/>
              </w:rPr>
              <w:t>I</w:t>
            </w:r>
            <w:r w:rsidR="001533F2">
              <w:rPr>
                <w:rFonts w:cs="Arial"/>
                <w:sz w:val="16"/>
                <w:szCs w:val="16"/>
              </w:rPr>
              <w:t xml:space="preserve"> </w:t>
            </w:r>
            <w:r w:rsidR="00C613BD" w:rsidRPr="00275EF3">
              <w:rPr>
                <w:rFonts w:cs="Arial"/>
                <w:sz w:val="16"/>
                <w:szCs w:val="16"/>
              </w:rPr>
              <w:t>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570F36" w:rsidRDefault="00C613BD" w:rsidP="00232FC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I-</w:t>
            </w:r>
            <w:r w:rsidR="00232FC5" w:rsidRPr="00570F36">
              <w:rPr>
                <w:rFonts w:cs="Arial"/>
                <w:sz w:val="16"/>
                <w:szCs w:val="16"/>
              </w:rPr>
              <w:t>X</w:t>
            </w:r>
            <w:r w:rsidR="00A17D78">
              <w:rPr>
                <w:rFonts w:cs="Arial"/>
                <w:sz w:val="16"/>
                <w:szCs w:val="16"/>
              </w:rPr>
              <w:t>I</w:t>
            </w:r>
            <w:r w:rsidR="00920D5E">
              <w:rPr>
                <w:rFonts w:cs="Arial"/>
                <w:sz w:val="16"/>
                <w:szCs w:val="16"/>
              </w:rPr>
              <w:t>I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965F65" w:rsidRPr="00570F36">
              <w:rPr>
                <w:rFonts w:cs="Arial"/>
                <w:sz w:val="16"/>
                <w:szCs w:val="16"/>
              </w:rPr>
              <w:t>8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105,4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F064C3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AE51C8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C428D6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F064C3" w:rsidP="00C6386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632060" w:rsidRDefault="00632060" w:rsidP="00C613BD">
      <w:pPr>
        <w:rPr>
          <w:lang w:eastAsia="pl-PL"/>
        </w:rPr>
      </w:pPr>
    </w:p>
    <w:p w:rsidR="00C613BD" w:rsidRDefault="00C613BD" w:rsidP="00C613BD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</w:t>
      </w:r>
      <w:r w:rsidR="00510BC5" w:rsidRPr="006E6D74">
        <w:rPr>
          <w:rFonts w:cs="Arial"/>
          <w:szCs w:val="18"/>
        </w:rPr>
        <w:t>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016E07" w:rsidRPr="001F551D" w:rsidTr="007F557D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16E07" w:rsidRPr="001F551D" w:rsidTr="007F557D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016E07" w:rsidRPr="001F551D" w:rsidRDefault="00016E07" w:rsidP="007F557D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16E07" w:rsidRPr="001F551D" w:rsidRDefault="00CC676D" w:rsidP="007F55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XII</w:t>
            </w:r>
            <w:r w:rsidR="00016E07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016E0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16E07" w:rsidRPr="001F551D" w:rsidRDefault="00016E07" w:rsidP="00CC676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 w:rsidR="00CC676D">
              <w:rPr>
                <w:rFonts w:cs="Arial"/>
                <w:color w:val="000000"/>
                <w:sz w:val="16"/>
                <w:szCs w:val="16"/>
              </w:rPr>
              <w:t xml:space="preserve">XII 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16E07" w:rsidRPr="001F551D" w:rsidTr="007F557D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16E07" w:rsidRPr="001F551D" w:rsidRDefault="00016E07" w:rsidP="007F557D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16E07" w:rsidRPr="001F551D" w:rsidRDefault="00CC676D" w:rsidP="007F55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XI</w:t>
            </w:r>
            <w:r w:rsidR="00016E07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016E07">
              <w:rPr>
                <w:rFonts w:cs="Arial"/>
                <w:color w:val="000000"/>
                <w:sz w:val="16"/>
                <w:szCs w:val="16"/>
              </w:rPr>
              <w:t>9</w:t>
            </w:r>
            <w:r w:rsidR="00016E07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16E07" w:rsidRPr="001F551D" w:rsidRDefault="00CC676D" w:rsidP="007F55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XII</w:t>
            </w:r>
            <w:r w:rsidR="00016E07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016E07">
              <w:rPr>
                <w:rFonts w:cs="Arial"/>
                <w:color w:val="000000"/>
                <w:sz w:val="16"/>
                <w:szCs w:val="16"/>
              </w:rPr>
              <w:t>8</w:t>
            </w:r>
            <w:r w:rsidR="00016E07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16E07" w:rsidRPr="001F551D" w:rsidRDefault="00016E07" w:rsidP="00CC676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CC676D">
              <w:rPr>
                <w:rFonts w:cs="Arial"/>
                <w:color w:val="000000"/>
                <w:sz w:val="16"/>
                <w:szCs w:val="16"/>
              </w:rPr>
              <w:t>XII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16E07" w:rsidRPr="001F551D" w:rsidRDefault="00016E07" w:rsidP="007F55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016E07" w:rsidRPr="001F551D" w:rsidTr="007F557D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16E07" w:rsidRPr="001F551D" w:rsidTr="007F557D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016E07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016E07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016E07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16E07" w:rsidRPr="001F551D" w:rsidTr="007F557D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</w:t>
            </w:r>
          </w:p>
        </w:tc>
      </w:tr>
      <w:tr w:rsidR="00016E07" w:rsidRPr="001F551D" w:rsidTr="007F557D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</w:tr>
      <w:tr w:rsidR="00016E07" w:rsidRPr="001F551D" w:rsidTr="007F557D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</w:tr>
      <w:tr w:rsidR="00016E07" w:rsidRPr="001F551D" w:rsidTr="007F557D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</w:tr>
      <w:tr w:rsidR="00016E07" w:rsidRPr="001F551D" w:rsidTr="007F557D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016E07" w:rsidRPr="001F551D" w:rsidTr="007F557D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</w:tr>
      <w:tr w:rsidR="00016E07" w:rsidRPr="001F551D" w:rsidTr="007F557D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8,9</w:t>
            </w:r>
          </w:p>
        </w:tc>
      </w:tr>
      <w:tr w:rsidR="00016E07" w:rsidRPr="001F551D" w:rsidTr="007F557D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</w:tr>
      <w:tr w:rsidR="00016E07" w:rsidRPr="001F551D" w:rsidTr="007F557D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16E07" w:rsidRPr="001F551D" w:rsidRDefault="00016E07" w:rsidP="007F557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16E07" w:rsidRPr="00F156AE" w:rsidRDefault="00120FE1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16E07" w:rsidRPr="00F156AE" w:rsidRDefault="005576C6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16E07" w:rsidRPr="00F156AE" w:rsidRDefault="00245FC2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16E07" w:rsidRPr="001F551D" w:rsidRDefault="0028645F" w:rsidP="007F557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9,5</w:t>
            </w:r>
          </w:p>
        </w:tc>
      </w:tr>
    </w:tbl>
    <w:p w:rsidR="00016E07" w:rsidRDefault="00016E07" w:rsidP="00C613BD">
      <w:pPr>
        <w:pStyle w:val="tytuwykresu"/>
        <w:rPr>
          <w:rFonts w:cs="Arial"/>
          <w:szCs w:val="18"/>
        </w:rPr>
      </w:pPr>
    </w:p>
    <w:p w:rsidR="00016E07" w:rsidRDefault="00016E07" w:rsidP="00C613BD">
      <w:pPr>
        <w:pStyle w:val="tytuwykresu"/>
        <w:rPr>
          <w:rFonts w:cs="Arial"/>
          <w:szCs w:val="18"/>
        </w:rPr>
      </w:pPr>
    </w:p>
    <w:p w:rsidR="00016E07" w:rsidRDefault="00016E07" w:rsidP="00C613BD">
      <w:pPr>
        <w:pStyle w:val="tytuwykresu"/>
        <w:rPr>
          <w:rFonts w:cs="Arial"/>
          <w:szCs w:val="18"/>
        </w:rPr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C1275F">
        <w:rPr>
          <w:shd w:val="clear" w:color="auto" w:fill="FFFFFF"/>
        </w:rPr>
        <w:t>grudniu</w:t>
      </w:r>
      <w:r w:rsidR="00CA5FF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2B79B0" w:rsidRDefault="002B79B0" w:rsidP="00AC09F0">
      <w:pPr>
        <w:pStyle w:val="tytuwykresu"/>
        <w:rPr>
          <w:rFonts w:cs="Arial"/>
          <w:color w:val="002060"/>
          <w:szCs w:val="19"/>
        </w:rPr>
      </w:pPr>
    </w:p>
    <w:p w:rsidR="00C20E37" w:rsidRPr="00964F10" w:rsidRDefault="002B79B0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125438</wp:posOffset>
                </wp:positionH>
                <wp:positionV relativeFrom="paragraph">
                  <wp:posOffset>234638</wp:posOffset>
                </wp:positionV>
                <wp:extent cx="1768475" cy="931125"/>
                <wp:effectExtent l="0" t="0" r="0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93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2B79B0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304E25" w:rsidRPr="002B79B0">
                              <w:rPr>
                                <w:b w:val="0"/>
                                <w:color w:val="001D77"/>
                              </w:rPr>
                              <w:t>grudniu</w:t>
                            </w:r>
                            <w:r w:rsidR="00DE0F10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2B79B0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2B79B0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304E25" w:rsidRPr="002B79B0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084858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2B79B0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2B79B0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2B79B0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2B79B0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304E25" w:rsidRPr="002B79B0">
                              <w:rPr>
                                <w:b w:val="0"/>
                                <w:color w:val="001D77"/>
                              </w:rPr>
                              <w:t>0</w:t>
                            </w:r>
                            <w:r w:rsidR="006B2185" w:rsidRPr="002B79B0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304E25" w:rsidRPr="002B79B0">
                              <w:rPr>
                                <w:b w:val="0"/>
                                <w:color w:val="001D77"/>
                              </w:rPr>
                              <w:t>8</w:t>
                            </w:r>
                            <w:r w:rsidR="00CB72D2" w:rsidRPr="002B79B0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2B79B0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2B79B0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304E25" w:rsidRPr="002B79B0">
                              <w:rPr>
                                <w:b w:val="0"/>
                                <w:color w:val="001D77"/>
                              </w:rPr>
                              <w:t>listopadem</w:t>
                            </w:r>
                            <w:r w:rsidR="00084858" w:rsidRPr="002B79B0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BB248D" w:rsidRPr="002B79B0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DB5643" w:rsidRPr="002B79B0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="00BB248D" w:rsidRPr="002B79B0">
                              <w:rPr>
                                <w:b w:val="0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9.9pt;margin-top:18.5pt;width:139.25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xvugIAAME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" filled="f" stroked="f">
                <v:textbox>
                  <w:txbxContent>
                    <w:p w:rsidR="00431F5B" w:rsidRPr="002B79B0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304E25" w:rsidRPr="002B79B0">
                        <w:rPr>
                          <w:b w:val="0"/>
                          <w:color w:val="001D77"/>
                        </w:rPr>
                        <w:t>grudniu</w:t>
                      </w:r>
                      <w:r w:rsidR="00DE0F10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2B79B0">
                        <w:rPr>
                          <w:b w:val="0"/>
                          <w:color w:val="001D77"/>
                        </w:rPr>
                        <w:t>9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2B79B0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304E25" w:rsidRPr="002B79B0">
                        <w:rPr>
                          <w:b w:val="0"/>
                          <w:color w:val="001D77"/>
                        </w:rPr>
                        <w:t>spadek</w:t>
                      </w:r>
                      <w:r w:rsidR="00084858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Pr="002B79B0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2B79B0">
                        <w:rPr>
                          <w:b w:val="0"/>
                          <w:color w:val="001D77"/>
                        </w:rPr>
                        <w:t>y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2B79B0">
                        <w:rPr>
                          <w:b w:val="0"/>
                          <w:color w:val="001D77"/>
                        </w:rPr>
                        <w:t>ej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2B79B0">
                        <w:rPr>
                          <w:b w:val="0"/>
                          <w:color w:val="001D77"/>
                        </w:rPr>
                        <w:t>ej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2B79B0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304E25" w:rsidRPr="002B79B0">
                        <w:rPr>
                          <w:b w:val="0"/>
                          <w:color w:val="001D77"/>
                        </w:rPr>
                        <w:t>0</w:t>
                      </w:r>
                      <w:r w:rsidR="006B2185" w:rsidRPr="002B79B0">
                        <w:rPr>
                          <w:b w:val="0"/>
                          <w:color w:val="001D77"/>
                        </w:rPr>
                        <w:t>,</w:t>
                      </w:r>
                      <w:r w:rsidR="00304E25" w:rsidRPr="002B79B0">
                        <w:rPr>
                          <w:b w:val="0"/>
                          <w:color w:val="001D77"/>
                        </w:rPr>
                        <w:t>8</w:t>
                      </w:r>
                      <w:r w:rsidR="00CB72D2" w:rsidRPr="002B79B0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2B79B0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2B79B0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304E25" w:rsidRPr="002B79B0">
                        <w:rPr>
                          <w:b w:val="0"/>
                          <w:color w:val="001D77"/>
                        </w:rPr>
                        <w:t>listopadem</w:t>
                      </w:r>
                      <w:r w:rsidR="00084858" w:rsidRPr="002B79B0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BB248D" w:rsidRPr="002B79B0">
                        <w:rPr>
                          <w:b w:val="0"/>
                          <w:color w:val="001D77"/>
                        </w:rPr>
                        <w:t>201</w:t>
                      </w:r>
                      <w:r w:rsidR="00DB5643" w:rsidRPr="002B79B0">
                        <w:rPr>
                          <w:b w:val="0"/>
                          <w:color w:val="001D77"/>
                        </w:rPr>
                        <w:t>9</w:t>
                      </w:r>
                      <w:r w:rsidR="00BB248D" w:rsidRPr="002B79B0">
                        <w:rPr>
                          <w:b w:val="0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4D1992" w:rsidRDefault="000144A9" w:rsidP="00915F9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6929E4">
        <w:rPr>
          <w:rFonts w:cs="Arial"/>
          <w:b w:val="0"/>
          <w:sz w:val="19"/>
          <w:szCs w:val="19"/>
        </w:rPr>
        <w:t>grudniu</w:t>
      </w:r>
      <w:r w:rsidR="0058328C" w:rsidRPr="004D1992">
        <w:rPr>
          <w:rFonts w:cs="Arial"/>
          <w:b w:val="0"/>
          <w:sz w:val="19"/>
          <w:szCs w:val="19"/>
        </w:rPr>
        <w:t xml:space="preserve"> </w:t>
      </w:r>
      <w:r w:rsidR="00C45C70" w:rsidRPr="004D1992">
        <w:rPr>
          <w:rFonts w:cs="Arial"/>
          <w:b w:val="0"/>
          <w:sz w:val="19"/>
          <w:szCs w:val="19"/>
        </w:rPr>
        <w:t>201</w:t>
      </w:r>
      <w:r w:rsidR="000A425C" w:rsidRPr="004D1992">
        <w:rPr>
          <w:rFonts w:cs="Arial"/>
          <w:b w:val="0"/>
          <w:sz w:val="19"/>
          <w:szCs w:val="19"/>
        </w:rPr>
        <w:t>9</w:t>
      </w:r>
      <w:r w:rsidR="00C45C70" w:rsidRPr="004D1992">
        <w:rPr>
          <w:rFonts w:cs="Arial"/>
          <w:b w:val="0"/>
          <w:sz w:val="19"/>
          <w:szCs w:val="19"/>
        </w:rPr>
        <w:t xml:space="preserve"> r</w:t>
      </w:r>
      <w:r w:rsidRPr="004D1992">
        <w:rPr>
          <w:rFonts w:cs="Arial"/>
          <w:b w:val="0"/>
          <w:sz w:val="19"/>
          <w:szCs w:val="19"/>
        </w:rPr>
        <w:t xml:space="preserve">. </w:t>
      </w:r>
      <w:r w:rsidR="00F54764" w:rsidRPr="004D1992">
        <w:rPr>
          <w:rFonts w:cs="Arial"/>
          <w:b w:val="0"/>
          <w:sz w:val="19"/>
          <w:szCs w:val="19"/>
        </w:rPr>
        <w:t xml:space="preserve">była o </w:t>
      </w:r>
      <w:r w:rsidR="006929E4">
        <w:rPr>
          <w:rFonts w:cs="Arial"/>
          <w:b w:val="0"/>
          <w:sz w:val="19"/>
          <w:szCs w:val="19"/>
        </w:rPr>
        <w:t>0</w:t>
      </w:r>
      <w:r w:rsidR="004478A5" w:rsidRPr="004D1992">
        <w:rPr>
          <w:rFonts w:cs="Arial"/>
          <w:b w:val="0"/>
          <w:sz w:val="19"/>
          <w:szCs w:val="19"/>
        </w:rPr>
        <w:t>,</w:t>
      </w:r>
      <w:r w:rsidR="006929E4">
        <w:rPr>
          <w:rFonts w:cs="Arial"/>
          <w:b w:val="0"/>
          <w:sz w:val="19"/>
          <w:szCs w:val="19"/>
        </w:rPr>
        <w:t>8</w:t>
      </w:r>
      <w:r w:rsidR="00F54764" w:rsidRPr="004D1992">
        <w:rPr>
          <w:rFonts w:cs="Arial"/>
          <w:b w:val="0"/>
          <w:sz w:val="19"/>
          <w:szCs w:val="19"/>
        </w:rPr>
        <w:t xml:space="preserve">% </w:t>
      </w:r>
      <w:r w:rsidR="006929E4">
        <w:rPr>
          <w:rFonts w:cs="Arial"/>
          <w:b w:val="0"/>
          <w:sz w:val="19"/>
          <w:szCs w:val="19"/>
        </w:rPr>
        <w:t>ni</w:t>
      </w:r>
      <w:r w:rsidR="0040584E">
        <w:rPr>
          <w:rFonts w:cs="Arial"/>
          <w:b w:val="0"/>
          <w:sz w:val="19"/>
          <w:szCs w:val="19"/>
        </w:rPr>
        <w:t xml:space="preserve">ższa </w:t>
      </w:r>
      <w:r w:rsidR="00F54764" w:rsidRPr="004D1992">
        <w:rPr>
          <w:rFonts w:cs="Arial"/>
          <w:b w:val="0"/>
          <w:sz w:val="19"/>
          <w:szCs w:val="19"/>
        </w:rPr>
        <w:t xml:space="preserve">w porównaniu z </w:t>
      </w:r>
      <w:r w:rsidR="006929E4">
        <w:rPr>
          <w:rFonts w:cs="Arial"/>
          <w:b w:val="0"/>
          <w:sz w:val="19"/>
          <w:szCs w:val="19"/>
        </w:rPr>
        <w:t>listopadem</w:t>
      </w:r>
      <w:r w:rsidR="008B558F">
        <w:rPr>
          <w:rFonts w:cs="Arial"/>
          <w:b w:val="0"/>
          <w:sz w:val="19"/>
          <w:szCs w:val="19"/>
        </w:rPr>
        <w:t xml:space="preserve"> </w:t>
      </w:r>
      <w:r w:rsidR="00A41EF1" w:rsidRPr="002B79B0">
        <w:rPr>
          <w:rFonts w:cs="Arial"/>
          <w:b w:val="0"/>
          <w:sz w:val="19"/>
          <w:szCs w:val="19"/>
        </w:rPr>
        <w:t>201</w:t>
      </w:r>
      <w:r w:rsidR="00DB5643" w:rsidRPr="002B79B0">
        <w:rPr>
          <w:rFonts w:cs="Arial"/>
          <w:b w:val="0"/>
          <w:sz w:val="19"/>
          <w:szCs w:val="19"/>
        </w:rPr>
        <w:t>9</w:t>
      </w:r>
      <w:r w:rsidR="00A41EF1" w:rsidRPr="002B79B0">
        <w:rPr>
          <w:rFonts w:cs="Arial"/>
          <w:b w:val="0"/>
          <w:sz w:val="19"/>
          <w:szCs w:val="19"/>
        </w:rPr>
        <w:t xml:space="preserve"> r.</w:t>
      </w:r>
    </w:p>
    <w:p w:rsidR="00AC09F0" w:rsidRDefault="00AC09F0" w:rsidP="000144A9">
      <w:pPr>
        <w:pStyle w:val="tytuwykresu"/>
        <w:spacing w:before="0" w:after="0"/>
        <w:rPr>
          <w:rFonts w:cs="Arial"/>
          <w:b w:val="0"/>
          <w:sz w:val="28"/>
          <w:szCs w:val="28"/>
        </w:rPr>
      </w:pPr>
    </w:p>
    <w:p w:rsidR="00915F93" w:rsidRPr="00915F93" w:rsidRDefault="00915F93" w:rsidP="000144A9">
      <w:pPr>
        <w:pStyle w:val="tytuwykresu"/>
        <w:spacing w:before="0" w:after="0"/>
        <w:rPr>
          <w:rFonts w:cs="Arial"/>
          <w:b w:val="0"/>
          <w:sz w:val="28"/>
          <w:szCs w:val="28"/>
        </w:rPr>
      </w:pPr>
    </w:p>
    <w:p w:rsidR="00AC09F0" w:rsidRDefault="00AC09F0" w:rsidP="00915F93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="005C3677"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przeciętna miesięczna 2015=100</w:t>
      </w:r>
    </w:p>
    <w:p w:rsidR="00AC09F0" w:rsidRDefault="00AC09F0" w:rsidP="00915F93">
      <w:pPr>
        <w:pStyle w:val="tytuwykresu"/>
        <w:rPr>
          <w:noProof/>
          <w:color w:val="339D68"/>
          <w:lang w:eastAsia="pl-PL"/>
        </w:rPr>
      </w:pPr>
    </w:p>
    <w:p w:rsidR="00915F93" w:rsidRDefault="00915F93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71552" behindDoc="0" locked="0" layoutInCell="1" allowOverlap="1" wp14:anchorId="3492349D" wp14:editId="67F93D9B">
            <wp:simplePos x="0" y="0"/>
            <wp:positionH relativeFrom="margin">
              <wp:posOffset>0</wp:posOffset>
            </wp:positionH>
            <wp:positionV relativeFrom="margin">
              <wp:posOffset>5289550</wp:posOffset>
            </wp:positionV>
            <wp:extent cx="5122545" cy="2691130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6F58E5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p w:rsidR="00431F5B" w:rsidRPr="008A7446" w:rsidRDefault="00E85CB1" w:rsidP="00AB6D25">
                      <w:pPr>
                        <w:rPr>
                          <w:color w:val="001D77"/>
                        </w:rPr>
                      </w:pP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begin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instrText>HYPERLINK "https://stat.gov.pl/obszary-tematyczne/ceny-handel/handel/rynek-wewnetrzny-w-2018-roku,7,25.html"</w:instrTex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separate"/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Rynek wewnęt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r</w:t>
                      </w:r>
                      <w:r w:rsidR="00451B46">
                        <w:rPr>
                          <w:rStyle w:val="Hipercze"/>
                          <w:rFonts w:cstheme="minorBidi"/>
                          <w:color w:val="001D77"/>
                        </w:rPr>
                        <w:t>zny w 2018 r.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</w:rPr>
                        <w:fldChar w:fldCharType="end"/>
                      </w:r>
                    </w:p>
                    <w:bookmarkEnd w:id="1"/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30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8F" w:rsidRDefault="00DE508F" w:rsidP="000662E2">
      <w:pPr>
        <w:spacing w:after="0" w:line="240" w:lineRule="auto"/>
      </w:pPr>
      <w:r>
        <w:separator/>
      </w:r>
    </w:p>
  </w:endnote>
  <w:endnote w:type="continuationSeparator" w:id="0">
    <w:p w:rsidR="00DE508F" w:rsidRDefault="00DE50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F5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F5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8F" w:rsidRDefault="00DE508F" w:rsidP="000662E2">
      <w:pPr>
        <w:spacing w:after="0" w:line="240" w:lineRule="auto"/>
      </w:pPr>
      <w:r>
        <w:separator/>
      </w:r>
    </w:p>
  </w:footnote>
  <w:footnote w:type="continuationSeparator" w:id="0">
    <w:p w:rsidR="00DE508F" w:rsidRDefault="00DE508F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D33427" w:rsidRPr="00A233D9" w:rsidRDefault="00D33427" w:rsidP="00D3342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pt;height:123.2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3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E07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3EC4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B71"/>
    <w:rsid w:val="000646CE"/>
    <w:rsid w:val="000662E2"/>
    <w:rsid w:val="00066883"/>
    <w:rsid w:val="00071458"/>
    <w:rsid w:val="00071D8E"/>
    <w:rsid w:val="00074437"/>
    <w:rsid w:val="00074DD8"/>
    <w:rsid w:val="00076FC0"/>
    <w:rsid w:val="00080236"/>
    <w:rsid w:val="000806F7"/>
    <w:rsid w:val="00081C7F"/>
    <w:rsid w:val="000830CE"/>
    <w:rsid w:val="00084858"/>
    <w:rsid w:val="0008544D"/>
    <w:rsid w:val="0008767F"/>
    <w:rsid w:val="00087BD7"/>
    <w:rsid w:val="00090D48"/>
    <w:rsid w:val="00091003"/>
    <w:rsid w:val="00094D9B"/>
    <w:rsid w:val="000A077C"/>
    <w:rsid w:val="000A2063"/>
    <w:rsid w:val="000A2607"/>
    <w:rsid w:val="000A2657"/>
    <w:rsid w:val="000A29D1"/>
    <w:rsid w:val="000A41EC"/>
    <w:rsid w:val="000A425C"/>
    <w:rsid w:val="000A5C4F"/>
    <w:rsid w:val="000A6155"/>
    <w:rsid w:val="000B0442"/>
    <w:rsid w:val="000B0727"/>
    <w:rsid w:val="000B2E3F"/>
    <w:rsid w:val="000B4F9E"/>
    <w:rsid w:val="000B5D11"/>
    <w:rsid w:val="000B62AD"/>
    <w:rsid w:val="000B6DA7"/>
    <w:rsid w:val="000B7F8D"/>
    <w:rsid w:val="000C135D"/>
    <w:rsid w:val="000C4971"/>
    <w:rsid w:val="000C62BC"/>
    <w:rsid w:val="000D0992"/>
    <w:rsid w:val="000D1241"/>
    <w:rsid w:val="000D1BA5"/>
    <w:rsid w:val="000D1D43"/>
    <w:rsid w:val="000D225C"/>
    <w:rsid w:val="000D2A5C"/>
    <w:rsid w:val="000D2D28"/>
    <w:rsid w:val="000D57B6"/>
    <w:rsid w:val="000D6196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09F"/>
    <w:rsid w:val="00104902"/>
    <w:rsid w:val="00104914"/>
    <w:rsid w:val="00110C5D"/>
    <w:rsid w:val="00110D87"/>
    <w:rsid w:val="00111234"/>
    <w:rsid w:val="001119E5"/>
    <w:rsid w:val="00111B78"/>
    <w:rsid w:val="001133DC"/>
    <w:rsid w:val="0011388B"/>
    <w:rsid w:val="00114B71"/>
    <w:rsid w:val="00114DB9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143C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BF8"/>
    <w:rsid w:val="00162325"/>
    <w:rsid w:val="0016252C"/>
    <w:rsid w:val="00162899"/>
    <w:rsid w:val="001628ED"/>
    <w:rsid w:val="00162EE7"/>
    <w:rsid w:val="00163B69"/>
    <w:rsid w:val="00170C2A"/>
    <w:rsid w:val="00170EBA"/>
    <w:rsid w:val="00171C7E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2B"/>
    <w:rsid w:val="001B0F74"/>
    <w:rsid w:val="001B14F4"/>
    <w:rsid w:val="001B19A2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175"/>
    <w:rsid w:val="001E65F1"/>
    <w:rsid w:val="001E6704"/>
    <w:rsid w:val="001F0052"/>
    <w:rsid w:val="001F0979"/>
    <w:rsid w:val="001F1346"/>
    <w:rsid w:val="001F1577"/>
    <w:rsid w:val="001F29DE"/>
    <w:rsid w:val="001F30FC"/>
    <w:rsid w:val="001F43F9"/>
    <w:rsid w:val="001F4BBA"/>
    <w:rsid w:val="001F59B5"/>
    <w:rsid w:val="001F67FE"/>
    <w:rsid w:val="00200FD1"/>
    <w:rsid w:val="00204C78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6700"/>
    <w:rsid w:val="002409A5"/>
    <w:rsid w:val="00241105"/>
    <w:rsid w:val="00241994"/>
    <w:rsid w:val="00241D16"/>
    <w:rsid w:val="00242157"/>
    <w:rsid w:val="00243CD3"/>
    <w:rsid w:val="00245FC2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2088"/>
    <w:rsid w:val="002B2D59"/>
    <w:rsid w:val="002B47CF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E7AB9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2164"/>
    <w:rsid w:val="0030316F"/>
    <w:rsid w:val="00303ABA"/>
    <w:rsid w:val="003045F1"/>
    <w:rsid w:val="00304994"/>
    <w:rsid w:val="00304D08"/>
    <w:rsid w:val="00304E25"/>
    <w:rsid w:val="00304F22"/>
    <w:rsid w:val="00304F73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21DD"/>
    <w:rsid w:val="00322483"/>
    <w:rsid w:val="00322E4F"/>
    <w:rsid w:val="00322EDD"/>
    <w:rsid w:val="00322F20"/>
    <w:rsid w:val="00323F78"/>
    <w:rsid w:val="00324508"/>
    <w:rsid w:val="00330A52"/>
    <w:rsid w:val="00332004"/>
    <w:rsid w:val="00332320"/>
    <w:rsid w:val="00332ABA"/>
    <w:rsid w:val="00336650"/>
    <w:rsid w:val="003416BB"/>
    <w:rsid w:val="00341A36"/>
    <w:rsid w:val="00342484"/>
    <w:rsid w:val="003434AE"/>
    <w:rsid w:val="0034354B"/>
    <w:rsid w:val="003438D2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C4A"/>
    <w:rsid w:val="00380CA9"/>
    <w:rsid w:val="00381472"/>
    <w:rsid w:val="00381D15"/>
    <w:rsid w:val="0038221F"/>
    <w:rsid w:val="00382477"/>
    <w:rsid w:val="0038389B"/>
    <w:rsid w:val="003843DB"/>
    <w:rsid w:val="00384426"/>
    <w:rsid w:val="003862F3"/>
    <w:rsid w:val="003864BC"/>
    <w:rsid w:val="00387315"/>
    <w:rsid w:val="00390102"/>
    <w:rsid w:val="003908FE"/>
    <w:rsid w:val="00390E0A"/>
    <w:rsid w:val="003935DC"/>
    <w:rsid w:val="00393761"/>
    <w:rsid w:val="00395347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762"/>
    <w:rsid w:val="003E07F5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32B8"/>
    <w:rsid w:val="00433A5D"/>
    <w:rsid w:val="0043449C"/>
    <w:rsid w:val="00434ADD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B46"/>
    <w:rsid w:val="00453D83"/>
    <w:rsid w:val="004571AA"/>
    <w:rsid w:val="004601C6"/>
    <w:rsid w:val="004612F3"/>
    <w:rsid w:val="00463E39"/>
    <w:rsid w:val="00464756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3475"/>
    <w:rsid w:val="004E4B76"/>
    <w:rsid w:val="004E5595"/>
    <w:rsid w:val="004E6D72"/>
    <w:rsid w:val="004F0C3C"/>
    <w:rsid w:val="004F2F68"/>
    <w:rsid w:val="004F3301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DB"/>
    <w:rsid w:val="00570E69"/>
    <w:rsid w:val="00570F36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3BE0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677"/>
    <w:rsid w:val="005C3F44"/>
    <w:rsid w:val="005C453A"/>
    <w:rsid w:val="005C5F08"/>
    <w:rsid w:val="005C6163"/>
    <w:rsid w:val="005D01B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71E"/>
    <w:rsid w:val="005F2B4C"/>
    <w:rsid w:val="005F3758"/>
    <w:rsid w:val="005F45A0"/>
    <w:rsid w:val="005F5A80"/>
    <w:rsid w:val="005F6346"/>
    <w:rsid w:val="005F6962"/>
    <w:rsid w:val="005F6E76"/>
    <w:rsid w:val="005F79D7"/>
    <w:rsid w:val="00601B98"/>
    <w:rsid w:val="00601C27"/>
    <w:rsid w:val="006044FF"/>
    <w:rsid w:val="006049CE"/>
    <w:rsid w:val="0060587D"/>
    <w:rsid w:val="00607CC5"/>
    <w:rsid w:val="0061347F"/>
    <w:rsid w:val="00613E1A"/>
    <w:rsid w:val="0061606F"/>
    <w:rsid w:val="0062179D"/>
    <w:rsid w:val="00623E39"/>
    <w:rsid w:val="006251D0"/>
    <w:rsid w:val="0062724C"/>
    <w:rsid w:val="00630E43"/>
    <w:rsid w:val="00632060"/>
    <w:rsid w:val="00633014"/>
    <w:rsid w:val="00633959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60BAD"/>
    <w:rsid w:val="006626E4"/>
    <w:rsid w:val="00663684"/>
    <w:rsid w:val="006653DF"/>
    <w:rsid w:val="00666143"/>
    <w:rsid w:val="006669BE"/>
    <w:rsid w:val="00666BAB"/>
    <w:rsid w:val="006673CA"/>
    <w:rsid w:val="00672B85"/>
    <w:rsid w:val="0067353E"/>
    <w:rsid w:val="00673C26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54F8"/>
    <w:rsid w:val="00691E34"/>
    <w:rsid w:val="006929E4"/>
    <w:rsid w:val="00693FEE"/>
    <w:rsid w:val="00694AF0"/>
    <w:rsid w:val="00695A26"/>
    <w:rsid w:val="00696084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689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4EF"/>
    <w:rsid w:val="006C7D16"/>
    <w:rsid w:val="006D4054"/>
    <w:rsid w:val="006D6CA3"/>
    <w:rsid w:val="006D7CD8"/>
    <w:rsid w:val="006E01A8"/>
    <w:rsid w:val="006E02EC"/>
    <w:rsid w:val="006E07BC"/>
    <w:rsid w:val="006E1574"/>
    <w:rsid w:val="006E15B9"/>
    <w:rsid w:val="006E1B15"/>
    <w:rsid w:val="006E1F20"/>
    <w:rsid w:val="006E29A1"/>
    <w:rsid w:val="006E375C"/>
    <w:rsid w:val="006E5732"/>
    <w:rsid w:val="006E58D4"/>
    <w:rsid w:val="006E6949"/>
    <w:rsid w:val="006E6D74"/>
    <w:rsid w:val="006E6FBC"/>
    <w:rsid w:val="006E760C"/>
    <w:rsid w:val="006E774D"/>
    <w:rsid w:val="006F0A13"/>
    <w:rsid w:val="006F2725"/>
    <w:rsid w:val="006F27A0"/>
    <w:rsid w:val="006F2ACE"/>
    <w:rsid w:val="006F58E5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448D"/>
    <w:rsid w:val="00756F35"/>
    <w:rsid w:val="00757391"/>
    <w:rsid w:val="0076254F"/>
    <w:rsid w:val="007654BB"/>
    <w:rsid w:val="00765FD3"/>
    <w:rsid w:val="007675AC"/>
    <w:rsid w:val="00767905"/>
    <w:rsid w:val="00767D0E"/>
    <w:rsid w:val="00771FA0"/>
    <w:rsid w:val="007744FB"/>
    <w:rsid w:val="00776428"/>
    <w:rsid w:val="00776B8E"/>
    <w:rsid w:val="00777720"/>
    <w:rsid w:val="007801F5"/>
    <w:rsid w:val="00783CA4"/>
    <w:rsid w:val="007842FB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10DE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E0E92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3CA5"/>
    <w:rsid w:val="008046D8"/>
    <w:rsid w:val="0080553C"/>
    <w:rsid w:val="0080593C"/>
    <w:rsid w:val="00805B46"/>
    <w:rsid w:val="00806C5A"/>
    <w:rsid w:val="00806D8C"/>
    <w:rsid w:val="00810CCE"/>
    <w:rsid w:val="0081139F"/>
    <w:rsid w:val="008115C6"/>
    <w:rsid w:val="00813A58"/>
    <w:rsid w:val="00813C08"/>
    <w:rsid w:val="0081554D"/>
    <w:rsid w:val="00816524"/>
    <w:rsid w:val="00816697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31736"/>
    <w:rsid w:val="00832CB6"/>
    <w:rsid w:val="00834AD3"/>
    <w:rsid w:val="00834D3A"/>
    <w:rsid w:val="00835AB9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8258A"/>
    <w:rsid w:val="0088323B"/>
    <w:rsid w:val="00884D6E"/>
    <w:rsid w:val="0088559B"/>
    <w:rsid w:val="00885A7C"/>
    <w:rsid w:val="00886332"/>
    <w:rsid w:val="008864F3"/>
    <w:rsid w:val="008872DA"/>
    <w:rsid w:val="00887A13"/>
    <w:rsid w:val="00887B83"/>
    <w:rsid w:val="00890781"/>
    <w:rsid w:val="00891CA3"/>
    <w:rsid w:val="00891E03"/>
    <w:rsid w:val="00895118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5611"/>
    <w:rsid w:val="008E61BF"/>
    <w:rsid w:val="008E6572"/>
    <w:rsid w:val="008F1AEF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EC1"/>
    <w:rsid w:val="009373EB"/>
    <w:rsid w:val="00942C04"/>
    <w:rsid w:val="00950B93"/>
    <w:rsid w:val="00951BF9"/>
    <w:rsid w:val="009530DB"/>
    <w:rsid w:val="00953676"/>
    <w:rsid w:val="0095396F"/>
    <w:rsid w:val="00953A4E"/>
    <w:rsid w:val="00954E87"/>
    <w:rsid w:val="0095543F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9A1"/>
    <w:rsid w:val="009A195F"/>
    <w:rsid w:val="009A4746"/>
    <w:rsid w:val="009A47C2"/>
    <w:rsid w:val="009A5992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B6"/>
    <w:rsid w:val="009C2DBC"/>
    <w:rsid w:val="009C5159"/>
    <w:rsid w:val="009C60F7"/>
    <w:rsid w:val="009C6ACB"/>
    <w:rsid w:val="009C719E"/>
    <w:rsid w:val="009C7251"/>
    <w:rsid w:val="009D0375"/>
    <w:rsid w:val="009D2387"/>
    <w:rsid w:val="009D4AF0"/>
    <w:rsid w:val="009D5D6A"/>
    <w:rsid w:val="009E0996"/>
    <w:rsid w:val="009E10BE"/>
    <w:rsid w:val="009E2BC5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2737"/>
    <w:rsid w:val="00A139F5"/>
    <w:rsid w:val="00A1582C"/>
    <w:rsid w:val="00A17D78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0931"/>
    <w:rsid w:val="00A41D1B"/>
    <w:rsid w:val="00A41EF1"/>
    <w:rsid w:val="00A43677"/>
    <w:rsid w:val="00A43DCF"/>
    <w:rsid w:val="00A44314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10D"/>
    <w:rsid w:val="00A97F4D"/>
    <w:rsid w:val="00AA0FCA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E51C8"/>
    <w:rsid w:val="00AE68C4"/>
    <w:rsid w:val="00AF051C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4B7"/>
    <w:rsid w:val="00B12909"/>
    <w:rsid w:val="00B14952"/>
    <w:rsid w:val="00B153F2"/>
    <w:rsid w:val="00B15824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0C59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4E57"/>
    <w:rsid w:val="00B76271"/>
    <w:rsid w:val="00B773CF"/>
    <w:rsid w:val="00B80E29"/>
    <w:rsid w:val="00B818D9"/>
    <w:rsid w:val="00B82E83"/>
    <w:rsid w:val="00B83519"/>
    <w:rsid w:val="00B8447B"/>
    <w:rsid w:val="00B846F9"/>
    <w:rsid w:val="00B847D7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4C69"/>
    <w:rsid w:val="00BB4F09"/>
    <w:rsid w:val="00BB5F0E"/>
    <w:rsid w:val="00BB623D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53E1"/>
    <w:rsid w:val="00BE6322"/>
    <w:rsid w:val="00BE6623"/>
    <w:rsid w:val="00BE672A"/>
    <w:rsid w:val="00BE698D"/>
    <w:rsid w:val="00BF0126"/>
    <w:rsid w:val="00BF2284"/>
    <w:rsid w:val="00BF3283"/>
    <w:rsid w:val="00BF3DEC"/>
    <w:rsid w:val="00BF4885"/>
    <w:rsid w:val="00BF4EF4"/>
    <w:rsid w:val="00C030DE"/>
    <w:rsid w:val="00C05E71"/>
    <w:rsid w:val="00C07C9E"/>
    <w:rsid w:val="00C10171"/>
    <w:rsid w:val="00C12173"/>
    <w:rsid w:val="00C1275F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30605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7E0"/>
    <w:rsid w:val="00C428D6"/>
    <w:rsid w:val="00C42B1F"/>
    <w:rsid w:val="00C43613"/>
    <w:rsid w:val="00C454F9"/>
    <w:rsid w:val="00C4563B"/>
    <w:rsid w:val="00C45C70"/>
    <w:rsid w:val="00C45F62"/>
    <w:rsid w:val="00C4683A"/>
    <w:rsid w:val="00C47568"/>
    <w:rsid w:val="00C514FC"/>
    <w:rsid w:val="00C5209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82D5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676D"/>
    <w:rsid w:val="00CC739E"/>
    <w:rsid w:val="00CC74BE"/>
    <w:rsid w:val="00CD0521"/>
    <w:rsid w:val="00CD1B02"/>
    <w:rsid w:val="00CD58B7"/>
    <w:rsid w:val="00CE0430"/>
    <w:rsid w:val="00CE15B1"/>
    <w:rsid w:val="00CE40E1"/>
    <w:rsid w:val="00CE4FF0"/>
    <w:rsid w:val="00CE6F1C"/>
    <w:rsid w:val="00CE7EC9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DBC"/>
    <w:rsid w:val="00D70EF7"/>
    <w:rsid w:val="00D7209D"/>
    <w:rsid w:val="00D72A78"/>
    <w:rsid w:val="00D76C23"/>
    <w:rsid w:val="00D77B49"/>
    <w:rsid w:val="00D77D45"/>
    <w:rsid w:val="00D805F7"/>
    <w:rsid w:val="00D81659"/>
    <w:rsid w:val="00D8397C"/>
    <w:rsid w:val="00D85F66"/>
    <w:rsid w:val="00D861C5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0F10"/>
    <w:rsid w:val="00DE1B55"/>
    <w:rsid w:val="00DE28B3"/>
    <w:rsid w:val="00DE2961"/>
    <w:rsid w:val="00DE374F"/>
    <w:rsid w:val="00DE508F"/>
    <w:rsid w:val="00DE5118"/>
    <w:rsid w:val="00DE543C"/>
    <w:rsid w:val="00DE6951"/>
    <w:rsid w:val="00DE7E1C"/>
    <w:rsid w:val="00DF0FFE"/>
    <w:rsid w:val="00DF261A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1CD3"/>
    <w:rsid w:val="00E23337"/>
    <w:rsid w:val="00E2497C"/>
    <w:rsid w:val="00E24BC3"/>
    <w:rsid w:val="00E25073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A0223"/>
    <w:rsid w:val="00EA162F"/>
    <w:rsid w:val="00EA2429"/>
    <w:rsid w:val="00EA2B44"/>
    <w:rsid w:val="00EA2B58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34C"/>
    <w:rsid w:val="00EC3AAA"/>
    <w:rsid w:val="00EC3EA3"/>
    <w:rsid w:val="00EC4CDC"/>
    <w:rsid w:val="00EC62D7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3F97"/>
    <w:rsid w:val="00F95812"/>
    <w:rsid w:val="00F962C5"/>
    <w:rsid w:val="00F9694D"/>
    <w:rsid w:val="00F969AE"/>
    <w:rsid w:val="00F97850"/>
    <w:rsid w:val="00FA22BB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D13C3"/>
    <w:rsid w:val="00FD1BBD"/>
    <w:rsid w:val="00FD2E71"/>
    <w:rsid w:val="00FD3E31"/>
    <w:rsid w:val="00FD434C"/>
    <w:rsid w:val="00FD5EA7"/>
    <w:rsid w:val="00FD75C0"/>
    <w:rsid w:val="00FE39D8"/>
    <w:rsid w:val="00FE4641"/>
    <w:rsid w:val="00FE7552"/>
    <w:rsid w:val="00FE7A68"/>
    <w:rsid w:val="00FF053B"/>
    <w:rsid w:val="00FF1A4B"/>
    <w:rsid w:val="00FF4978"/>
    <w:rsid w:val="00FF4CE9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30" Type="http://schemas.openxmlformats.org/officeDocument/2006/relationships/hyperlink" Target="https://bdm.stat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6.8988196650857245E-2"/>
          <c:w val="0.93325015595757954"/>
          <c:h val="0.708039400776657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Arkusz1!$B$65:$C$112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Arkusz1!$D$65:$D$112</c:f>
              <c:numCache>
                <c:formatCode>General</c:formatCode>
                <c:ptCount val="48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  <c:pt idx="42">
                  <c:v>105.7</c:v>
                </c:pt>
                <c:pt idx="43">
                  <c:v>104.4</c:v>
                </c:pt>
                <c:pt idx="44">
                  <c:v>104.3</c:v>
                </c:pt>
                <c:pt idx="45">
                  <c:v>104.6</c:v>
                </c:pt>
                <c:pt idx="46">
                  <c:v>105.2</c:v>
                </c:pt>
                <c:pt idx="47">
                  <c:v>105.7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571416160"/>
        <c:axId val="571421056"/>
      </c:barChart>
      <c:catAx>
        <c:axId val="5714161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57142105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571421056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7141616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769167012018236E-2"/>
          <c:y val="2.3554882009092871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0"/>
                  <c:y val="-1.7319766183156528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/>
                      <a:t>104,9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767801857585366E-3"/>
                  <c:y val="-2.1649366788666503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030862241291042E-2"/>
                      <c:h val="6.7547088114310455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383900928792974E-3"/>
                  <c:y val="-4.330112015928746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4656444260256934E-2"/>
                      <c:h val="7.1877029660099581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"/>
                  <c:y val="8.6600535617178623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15479876160992E-2"/>
                      <c:h val="5.888720502273218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4767801857585141E-3"/>
                  <c:y val="-8.6598830915783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8.65988309157826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0814224384142609E-17"/>
                  <c:y val="4.32994154578909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rodz_dział_miesiąc!$BO$4:$BO$12</c:f>
              <c:numCache>
                <c:formatCode>0.0</c:formatCode>
                <c:ptCount val="9"/>
                <c:pt idx="0">
                  <c:v>104.9</c:v>
                </c:pt>
                <c:pt idx="1">
                  <c:v>104.5</c:v>
                </c:pt>
                <c:pt idx="2">
                  <c:v>99.8</c:v>
                </c:pt>
                <c:pt idx="3">
                  <c:v>110.6</c:v>
                </c:pt>
                <c:pt idx="4">
                  <c:v>106.6</c:v>
                </c:pt>
                <c:pt idx="5">
                  <c:v>108</c:v>
                </c:pt>
                <c:pt idx="6">
                  <c:v>113.6</c:v>
                </c:pt>
                <c:pt idx="7">
                  <c:v>106.7</c:v>
                </c:pt>
                <c:pt idx="8">
                  <c:v>100.9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71424320"/>
        <c:axId val="571416704"/>
      </c:barChart>
      <c:catAx>
        <c:axId val="57142432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7141670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571416704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57142432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3.718854592785422E-2"/>
                  <c:y val="1.0296010296010296E-2"/>
                </c:manualLayout>
              </c:layout>
              <c:tx>
                <c:rich>
                  <a:bodyPr/>
                  <a:lstStyle/>
                  <a:p>
                    <a:fld id="{A30D9222-83EF-4AAF-AF6A-6C68236906C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  <c:pt idx="90">
                  <c:v>129.5</c:v>
                </c:pt>
                <c:pt idx="91">
                  <c:v>129.4</c:v>
                </c:pt>
                <c:pt idx="92">
                  <c:v>124.4</c:v>
                </c:pt>
                <c:pt idx="93">
                  <c:v>133.19999999999999</c:v>
                </c:pt>
                <c:pt idx="94">
                  <c:v>130.30000000000001</c:v>
                </c:pt>
                <c:pt idx="95">
                  <c:v>148.69999999999999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5"/>
              <c:layout>
                <c:manualLayout>
                  <c:x val="-1.983389116152225E-2"/>
                  <c:y val="6.1775908261585279E-2"/>
                </c:manualLayout>
              </c:layout>
              <c:tx>
                <c:rich>
                  <a:bodyPr/>
                  <a:lstStyle/>
                  <a:p>
                    <a:fld id="{55FB125F-7376-44A9-923F-E4270C05D84D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  <c:pt idx="90">
                  <c:v>126.9</c:v>
                </c:pt>
                <c:pt idx="91">
                  <c:v>127.4</c:v>
                </c:pt>
                <c:pt idx="92">
                  <c:v>127.1</c:v>
                </c:pt>
                <c:pt idx="93">
                  <c:v>128.1</c:v>
                </c:pt>
                <c:pt idx="94">
                  <c:v>131.19999999999999</c:v>
                </c:pt>
                <c:pt idx="95">
                  <c:v>130.1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1417248"/>
        <c:axId val="571421600"/>
      </c:lineChart>
      <c:catAx>
        <c:axId val="571417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1421600"/>
        <c:crosses val="autoZero"/>
        <c:auto val="1"/>
        <c:lblAlgn val="ctr"/>
        <c:lblOffset val="100"/>
        <c:tickMarkSkip val="12"/>
        <c:noMultiLvlLbl val="0"/>
      </c:catAx>
      <c:valAx>
        <c:axId val="57142160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7141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0.24032</cdr:x>
      <cdr:y>0.1501</cdr:y>
    </cdr:from>
    <cdr:to>
      <cdr:x>0.38631</cdr:x>
      <cdr:y>0.28415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232271" y="440267"/>
          <a:ext cx="748582" cy="3931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105,7</a:t>
          </a:r>
        </a:p>
      </cdr:txBody>
    </cdr:sp>
  </cdr:relSizeAnchor>
  <cdr:relSizeAnchor xmlns:cdr="http://schemas.openxmlformats.org/drawingml/2006/chartDrawing">
    <cdr:from>
      <cdr:x>0.25579</cdr:x>
      <cdr:y>0.24458</cdr:y>
    </cdr:from>
    <cdr:to>
      <cdr:x>0.29897</cdr:x>
      <cdr:y>0.33273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11575" y="717362"/>
          <a:ext cx="221411" cy="2585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0.05461</cdr:x>
      <cdr:y>0.33681</cdr:y>
    </cdr:from>
    <cdr:to>
      <cdr:x>0.98727</cdr:x>
      <cdr:y>0.34077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80042" y="987881"/>
          <a:ext cx="4782330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304D4-AA7D-4CAD-8E8B-497A0403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Główny Urząd Statystyczny</dc:creator>
  <cp:keywords>sprzedaż detaliczna; dynamika sprzedaży detalicznej; pojazdy samochodowe; otocykle części; paliwa stałe; paliwa ciekłe i gazowe; żywność napoje i wyroby tytoniowe; pozostała sprzedaż detaliczna w niewyspecjalizowanych sklepach; armaceutyki kosmetyki; sprzęt ortopedyczny; tekstylia odzież obuwie; meble rtv agd; prasa książki; pozostała sprzedaż w wyspecjalizowanych sklepach</cp:keywords>
  <cp:lastPrinted>2019-12-18T10:23:00Z</cp:lastPrinted>
  <dcterms:created xsi:type="dcterms:W3CDTF">2020-01-22T08:25:00Z</dcterms:created>
  <dcterms:modified xsi:type="dcterms:W3CDTF">2020-01-22T08:48:00Z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