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F601A3">
        <w:t xml:space="preserve">– </w:t>
      </w:r>
      <w:r w:rsidR="00ED714E">
        <w:t>sierpień</w:t>
      </w:r>
      <w:r w:rsidR="00F601A3">
        <w:t xml:space="preserve"> 2020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8F7D95" w:rsidRDefault="00F22FBF" w:rsidP="0036698B">
      <w:pPr>
        <w:pStyle w:val="LID"/>
      </w:pPr>
      <w:r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align>right</wp:align>
            </wp:positionH>
            <wp:positionV relativeFrom="paragraph">
              <wp:posOffset>658858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5EC" w:rsidRPr="001E196E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56" w:rsidRPr="00F22FBF" w:rsidRDefault="00011656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89E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" filled="f" stroked="f">
                <v:textbox>
                  <w:txbxContent>
                    <w:p w:rsidR="00011656" w:rsidRPr="00F22FBF" w:rsidRDefault="00011656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7D95"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56" w:rsidRPr="00B66B19" w:rsidRDefault="0001165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-6,6</w:t>
                            </w:r>
                          </w:p>
                          <w:p w:rsidR="00011656" w:rsidRPr="007D3319" w:rsidRDefault="00011656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011656" w:rsidRPr="007D3319" w:rsidRDefault="00011656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FD01" id="Pole tekstowe 2" o:spid="_x0000_s1027" type="#_x0000_t202" style="position:absolute;margin-left:0;margin-top:8.55pt;width:177.4pt;height:100.8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" fillcolor="#001d77" stroked="f">
                <v:textbox>
                  <w:txbxContent>
                    <w:p w:rsidR="00011656" w:rsidRPr="00B66B19" w:rsidRDefault="0001165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-6,6</w:t>
                      </w:r>
                    </w:p>
                    <w:p w:rsidR="00011656" w:rsidRPr="007D3319" w:rsidRDefault="00011656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011656" w:rsidRPr="007D3319" w:rsidRDefault="00011656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4226">
        <w:t xml:space="preserve">W </w:t>
      </w:r>
      <w:r w:rsidR="001C0726">
        <w:t>sierpniu</w:t>
      </w:r>
      <w:r w:rsidR="00ED4E63" w:rsidRPr="009573A7">
        <w:t xml:space="preserve"> br.</w:t>
      </w:r>
      <w:r w:rsidR="00940FF0" w:rsidRPr="009573A7">
        <w:t xml:space="preserve"> </w:t>
      </w:r>
      <w:r w:rsidR="00A352B0">
        <w:t>wskaźnik ogólnego klimatu koniunktury</w:t>
      </w:r>
      <w:r w:rsidR="00ED4E63" w:rsidRPr="009573A7">
        <w:t xml:space="preserve"> jest </w:t>
      </w:r>
      <w:r w:rsidR="006B0CC0">
        <w:t>lepszy</w:t>
      </w:r>
      <w:r w:rsidR="00B20762" w:rsidRPr="009573A7">
        <w:t xml:space="preserve"> niż </w:t>
      </w:r>
      <w:r w:rsidR="00E46B47">
        <w:t>w </w:t>
      </w:r>
      <w:r w:rsidR="001C0726">
        <w:t>lipcu</w:t>
      </w:r>
      <w:r w:rsidR="00E46B47">
        <w:t> </w:t>
      </w:r>
      <w:r w:rsidR="00B20762" w:rsidRPr="009573A7">
        <w:t>br.</w:t>
      </w:r>
      <w:r w:rsidR="00940FF0" w:rsidRPr="009573A7">
        <w:t xml:space="preserve"> </w:t>
      </w:r>
      <w:r w:rsidR="00E11FFC" w:rsidRPr="009573A7">
        <w:t>w</w:t>
      </w:r>
      <w:r w:rsidR="006B0CC0">
        <w:t>e wszystkich</w:t>
      </w:r>
      <w:r w:rsidR="00886E14" w:rsidRPr="009573A7">
        <w:t xml:space="preserve"> prezentowanych</w:t>
      </w:r>
      <w:r w:rsidR="006B0CC0">
        <w:t xml:space="preserve"> obszarach</w:t>
      </w:r>
      <w:r w:rsidR="00F50BA2" w:rsidRPr="009573A7">
        <w:t xml:space="preserve"> </w:t>
      </w:r>
      <w:r w:rsidR="00ED4E63" w:rsidRPr="009573A7">
        <w:t>gospodarki</w:t>
      </w:r>
      <w:r w:rsidR="006B0CC0">
        <w:t>, ale tylko w</w:t>
      </w:r>
      <w:r w:rsidR="00E46B47">
        <w:t xml:space="preserve"> sekcji informacja i </w:t>
      </w:r>
      <w:r w:rsidR="006C14C0">
        <w:t xml:space="preserve">komunikacja </w:t>
      </w:r>
      <w:r w:rsidR="004009ED">
        <w:t>oraz działalność finansowa i </w:t>
      </w:r>
      <w:r w:rsidR="001C0726">
        <w:t>ubezpieczeniowa</w:t>
      </w:r>
      <w:r w:rsidR="00111F5E">
        <w:t xml:space="preserve"> </w:t>
      </w:r>
      <w:r w:rsidR="006C14C0">
        <w:t xml:space="preserve">jest on </w:t>
      </w:r>
      <w:r w:rsidR="006B0CC0">
        <w:t>dodatni</w:t>
      </w:r>
      <w:r w:rsidR="006C14C0">
        <w:t>. O</w:t>
      </w:r>
      <w:r w:rsidR="00597115">
        <w:t xml:space="preserve">bserwuje się </w:t>
      </w:r>
      <w:r w:rsidR="00B4379F">
        <w:t>poprawę</w:t>
      </w:r>
      <w:r w:rsidR="00597115">
        <w:t xml:space="preserve"> ocen bieżących („diagnoz</w:t>
      </w:r>
      <w:r w:rsidR="00767A5B">
        <w:t>a</w:t>
      </w:r>
      <w:r w:rsidR="00597115">
        <w:t>”)</w:t>
      </w:r>
      <w:r w:rsidR="00E46B47">
        <w:t>,</w:t>
      </w:r>
      <w:r w:rsidR="00597115">
        <w:t xml:space="preserve"> </w:t>
      </w:r>
      <w:r w:rsidR="004009ED">
        <w:t>natomiast</w:t>
      </w:r>
      <w:r w:rsidR="00111F5E">
        <w:t xml:space="preserve"> </w:t>
      </w:r>
      <w:r w:rsidR="004009ED">
        <w:t>negatywne oczekiwania („prognozy”) w </w:t>
      </w:r>
      <w:r w:rsidR="00111F5E">
        <w:t xml:space="preserve">większości przypadków </w:t>
      </w:r>
      <w:r w:rsidR="00767A5B">
        <w:t xml:space="preserve">się </w:t>
      </w:r>
      <w:r w:rsidR="004009ED">
        <w:t>utrzymują lub pog</w:t>
      </w:r>
      <w:r w:rsidR="00767A5B">
        <w:t>łębiają</w:t>
      </w:r>
      <w:r w:rsidR="00E7795A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111F5E">
        <w:t>sierpień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C82C21">
        <w:t>sierpnia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7D4C24" w:rsidRDefault="007D4C24" w:rsidP="0036698B">
      <w:pPr>
        <w:pStyle w:val="LID"/>
      </w:pPr>
    </w:p>
    <w:p w:rsidR="00E011CF" w:rsidRPr="00083125" w:rsidRDefault="001E3B78" w:rsidP="00210192">
      <w:pPr>
        <w:pStyle w:val="Nagwek1"/>
        <w:ind w:firstLine="1077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228715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8A4226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6C3D4E">
        <w:rPr>
          <w:rFonts w:ascii="Fira Sans" w:hAnsi="Fira Sans"/>
          <w:noProof/>
          <w:spacing w:val="-4"/>
          <w:sz w:val="19"/>
          <w:szCs w:val="19"/>
          <w:lang w:eastAsia="pl-PL"/>
        </w:rPr>
        <w:t>sierpniu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6C3D4E">
        <w:rPr>
          <w:rFonts w:ascii="Fira Sans" w:hAnsi="Fira Sans"/>
          <w:noProof/>
          <w:spacing w:val="-4"/>
          <w:sz w:val="19"/>
          <w:szCs w:val="19"/>
          <w:lang w:eastAsia="pl-PL"/>
        </w:rPr>
        <w:t>6,6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czyli </w:t>
      </w:r>
      <w:r w:rsidR="004924CE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D974C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6C3D4E">
        <w:rPr>
          <w:rFonts w:ascii="Fira Sans" w:hAnsi="Fira Sans"/>
          <w:noProof/>
          <w:spacing w:val="-4"/>
          <w:sz w:val="19"/>
          <w:szCs w:val="19"/>
          <w:lang w:eastAsia="pl-PL"/>
        </w:rPr>
        <w:t>lipcu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(minus </w:t>
      </w:r>
      <w:r w:rsidR="006C3D4E">
        <w:rPr>
          <w:rFonts w:ascii="Fira Sans" w:hAnsi="Fira Sans"/>
          <w:noProof/>
          <w:spacing w:val="-4"/>
          <w:sz w:val="19"/>
          <w:szCs w:val="19"/>
          <w:lang w:eastAsia="pl-PL"/>
        </w:rPr>
        <w:t>10,5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5958A9" w:rsidRDefault="001E3B78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1E3B78">
        <w:rPr>
          <w:noProof/>
          <w:lang w:eastAsia="pl-PL"/>
        </w:rPr>
        <w:drawing>
          <wp:anchor distT="0" distB="0" distL="114300" distR="114300" simplePos="0" relativeHeight="252556288" behindDoc="0" locked="0" layoutInCell="1" allowOverlap="1" wp14:anchorId="202A92E5" wp14:editId="690A282B">
            <wp:simplePos x="0" y="0"/>
            <wp:positionH relativeFrom="column">
              <wp:posOffset>5272260</wp:posOffset>
            </wp:positionH>
            <wp:positionV relativeFrom="paragraph">
              <wp:posOffset>234326</wp:posOffset>
            </wp:positionV>
            <wp:extent cx="1573200" cy="18396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B78">
        <w:rPr>
          <w:noProof/>
          <w:lang w:eastAsia="pl-PL"/>
        </w:rPr>
        <w:drawing>
          <wp:anchor distT="0" distB="0" distL="114300" distR="114300" simplePos="0" relativeHeight="252555264" behindDoc="0" locked="0" layoutInCell="1" allowOverlap="1" wp14:anchorId="00D98B7B" wp14:editId="5C1A67F3">
            <wp:simplePos x="0" y="0"/>
            <wp:positionH relativeFrom="column">
              <wp:posOffset>22089</wp:posOffset>
            </wp:positionH>
            <wp:positionV relativeFrom="paragraph">
              <wp:posOffset>324589</wp:posOffset>
            </wp:positionV>
            <wp:extent cx="5122800" cy="165600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8A9" w:rsidRPr="005958A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1E5FEF" w:rsidRDefault="001E5FEF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</w:p>
    <w:p w:rsidR="00E011CF" w:rsidRPr="00083125" w:rsidRDefault="001E3B78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184504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1B7A79" w:rsidP="00AC619B">
      <w:pPr>
        <w:spacing w:before="120" w:after="120"/>
        <w:rPr>
          <w:noProof/>
        </w:rPr>
      </w:pPr>
      <w:r w:rsidRPr="001B7A7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sierpniu </w:t>
      </w:r>
      <w:r w:rsidRPr="001B7A79">
        <w:rPr>
          <w:rFonts w:ascii="Fira Sans" w:hAnsi="Fira Sans"/>
          <w:noProof/>
          <w:spacing w:val="-4"/>
          <w:sz w:val="19"/>
          <w:szCs w:val="19"/>
          <w:lang w:eastAsia="pl-PL"/>
        </w:rPr>
        <w:t>wskaźnik ogólnego klimatu koniunktury (NSA) kształtuje się na poziomie minus 15,4 czyli nieznacznie wyższym niż w lipcu (minus 16,7).</w:t>
      </w:r>
      <w:r w:rsidR="001E3B78" w:rsidRPr="001E3B78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1E3B78" w:rsidP="00E011CF">
      <w:pPr>
        <w:pStyle w:val="tytuwykresu"/>
      </w:pPr>
      <w:r w:rsidRPr="001E3B78">
        <w:rPr>
          <w:noProof/>
          <w:lang w:eastAsia="pl-PL"/>
        </w:rPr>
        <w:drawing>
          <wp:anchor distT="0" distB="0" distL="114300" distR="114300" simplePos="0" relativeHeight="252558336" behindDoc="0" locked="0" layoutInCell="1" allowOverlap="1" wp14:anchorId="2CDF40CD" wp14:editId="22DAD96F">
            <wp:simplePos x="0" y="0"/>
            <wp:positionH relativeFrom="column">
              <wp:posOffset>5257800</wp:posOffset>
            </wp:positionH>
            <wp:positionV relativeFrom="paragraph">
              <wp:posOffset>83185</wp:posOffset>
            </wp:positionV>
            <wp:extent cx="1572895" cy="1778000"/>
            <wp:effectExtent l="0" t="0" r="8255" b="0"/>
            <wp:wrapTopAndBottom/>
            <wp:docPr id="31" name="Obraz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B78">
        <w:rPr>
          <w:noProof/>
          <w:lang w:eastAsia="pl-PL"/>
        </w:rPr>
        <w:drawing>
          <wp:anchor distT="0" distB="0" distL="114300" distR="114300" simplePos="0" relativeHeight="252557312" behindDoc="0" locked="0" layoutInCell="1" allowOverlap="1" wp14:anchorId="246BDD23" wp14:editId="2BA7F087">
            <wp:simplePos x="0" y="0"/>
            <wp:positionH relativeFrom="margin">
              <wp:posOffset>82446</wp:posOffset>
            </wp:positionH>
            <wp:positionV relativeFrom="paragraph">
              <wp:posOffset>160770</wp:posOffset>
            </wp:positionV>
            <wp:extent cx="5122800" cy="1656000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posOffset>0</wp:posOffset>
            </wp:positionH>
            <wp:positionV relativeFrom="paragraph">
              <wp:posOffset>95515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FE5B79" w:rsidP="00C33455">
      <w:pPr>
        <w:spacing w:before="120" w:after="120"/>
        <w:ind w:left="1134"/>
        <w:rPr>
          <w:lang w:eastAsia="pl-PL"/>
        </w:rPr>
      </w:pPr>
      <w:r w:rsidRPr="00FE5B7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bieżącym miesiącu wskaźnik ogólnego klimatu koniunktury (NSA) kształtuje się na poziomie minus </w:t>
      </w:r>
      <w:r w:rsidR="00720B41">
        <w:rPr>
          <w:rFonts w:ascii="Fira Sans" w:hAnsi="Fira Sans"/>
          <w:noProof/>
          <w:spacing w:val="-4"/>
          <w:sz w:val="19"/>
          <w:szCs w:val="19"/>
          <w:lang w:eastAsia="pl-PL"/>
        </w:rPr>
        <w:t>4,6</w:t>
      </w:r>
      <w:r w:rsidRPr="00FE5B7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720B41">
        <w:rPr>
          <w:rFonts w:ascii="Fira Sans" w:hAnsi="Fira Sans"/>
          <w:noProof/>
          <w:spacing w:val="-4"/>
          <w:sz w:val="19"/>
          <w:szCs w:val="19"/>
          <w:lang w:eastAsia="pl-PL"/>
        </w:rPr>
        <w:t>–</w:t>
      </w:r>
      <w:r w:rsidR="00720B41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720B41">
        <w:rPr>
          <w:rFonts w:ascii="Fira Sans" w:hAnsi="Fira Sans"/>
          <w:noProof/>
          <w:spacing w:val="-4"/>
          <w:sz w:val="19"/>
          <w:szCs w:val="19"/>
          <w:lang w:eastAsia="pl-PL"/>
        </w:rPr>
        <w:t>wyższym niż w lipcu</w:t>
      </w:r>
      <w:r w:rsidR="00720B41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D757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720B41">
        <w:rPr>
          <w:rFonts w:ascii="Fira Sans" w:hAnsi="Fira Sans"/>
          <w:noProof/>
          <w:spacing w:val="-4"/>
          <w:sz w:val="19"/>
          <w:szCs w:val="19"/>
          <w:lang w:eastAsia="pl-PL"/>
        </w:rPr>
        <w:t>9,3</w:t>
      </w:r>
      <w:r w:rsidR="001D7571">
        <w:rPr>
          <w:rFonts w:ascii="Fira Sans" w:hAnsi="Fira Sans"/>
          <w:noProof/>
          <w:spacing w:val="-4"/>
          <w:sz w:val="19"/>
          <w:szCs w:val="19"/>
          <w:lang w:eastAsia="pl-PL"/>
        </w:rPr>
        <w:t>)</w:t>
      </w:r>
      <w:r w:rsidR="00D70E20" w:rsidRPr="00D70E20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EA5DC4" w:rsidRPr="00EA5D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Default="00045E4E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045E4E">
        <w:rPr>
          <w:noProof/>
          <w:lang w:eastAsia="pl-PL"/>
        </w:rPr>
        <w:drawing>
          <wp:anchor distT="0" distB="0" distL="114300" distR="114300" simplePos="0" relativeHeight="252560384" behindDoc="0" locked="0" layoutInCell="1" allowOverlap="1" wp14:anchorId="51E3AF04" wp14:editId="51E7C1E7">
            <wp:simplePos x="0" y="0"/>
            <wp:positionH relativeFrom="column">
              <wp:posOffset>5262245</wp:posOffset>
            </wp:positionH>
            <wp:positionV relativeFrom="paragraph">
              <wp:posOffset>111125</wp:posOffset>
            </wp:positionV>
            <wp:extent cx="1573200" cy="1839600"/>
            <wp:effectExtent l="0" t="0" r="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E4E">
        <w:rPr>
          <w:noProof/>
          <w:lang w:eastAsia="pl-PL"/>
        </w:rPr>
        <w:drawing>
          <wp:anchor distT="0" distB="0" distL="114300" distR="114300" simplePos="0" relativeHeight="252559360" behindDoc="0" locked="0" layoutInCell="1" allowOverlap="1" wp14:anchorId="55F3D692" wp14:editId="7A1BCD4E">
            <wp:simplePos x="0" y="0"/>
            <wp:positionH relativeFrom="margin">
              <wp:align>right</wp:align>
            </wp:positionH>
            <wp:positionV relativeFrom="paragraph">
              <wp:posOffset>202692</wp:posOffset>
            </wp:positionV>
            <wp:extent cx="5122545" cy="1655445"/>
            <wp:effectExtent l="0" t="0" r="0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E4E">
        <w:rPr>
          <w:rFonts w:ascii="Fira Sans" w:hAnsi="Fira Sans"/>
          <w:b/>
          <w:spacing w:val="-2"/>
          <w:sz w:val="18"/>
        </w:rPr>
        <w:t xml:space="preserve"> </w:t>
      </w:r>
      <w:r w:rsidR="00B30271" w:rsidRPr="00B30271">
        <w:rPr>
          <w:rFonts w:ascii="Fira Sans" w:hAnsi="Fira Sans"/>
          <w:b/>
          <w:spacing w:val="-2"/>
          <w:sz w:val="18"/>
        </w:rPr>
        <w:t xml:space="preserve"> </w:t>
      </w:r>
    </w:p>
    <w:p w:rsidR="00E011CF" w:rsidRPr="00083125" w:rsidRDefault="004924CE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posOffset>-74706</wp:posOffset>
            </wp:positionH>
            <wp:positionV relativeFrom="paragraph">
              <wp:posOffset>1730636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FE5B79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FE5B79">
        <w:rPr>
          <w:rFonts w:ascii="Fira Sans" w:hAnsi="Fira Sans"/>
          <w:spacing w:val="-4"/>
          <w:sz w:val="19"/>
          <w:szCs w:val="19"/>
        </w:rPr>
        <w:t xml:space="preserve">W </w:t>
      </w:r>
      <w:r w:rsidR="00720B41">
        <w:rPr>
          <w:rFonts w:ascii="Fira Sans" w:hAnsi="Fira Sans"/>
          <w:spacing w:val="-4"/>
          <w:sz w:val="19"/>
          <w:szCs w:val="19"/>
        </w:rPr>
        <w:t>sierpniu</w:t>
      </w:r>
      <w:r w:rsidRPr="00FE5B79">
        <w:rPr>
          <w:rFonts w:ascii="Fira Sans" w:hAnsi="Fira Sans"/>
          <w:spacing w:val="-4"/>
          <w:sz w:val="19"/>
          <w:szCs w:val="19"/>
        </w:rPr>
        <w:t xml:space="preserve"> wskaźnik ogólnego klimatu koniunktury (NSA) kształtuje się na poziomie minus </w:t>
      </w:r>
      <w:r w:rsidR="00720B41">
        <w:rPr>
          <w:rFonts w:ascii="Fira Sans" w:hAnsi="Fira Sans"/>
          <w:spacing w:val="-4"/>
          <w:sz w:val="19"/>
          <w:szCs w:val="19"/>
        </w:rPr>
        <w:t>9,8</w:t>
      </w:r>
      <w:r w:rsidR="00F26FC8">
        <w:rPr>
          <w:rFonts w:ascii="Fira Sans" w:hAnsi="Fira Sans"/>
          <w:spacing w:val="-4"/>
          <w:sz w:val="19"/>
          <w:szCs w:val="19"/>
        </w:rPr>
        <w:t xml:space="preserve"> czyli </w:t>
      </w:r>
      <w:r w:rsidR="00DD53C7">
        <w:rPr>
          <w:rFonts w:ascii="Fira Sans" w:hAnsi="Fira Sans"/>
          <w:spacing w:val="-4"/>
          <w:sz w:val="19"/>
          <w:szCs w:val="19"/>
        </w:rPr>
        <w:t>wyższy</w:t>
      </w:r>
      <w:r w:rsidR="00F26FC8">
        <w:rPr>
          <w:rFonts w:ascii="Fira Sans" w:hAnsi="Fira Sans"/>
          <w:spacing w:val="-4"/>
          <w:sz w:val="19"/>
          <w:szCs w:val="19"/>
        </w:rPr>
        <w:t>m</w:t>
      </w:r>
      <w:r w:rsidR="00DD53C7">
        <w:rPr>
          <w:rFonts w:ascii="Fira Sans" w:hAnsi="Fira Sans"/>
          <w:spacing w:val="-4"/>
          <w:sz w:val="19"/>
          <w:szCs w:val="19"/>
        </w:rPr>
        <w:t xml:space="preserve"> niż </w:t>
      </w:r>
      <w:r w:rsidR="00720B41">
        <w:rPr>
          <w:rFonts w:ascii="Fira Sans" w:hAnsi="Fira Sans"/>
          <w:spacing w:val="-4"/>
          <w:sz w:val="19"/>
          <w:szCs w:val="19"/>
        </w:rPr>
        <w:t>przed miesiącem</w:t>
      </w:r>
      <w:r w:rsidR="00DD53C7">
        <w:rPr>
          <w:rFonts w:ascii="Fira Sans" w:hAnsi="Fira Sans"/>
          <w:spacing w:val="-4"/>
          <w:sz w:val="19"/>
          <w:szCs w:val="19"/>
        </w:rPr>
        <w:t xml:space="preserve"> (minus </w:t>
      </w:r>
      <w:r w:rsidR="00720B41">
        <w:rPr>
          <w:rFonts w:ascii="Fira Sans" w:hAnsi="Fira Sans"/>
          <w:spacing w:val="-4"/>
          <w:sz w:val="19"/>
          <w:szCs w:val="19"/>
        </w:rPr>
        <w:t>12,2</w:t>
      </w:r>
      <w:r w:rsidR="00DD53C7">
        <w:rPr>
          <w:rFonts w:ascii="Fira Sans" w:hAnsi="Fira Sans"/>
          <w:spacing w:val="-4"/>
          <w:sz w:val="19"/>
          <w:szCs w:val="19"/>
        </w:rPr>
        <w:t>)</w:t>
      </w:r>
      <w:r w:rsidRPr="00FE5B79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Pr="000F4EBC" w:rsidRDefault="00C43D9D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C43D9D">
        <w:rPr>
          <w:noProof/>
          <w:lang w:eastAsia="pl-PL"/>
        </w:rPr>
        <w:drawing>
          <wp:anchor distT="0" distB="0" distL="114300" distR="114300" simplePos="0" relativeHeight="252562432" behindDoc="0" locked="0" layoutInCell="1" allowOverlap="1" wp14:anchorId="33397099" wp14:editId="5D5CF31F">
            <wp:simplePos x="0" y="0"/>
            <wp:positionH relativeFrom="column">
              <wp:posOffset>5262245</wp:posOffset>
            </wp:positionH>
            <wp:positionV relativeFrom="paragraph">
              <wp:posOffset>163830</wp:posOffset>
            </wp:positionV>
            <wp:extent cx="1573200" cy="183960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D9D">
        <w:rPr>
          <w:noProof/>
          <w:lang w:eastAsia="pl-PL"/>
        </w:rPr>
        <w:drawing>
          <wp:anchor distT="0" distB="0" distL="114300" distR="114300" simplePos="0" relativeHeight="252561408" behindDoc="0" locked="0" layoutInCell="1" allowOverlap="1" wp14:anchorId="0690866A" wp14:editId="04F9DB3F">
            <wp:simplePos x="0" y="0"/>
            <wp:positionH relativeFrom="margin">
              <wp:align>right</wp:align>
            </wp:positionH>
            <wp:positionV relativeFrom="paragraph">
              <wp:posOffset>281838</wp:posOffset>
            </wp:positionV>
            <wp:extent cx="5122800" cy="1656000"/>
            <wp:effectExtent l="0" t="0" r="0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posOffset>0</wp:posOffset>
            </wp:positionH>
            <wp:positionV relativeFrom="paragraph">
              <wp:posOffset>122772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1857EF" w:rsidP="000B24BC">
      <w:pPr>
        <w:spacing w:before="120" w:after="120"/>
        <w:ind w:left="1134" w:hanging="1134"/>
        <w:rPr>
          <w:noProof/>
        </w:rPr>
      </w:pPr>
      <w:r w:rsidRPr="001857EF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3E1B54">
        <w:rPr>
          <w:rFonts w:ascii="Fira Sans" w:hAnsi="Fira Sans"/>
          <w:spacing w:val="-4"/>
          <w:sz w:val="19"/>
          <w:szCs w:val="19"/>
        </w:rPr>
        <w:t>12,7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czyli </w:t>
      </w:r>
      <w:r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wyższym niż </w:t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3E1B54">
        <w:rPr>
          <w:rFonts w:ascii="Fira Sans" w:hAnsi="Fira Sans"/>
          <w:noProof/>
          <w:spacing w:val="-4"/>
          <w:sz w:val="19"/>
          <w:szCs w:val="19"/>
          <w:lang w:eastAsia="pl-PL"/>
        </w:rPr>
        <w:t>lipcu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(minus </w:t>
      </w:r>
      <w:r w:rsidR="003E1B54">
        <w:rPr>
          <w:rFonts w:ascii="Fira Sans" w:hAnsi="Fira Sans"/>
          <w:spacing w:val="-4"/>
          <w:sz w:val="19"/>
          <w:szCs w:val="19"/>
        </w:rPr>
        <w:t>14,3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3F754E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3F754E">
        <w:rPr>
          <w:noProof/>
          <w:lang w:eastAsia="pl-PL"/>
        </w:rPr>
        <w:drawing>
          <wp:anchor distT="0" distB="0" distL="114300" distR="114300" simplePos="0" relativeHeight="252564480" behindDoc="0" locked="0" layoutInCell="1" allowOverlap="1" wp14:anchorId="473205AA" wp14:editId="3820B616">
            <wp:simplePos x="0" y="0"/>
            <wp:positionH relativeFrom="column">
              <wp:posOffset>5262245</wp:posOffset>
            </wp:positionH>
            <wp:positionV relativeFrom="paragraph">
              <wp:posOffset>60960</wp:posOffset>
            </wp:positionV>
            <wp:extent cx="1573200" cy="1839600"/>
            <wp:effectExtent l="0" t="0" r="8255" b="0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54E">
        <w:rPr>
          <w:noProof/>
          <w:lang w:eastAsia="pl-PL"/>
        </w:rPr>
        <w:drawing>
          <wp:anchor distT="0" distB="0" distL="114300" distR="114300" simplePos="0" relativeHeight="252563456" behindDoc="0" locked="0" layoutInCell="1" allowOverlap="1" wp14:anchorId="7479DEAC" wp14:editId="58545CC4">
            <wp:simplePos x="0" y="0"/>
            <wp:positionH relativeFrom="margin">
              <wp:align>right</wp:align>
            </wp:positionH>
            <wp:positionV relativeFrom="paragraph">
              <wp:posOffset>157252</wp:posOffset>
            </wp:positionV>
            <wp:extent cx="5122800" cy="1656000"/>
            <wp:effectExtent l="0" t="0" r="0" b="0"/>
            <wp:wrapTopAndBottom/>
            <wp:docPr id="61" name="Obraz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54E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0</wp:posOffset>
            </wp:positionH>
            <wp:positionV relativeFrom="paragraph">
              <wp:posOffset>131445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820B1A" w:rsidP="009F66B2">
      <w:pPr>
        <w:spacing w:before="120" w:after="120"/>
        <w:rPr>
          <w:noProof/>
        </w:rPr>
      </w:pPr>
      <w:r w:rsidRPr="00820B1A">
        <w:rPr>
          <w:noProof/>
          <w:lang w:eastAsia="pl-PL"/>
        </w:rPr>
        <w:drawing>
          <wp:anchor distT="0" distB="0" distL="114300" distR="114300" simplePos="0" relativeHeight="252566528" behindDoc="0" locked="0" layoutInCell="1" allowOverlap="1" wp14:anchorId="7183B455" wp14:editId="69A93A6A">
            <wp:simplePos x="0" y="0"/>
            <wp:positionH relativeFrom="column">
              <wp:posOffset>5249520</wp:posOffset>
            </wp:positionH>
            <wp:positionV relativeFrom="paragraph">
              <wp:posOffset>663677</wp:posOffset>
            </wp:positionV>
            <wp:extent cx="1573200" cy="1839600"/>
            <wp:effectExtent l="0" t="0" r="8255" b="0"/>
            <wp:wrapTopAndBottom/>
            <wp:docPr id="193" name="Obraz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B1A">
        <w:rPr>
          <w:noProof/>
          <w:lang w:eastAsia="pl-PL"/>
        </w:rPr>
        <w:drawing>
          <wp:anchor distT="0" distB="0" distL="114300" distR="114300" simplePos="0" relativeHeight="252565504" behindDoc="0" locked="0" layoutInCell="1" allowOverlap="1" wp14:anchorId="4B8C70C2" wp14:editId="7606DE28">
            <wp:simplePos x="0" y="0"/>
            <wp:positionH relativeFrom="margin">
              <wp:align>right</wp:align>
            </wp:positionH>
            <wp:positionV relativeFrom="paragraph">
              <wp:posOffset>755523</wp:posOffset>
            </wp:positionV>
            <wp:extent cx="5122800" cy="1656000"/>
            <wp:effectExtent l="0" t="0" r="0" b="0"/>
            <wp:wrapTopAndBottom/>
            <wp:docPr id="192" name="Obraz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</w:t>
      </w:r>
      <w:r w:rsidR="00F9161E">
        <w:rPr>
          <w:rFonts w:ascii="Fira Sans" w:hAnsi="Fira Sans"/>
          <w:spacing w:val="-4"/>
          <w:sz w:val="19"/>
          <w:szCs w:val="19"/>
        </w:rPr>
        <w:t xml:space="preserve">w bieżącym miesiącu </w:t>
      </w:r>
      <w:r w:rsidR="0072164A">
        <w:rPr>
          <w:rFonts w:ascii="Fira Sans" w:hAnsi="Fira Sans"/>
          <w:spacing w:val="-4"/>
          <w:sz w:val="19"/>
          <w:szCs w:val="19"/>
        </w:rPr>
        <w:t xml:space="preserve">na poziomie minus </w:t>
      </w:r>
      <w:r w:rsidR="003E1B54">
        <w:rPr>
          <w:rFonts w:ascii="Fira Sans" w:hAnsi="Fira Sans"/>
          <w:spacing w:val="-4"/>
          <w:sz w:val="19"/>
          <w:szCs w:val="19"/>
        </w:rPr>
        <w:t>19,3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wobec minus </w:t>
      </w:r>
      <w:r w:rsidR="003E1B54">
        <w:rPr>
          <w:rFonts w:ascii="Fira Sans" w:hAnsi="Fira Sans"/>
          <w:spacing w:val="-4"/>
          <w:sz w:val="19"/>
          <w:szCs w:val="19"/>
        </w:rPr>
        <w:t xml:space="preserve">22,7 </w:t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5306A2">
        <w:rPr>
          <w:rFonts w:ascii="Fira Sans" w:hAnsi="Fira Sans"/>
          <w:spacing w:val="-4"/>
          <w:sz w:val="19"/>
          <w:szCs w:val="19"/>
        </w:rPr>
        <w:t>lipcu</w:t>
      </w:r>
      <w:r w:rsidR="004F5A7C" w:rsidRPr="00C72CB8">
        <w:rPr>
          <w:rFonts w:ascii="Fira Sans" w:hAnsi="Fira Sans"/>
          <w:spacing w:val="-4"/>
          <w:sz w:val="19"/>
          <w:szCs w:val="19"/>
        </w:rPr>
        <w:t>.</w:t>
      </w:r>
      <w:r w:rsidR="00EB5095" w:rsidRPr="00C72CB8">
        <w:rPr>
          <w:rFonts w:ascii="Fira Sans" w:hAnsi="Fira Sans"/>
          <w:spacing w:val="-4"/>
          <w:sz w:val="19"/>
          <w:szCs w:val="19"/>
        </w:rPr>
        <w:t xml:space="preserve"> </w:t>
      </w:r>
      <w:r w:rsidR="00FB1066" w:rsidRPr="00C72CB8">
        <w:rPr>
          <w:rFonts w:ascii="Fira Sans" w:hAnsi="Fira Sans"/>
          <w:spacing w:val="-4"/>
          <w:sz w:val="19"/>
          <w:szCs w:val="19"/>
        </w:rPr>
        <w:t xml:space="preserve">Podmioty </w:t>
      </w:r>
      <w:r w:rsidR="00BE33C4">
        <w:rPr>
          <w:rFonts w:ascii="Fira Sans" w:hAnsi="Fira Sans"/>
          <w:spacing w:val="-4"/>
          <w:sz w:val="19"/>
          <w:szCs w:val="19"/>
        </w:rPr>
        <w:t>prowadzące działalność w </w:t>
      </w:r>
      <w:r w:rsidR="00703B4F" w:rsidRPr="00C72CB8">
        <w:rPr>
          <w:rFonts w:ascii="Fira Sans" w:hAnsi="Fira Sans"/>
          <w:spacing w:val="-4"/>
          <w:sz w:val="19"/>
          <w:szCs w:val="19"/>
        </w:rPr>
        <w:t xml:space="preserve">zakresie zakwaterowania </w:t>
      </w:r>
      <w:r w:rsidR="00FB1066" w:rsidRPr="00C72CB8">
        <w:rPr>
          <w:rFonts w:ascii="Fira Sans" w:hAnsi="Fira Sans"/>
          <w:spacing w:val="-4"/>
          <w:sz w:val="19"/>
          <w:szCs w:val="19"/>
        </w:rPr>
        <w:t>formułują b</w:t>
      </w:r>
      <w:r w:rsidR="00795CEE" w:rsidRPr="00C72CB8">
        <w:rPr>
          <w:rFonts w:ascii="Fira Sans" w:hAnsi="Fira Sans"/>
          <w:spacing w:val="-4"/>
          <w:sz w:val="19"/>
          <w:szCs w:val="19"/>
        </w:rPr>
        <w:t xml:space="preserve">ardziej niekorzystne oceny koniunktury </w:t>
      </w:r>
      <w:r w:rsidR="00703B4F">
        <w:rPr>
          <w:rFonts w:ascii="Fira Sans" w:hAnsi="Fira Sans"/>
          <w:spacing w:val="-4"/>
          <w:sz w:val="19"/>
          <w:szCs w:val="19"/>
        </w:rPr>
        <w:t>(minus </w:t>
      </w:r>
      <w:r w:rsidR="003E1B54">
        <w:rPr>
          <w:rFonts w:ascii="Fira Sans" w:hAnsi="Fira Sans"/>
          <w:spacing w:val="-4"/>
          <w:sz w:val="19"/>
          <w:szCs w:val="19"/>
        </w:rPr>
        <w:t>31,8</w:t>
      </w:r>
      <w:r w:rsidR="0018357E">
        <w:rPr>
          <w:rFonts w:ascii="Fira Sans" w:hAnsi="Fira Sans"/>
          <w:spacing w:val="-4"/>
          <w:sz w:val="19"/>
          <w:szCs w:val="19"/>
        </w:rPr>
        <w:t xml:space="preserve">) </w:t>
      </w:r>
      <w:r w:rsidR="00795CEE" w:rsidRPr="00C72CB8">
        <w:rPr>
          <w:rFonts w:ascii="Fira Sans" w:hAnsi="Fira Sans"/>
          <w:spacing w:val="-4"/>
          <w:sz w:val="19"/>
          <w:szCs w:val="19"/>
        </w:rPr>
        <w:t xml:space="preserve">niż </w:t>
      </w:r>
      <w:r w:rsidR="00FB1066" w:rsidRPr="00C72CB8">
        <w:rPr>
          <w:rFonts w:ascii="Fira Sans" w:hAnsi="Fira Sans"/>
          <w:spacing w:val="-4"/>
          <w:sz w:val="19"/>
          <w:szCs w:val="19"/>
        </w:rPr>
        <w:t xml:space="preserve">jednostki </w:t>
      </w:r>
      <w:r w:rsidR="00703B4F" w:rsidRPr="00C72CB8">
        <w:rPr>
          <w:rFonts w:ascii="Fira Sans" w:hAnsi="Fira Sans"/>
          <w:spacing w:val="-4"/>
          <w:sz w:val="19"/>
          <w:szCs w:val="19"/>
        </w:rPr>
        <w:t>gastronomiczne</w:t>
      </w:r>
      <w:r w:rsidR="00703B4F">
        <w:rPr>
          <w:rFonts w:ascii="Fira Sans" w:hAnsi="Fira Sans"/>
          <w:spacing w:val="-4"/>
          <w:sz w:val="19"/>
          <w:szCs w:val="19"/>
        </w:rPr>
        <w:t xml:space="preserve"> </w:t>
      </w:r>
      <w:r w:rsidR="0018357E">
        <w:rPr>
          <w:rFonts w:ascii="Fira Sans" w:hAnsi="Fira Sans"/>
          <w:spacing w:val="-4"/>
          <w:sz w:val="19"/>
          <w:szCs w:val="19"/>
        </w:rPr>
        <w:t xml:space="preserve">(minus </w:t>
      </w:r>
      <w:r w:rsidR="003E1B54">
        <w:rPr>
          <w:rFonts w:ascii="Fira Sans" w:hAnsi="Fira Sans"/>
          <w:spacing w:val="-4"/>
          <w:sz w:val="19"/>
          <w:szCs w:val="19"/>
        </w:rPr>
        <w:t>8,7</w:t>
      </w:r>
      <w:r w:rsidR="0018357E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492AB2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492AB2">
        <w:rPr>
          <w:noProof/>
          <w:lang w:eastAsia="pl-PL"/>
        </w:rPr>
        <w:drawing>
          <wp:anchor distT="0" distB="0" distL="114300" distR="114300" simplePos="0" relativeHeight="252568576" behindDoc="0" locked="0" layoutInCell="1" allowOverlap="1" wp14:anchorId="4CBFDAD2" wp14:editId="6A320571">
            <wp:simplePos x="0" y="0"/>
            <wp:positionH relativeFrom="column">
              <wp:posOffset>5255565</wp:posOffset>
            </wp:positionH>
            <wp:positionV relativeFrom="paragraph">
              <wp:posOffset>1898421</wp:posOffset>
            </wp:positionV>
            <wp:extent cx="1573200" cy="1839600"/>
            <wp:effectExtent l="0" t="0" r="0" b="0"/>
            <wp:wrapTopAndBottom/>
            <wp:docPr id="195" name="Obraz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AB2">
        <w:rPr>
          <w:noProof/>
          <w:lang w:eastAsia="pl-PL"/>
        </w:rPr>
        <w:drawing>
          <wp:anchor distT="0" distB="0" distL="114300" distR="114300" simplePos="0" relativeHeight="252567552" behindDoc="0" locked="0" layoutInCell="1" allowOverlap="1" wp14:anchorId="46FAB893" wp14:editId="4FC5596A">
            <wp:simplePos x="0" y="0"/>
            <wp:positionH relativeFrom="margin">
              <wp:align>right</wp:align>
            </wp:positionH>
            <wp:positionV relativeFrom="paragraph">
              <wp:posOffset>1977161</wp:posOffset>
            </wp:positionV>
            <wp:extent cx="5122800" cy="1656000"/>
            <wp:effectExtent l="0" t="0" r="0" b="0"/>
            <wp:wrapTopAndBottom/>
            <wp:docPr id="194" name="Obraz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492AB2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492AB2">
        <w:rPr>
          <w:noProof/>
          <w:lang w:eastAsia="pl-PL"/>
        </w:rPr>
        <w:drawing>
          <wp:anchor distT="0" distB="0" distL="114300" distR="114300" simplePos="0" relativeHeight="252570624" behindDoc="0" locked="0" layoutInCell="1" allowOverlap="1" wp14:anchorId="088E5F64" wp14:editId="16174549">
            <wp:simplePos x="0" y="0"/>
            <wp:positionH relativeFrom="column">
              <wp:posOffset>5256835</wp:posOffset>
            </wp:positionH>
            <wp:positionV relativeFrom="paragraph">
              <wp:posOffset>1854835</wp:posOffset>
            </wp:positionV>
            <wp:extent cx="1573200" cy="1839600"/>
            <wp:effectExtent l="0" t="0" r="0" b="0"/>
            <wp:wrapTopAndBottom/>
            <wp:docPr id="198" name="Obraz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Pr="00492AB2">
        <w:rPr>
          <w:noProof/>
          <w:lang w:eastAsia="pl-PL"/>
        </w:rPr>
        <w:drawing>
          <wp:anchor distT="0" distB="0" distL="114300" distR="114300" simplePos="0" relativeHeight="252569600" behindDoc="0" locked="0" layoutInCell="1" allowOverlap="1" wp14:anchorId="593AC629" wp14:editId="6AE1DE47">
            <wp:simplePos x="0" y="0"/>
            <wp:positionH relativeFrom="column">
              <wp:posOffset>3175</wp:posOffset>
            </wp:positionH>
            <wp:positionV relativeFrom="paragraph">
              <wp:posOffset>1971675</wp:posOffset>
            </wp:positionV>
            <wp:extent cx="5122800" cy="1656000"/>
            <wp:effectExtent l="0" t="0" r="0" b="0"/>
            <wp:wrapTopAndBottom/>
            <wp:docPr id="196" name="Obraz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column">
              <wp:posOffset>51302</wp:posOffset>
            </wp:positionH>
            <wp:positionV relativeFrom="paragraph">
              <wp:posOffset>90215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8A4226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 xml:space="preserve">W </w:t>
      </w:r>
      <w:r w:rsidR="00052AC0">
        <w:rPr>
          <w:rFonts w:ascii="Fira Sans" w:hAnsi="Fira Sans"/>
          <w:spacing w:val="-4"/>
          <w:sz w:val="19"/>
          <w:szCs w:val="19"/>
        </w:rPr>
        <w:t>sierpniu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5306A2">
        <w:rPr>
          <w:rFonts w:ascii="Fira Sans" w:hAnsi="Fira Sans"/>
          <w:spacing w:val="-4"/>
          <w:sz w:val="19"/>
          <w:szCs w:val="19"/>
        </w:rPr>
        <w:t>5,4</w:t>
      </w:r>
      <w:r w:rsidR="005663F2">
        <w:rPr>
          <w:rFonts w:ascii="Fira Sans" w:hAnsi="Fira Sans"/>
          <w:spacing w:val="-4"/>
          <w:sz w:val="19"/>
          <w:szCs w:val="19"/>
        </w:rPr>
        <w:t xml:space="preserve"> 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czyli </w:t>
      </w:r>
      <w:r w:rsidR="005306A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wyższym niż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5306A2">
        <w:rPr>
          <w:rFonts w:ascii="Fira Sans" w:hAnsi="Fira Sans"/>
          <w:spacing w:val="-4"/>
          <w:sz w:val="19"/>
          <w:szCs w:val="19"/>
        </w:rPr>
        <w:t>plus 3,1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D22592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D22592">
        <w:rPr>
          <w:noProof/>
          <w:lang w:eastAsia="pl-PL"/>
        </w:rPr>
        <w:drawing>
          <wp:anchor distT="0" distB="0" distL="114300" distR="114300" simplePos="0" relativeHeight="252572672" behindDoc="0" locked="0" layoutInCell="1" allowOverlap="1" wp14:anchorId="51CCE746" wp14:editId="7AE23F99">
            <wp:simplePos x="0" y="0"/>
            <wp:positionH relativeFrom="column">
              <wp:posOffset>5262245</wp:posOffset>
            </wp:positionH>
            <wp:positionV relativeFrom="paragraph">
              <wp:posOffset>187325</wp:posOffset>
            </wp:positionV>
            <wp:extent cx="1573200" cy="1839600"/>
            <wp:effectExtent l="0" t="0" r="8255" b="0"/>
            <wp:wrapTopAndBottom/>
            <wp:docPr id="206" name="Obraz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592">
        <w:rPr>
          <w:noProof/>
          <w:lang w:eastAsia="pl-PL"/>
        </w:rPr>
        <w:drawing>
          <wp:anchor distT="0" distB="0" distL="114300" distR="114300" simplePos="0" relativeHeight="252571648" behindDoc="0" locked="0" layoutInCell="1" allowOverlap="1" wp14:anchorId="2C19F1AD" wp14:editId="4259BFCE">
            <wp:simplePos x="0" y="0"/>
            <wp:positionH relativeFrom="margin">
              <wp:align>right</wp:align>
            </wp:positionH>
            <wp:positionV relativeFrom="paragraph">
              <wp:posOffset>289966</wp:posOffset>
            </wp:positionV>
            <wp:extent cx="5122800" cy="1656000"/>
            <wp:effectExtent l="0" t="0" r="0" b="0"/>
            <wp:wrapTopAndBottom/>
            <wp:docPr id="199" name="Obraz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FEF" w:rsidRPr="00981685" w:rsidRDefault="001E5FEF" w:rsidP="00981685">
      <w:pPr>
        <w:spacing w:before="120" w:after="120"/>
        <w:ind w:left="1191" w:hanging="1191"/>
        <w:rPr>
          <w:noProof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posOffset>19050</wp:posOffset>
            </wp:positionH>
            <wp:positionV relativeFrom="paragraph">
              <wp:posOffset>97600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1"/>
      </w:r>
    </w:p>
    <w:p w:rsidR="00962BCA" w:rsidRDefault="00641278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sierpniu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A44E2F">
        <w:rPr>
          <w:rFonts w:ascii="Fira Sans" w:hAnsi="Fira Sans"/>
          <w:spacing w:val="-4"/>
          <w:sz w:val="19"/>
          <w:szCs w:val="19"/>
        </w:rPr>
        <w:t>dodatnim (plus 2,7) wobec ujemnego przed miesiącem (minus 1,3).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4609F2" w:rsidP="00641278">
      <w:pPr>
        <w:spacing w:before="120" w:after="120"/>
        <w:ind w:left="1134" w:hanging="1134"/>
        <w:rPr>
          <w:noProof/>
        </w:rPr>
      </w:pPr>
      <w:r w:rsidRPr="004609F2">
        <w:rPr>
          <w:noProof/>
          <w:lang w:eastAsia="pl-PL"/>
        </w:rPr>
        <w:drawing>
          <wp:anchor distT="0" distB="0" distL="114300" distR="114300" simplePos="0" relativeHeight="252574720" behindDoc="0" locked="0" layoutInCell="1" allowOverlap="1" wp14:anchorId="641F2028" wp14:editId="54AEDC19">
            <wp:simplePos x="0" y="0"/>
            <wp:positionH relativeFrom="column">
              <wp:posOffset>5262245</wp:posOffset>
            </wp:positionH>
            <wp:positionV relativeFrom="paragraph">
              <wp:posOffset>205105</wp:posOffset>
            </wp:positionV>
            <wp:extent cx="1573200" cy="1839600"/>
            <wp:effectExtent l="0" t="0" r="8255" b="0"/>
            <wp:wrapTopAndBottom/>
            <wp:docPr id="209" name="Obraz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9F2">
        <w:rPr>
          <w:noProof/>
          <w:lang w:eastAsia="pl-PL"/>
        </w:rPr>
        <w:drawing>
          <wp:anchor distT="0" distB="0" distL="114300" distR="114300" simplePos="0" relativeHeight="252573696" behindDoc="0" locked="0" layoutInCell="1" allowOverlap="1" wp14:anchorId="157B8715" wp14:editId="4574EE07">
            <wp:simplePos x="0" y="0"/>
            <wp:positionH relativeFrom="margin">
              <wp:align>right</wp:align>
            </wp:positionH>
            <wp:positionV relativeFrom="paragraph">
              <wp:posOffset>325908</wp:posOffset>
            </wp:positionV>
            <wp:extent cx="5122800" cy="1656000"/>
            <wp:effectExtent l="0" t="0" r="0" b="0"/>
            <wp:wrapTopAndBottom/>
            <wp:docPr id="208" name="Obraz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D7274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043398" w:rsidRPr="006D7274" w:rsidTr="00975FF3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76768" behindDoc="0" locked="0" layoutInCell="1" allowOverlap="1" wp14:anchorId="2C6F2D92" wp14:editId="4033F6A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2,4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-12,1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-8,5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3,2</w:t>
            </w:r>
          </w:p>
        </w:tc>
      </w:tr>
      <w:tr w:rsidR="00043398" w:rsidRPr="006D7274" w:rsidTr="00975FF3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3,3</w:t>
            </w:r>
          </w:p>
        </w:tc>
      </w:tr>
      <w:tr w:rsidR="00043398" w:rsidRPr="006D7274" w:rsidTr="00975FF3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</w:tr>
      <w:tr w:rsidR="00043398" w:rsidRPr="006D7274" w:rsidTr="00975FF3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7,5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77792" behindDoc="0" locked="0" layoutInCell="1" allowOverlap="1" wp14:anchorId="248A62D9" wp14:editId="6BFEF42C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-1,7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-1,7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2,3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78816" behindDoc="0" locked="0" layoutInCell="1" allowOverlap="1" wp14:anchorId="2EEA37EB" wp14:editId="6A6FF6A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4,8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4,8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9,3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</w:tr>
      <w:tr w:rsidR="00043398" w:rsidRPr="006D7274" w:rsidTr="00975FF3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79840" behindDoc="0" locked="0" layoutInCell="1" allowOverlap="1" wp14:anchorId="64556A88" wp14:editId="3BE4E0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="00043398" w:rsidRPr="006D7274" w:rsidTr="00975FF3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="00043398" w:rsidRPr="006D7274" w:rsidTr="00975FF3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-3,7</w:t>
            </w:r>
          </w:p>
        </w:tc>
      </w:tr>
      <w:tr w:rsidR="00043398" w:rsidRPr="006D7274" w:rsidTr="00975FF3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-4,1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80864" behindDoc="0" locked="0" layoutInCell="1" allowOverlap="1" wp14:anchorId="568F6E42" wp14:editId="5785B68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-14,1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-0,7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81888" behindDoc="0" locked="0" layoutInCell="1" allowOverlap="1" wp14:anchorId="3FB7A5F1" wp14:editId="0365ED0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1,9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1,9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-24,9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0,0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bookmarkStart w:id="0" w:name="_GoBack"/>
        <w:bookmarkEnd w:id="0"/>
      </w:tr>
      <w:tr w:rsidR="00043398" w:rsidRPr="006D7274" w:rsidTr="00975FF3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82912" behindDoc="0" locked="0" layoutInCell="1" allowOverlap="1" wp14:anchorId="78434DFB" wp14:editId="49137C9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17,6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19,3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16,9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19,3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26,0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12,5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83936" behindDoc="0" locked="0" layoutInCell="1" allowOverlap="1" wp14:anchorId="0BA05234" wp14:editId="207E4D1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28,4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24,1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34,2</w:t>
            </w:r>
          </w:p>
        </w:tc>
      </w:tr>
      <w:tr w:rsidR="00043398" w:rsidRPr="006D7274" w:rsidTr="00975FF3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043398" w:rsidRPr="006D7274" w:rsidRDefault="00043398" w:rsidP="0004339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043398" w:rsidRPr="00445A7C" w:rsidRDefault="00043398" w:rsidP="00043398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043398" w:rsidRPr="00043398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04339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043398" w:rsidRPr="002D68D6" w:rsidRDefault="00043398" w:rsidP="00975FF3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22,4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Default="0065786D" w:rsidP="00025D3B">
      <w:pPr>
        <w:pStyle w:val="tytuinformacji"/>
        <w:rPr>
          <w:noProof/>
        </w:rPr>
      </w:pPr>
      <w:r>
        <w:rPr>
          <w:noProof/>
        </w:rPr>
        <w:lastRenderedPageBreak/>
        <w:t xml:space="preserve">Aneks </w:t>
      </w:r>
    </w:p>
    <w:p w:rsidR="003F106B" w:rsidRPr="00B85914" w:rsidRDefault="00B85914" w:rsidP="00025D3B">
      <w:pPr>
        <w:pStyle w:val="tytuinformacji"/>
        <w:rPr>
          <w:rFonts w:ascii="Fira Sans" w:hAnsi="Fira Sans"/>
          <w:noProof/>
          <w:szCs w:val="40"/>
        </w:rPr>
      </w:pPr>
      <w:r w:rsidRPr="00B85914">
        <w:rPr>
          <w:szCs w:val="40"/>
        </w:rPr>
        <w:t xml:space="preserve">Wpływ </w:t>
      </w:r>
      <w:r w:rsidR="003B6061">
        <w:rPr>
          <w:szCs w:val="40"/>
        </w:rPr>
        <w:t>pandemii COVID-19</w:t>
      </w:r>
      <w:r w:rsidRPr="00B85914">
        <w:rPr>
          <w:szCs w:val="40"/>
        </w:rPr>
        <w:t xml:space="preserve"> na koniunkturę </w:t>
      </w:r>
      <w:r w:rsidR="003B6061">
        <w:rPr>
          <w:szCs w:val="40"/>
        </w:rPr>
        <w:br/>
      </w:r>
      <w:r w:rsidRPr="00B85914">
        <w:rPr>
          <w:szCs w:val="40"/>
        </w:rPr>
        <w:t xml:space="preserve"> – oceny i oczekiwania</w:t>
      </w:r>
    </w:p>
    <w:p w:rsidR="003F106B" w:rsidRDefault="003F106B" w:rsidP="003F106B">
      <w:pPr>
        <w:pStyle w:val="tytuinformacji"/>
        <w:spacing w:before="120" w:after="120" w:line="240" w:lineRule="exact"/>
        <w:jc w:val="both"/>
        <w:rPr>
          <w:rFonts w:ascii="Fira Sans" w:hAnsi="Fira Sans"/>
          <w:noProof/>
          <w:color w:val="auto"/>
          <w:sz w:val="19"/>
          <w:szCs w:val="1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3A76AB">
        <w:tc>
          <w:tcPr>
            <w:tcW w:w="8057" w:type="dxa"/>
            <w:tcBorders>
              <w:left w:val="single" w:sz="18" w:space="0" w:color="001D77"/>
            </w:tcBorders>
            <w:shd w:val="clear" w:color="auto" w:fill="C4CBF5"/>
          </w:tcPr>
          <w:p w:rsidR="003A76AB" w:rsidRDefault="003911BB" w:rsidP="00A976B7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9"/>
                <w:szCs w:val="19"/>
              </w:rPr>
            </w:pPr>
            <w:r>
              <w:rPr>
                <w:rFonts w:ascii="Fira Sans" w:hAnsi="Fira Sans"/>
                <w:noProof/>
                <w:sz w:val="19"/>
                <w:szCs w:val="19"/>
              </w:rPr>
              <w:t xml:space="preserve">Badanie zostało przeprowadzone w </w:t>
            </w:r>
            <w:r w:rsidR="00DC0BBB">
              <w:rPr>
                <w:rFonts w:ascii="Fira Sans" w:hAnsi="Fira Sans"/>
                <w:noProof/>
                <w:sz w:val="19"/>
                <w:szCs w:val="19"/>
              </w:rPr>
              <w:t xml:space="preserve">dniach od 1 do 10 </w:t>
            </w:r>
            <w:r w:rsidR="00ED714E">
              <w:rPr>
                <w:rFonts w:ascii="Fira Sans" w:hAnsi="Fira Sans"/>
                <w:noProof/>
                <w:sz w:val="19"/>
                <w:szCs w:val="19"/>
              </w:rPr>
              <w:t>sierpnia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2020 r. na próbie jednostek przemysłowych, budowlanych, handlowych i usługowych. W przeciwieństwie do podstawowego badania koniunktury, odpowiedzi na dodatkowy blok pytań były udzie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lane na zasadzie dobrowolności</w:t>
            </w:r>
            <w:r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B91165">
              <w:rPr>
                <w:rFonts w:ascii="Fira Sans" w:hAnsi="Fira Sans"/>
                <w:noProof/>
                <w:sz w:val="19"/>
                <w:szCs w:val="19"/>
              </w:rPr>
              <w:t xml:space="preserve"> W pytaniach 1</w:t>
            </w:r>
            <w:r w:rsidR="00F447C8">
              <w:rPr>
                <w:rFonts w:ascii="Fira Sans" w:hAnsi="Fira Sans"/>
                <w:noProof/>
                <w:sz w:val="19"/>
                <w:szCs w:val="19"/>
              </w:rPr>
              <w:t>, 2</w:t>
            </w:r>
            <w:r w:rsidR="00B91165">
              <w:rPr>
                <w:rFonts w:ascii="Fira Sans" w:hAnsi="Fira Sans"/>
                <w:noProof/>
                <w:sz w:val="19"/>
                <w:szCs w:val="19"/>
              </w:rPr>
              <w:t xml:space="preserve"> i </w:t>
            </w:r>
            <w:r w:rsidR="00555D74">
              <w:rPr>
                <w:rFonts w:ascii="Fira Sans" w:hAnsi="Fira Sans"/>
                <w:noProof/>
                <w:sz w:val="19"/>
                <w:szCs w:val="19"/>
              </w:rPr>
              <w:t>6</w:t>
            </w:r>
            <w:r w:rsidR="00F447C8">
              <w:rPr>
                <w:rFonts w:ascii="Fira Sans" w:hAnsi="Fira Sans"/>
                <w:noProof/>
                <w:sz w:val="19"/>
                <w:szCs w:val="19"/>
              </w:rPr>
              <w:t xml:space="preserve"> zaprezentowany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 jest </w:t>
            </w:r>
            <w:r w:rsidR="00F447C8">
              <w:rPr>
                <w:rFonts w:ascii="Fira Sans" w:hAnsi="Fira Sans"/>
                <w:noProof/>
                <w:sz w:val="19"/>
                <w:szCs w:val="19"/>
              </w:rPr>
              <w:t xml:space="preserve">procent odpowiedzi 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respondentów na dany wariant, a w </w:t>
            </w:r>
            <w:r w:rsidR="00F447C8">
              <w:rPr>
                <w:rFonts w:ascii="Fira Sans" w:hAnsi="Fira Sans"/>
                <w:noProof/>
                <w:sz w:val="19"/>
                <w:szCs w:val="19"/>
              </w:rPr>
              <w:t xml:space="preserve">pozostałych 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pytaniach</w:t>
            </w:r>
            <w:r w:rsidR="00F447C8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– średnia </w:t>
            </w:r>
            <w:r w:rsidR="005262C3">
              <w:rPr>
                <w:rFonts w:ascii="Fira Sans" w:hAnsi="Fira Sans"/>
                <w:noProof/>
                <w:sz w:val="19"/>
                <w:szCs w:val="19"/>
              </w:rPr>
              <w:t xml:space="preserve">z wartości udzielonych </w:t>
            </w:r>
            <w:r w:rsidR="005371D8">
              <w:rPr>
                <w:rFonts w:ascii="Fira Sans" w:hAnsi="Fira Sans"/>
                <w:noProof/>
                <w:sz w:val="19"/>
                <w:szCs w:val="19"/>
              </w:rPr>
              <w:t>odpowiedzi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.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="00242E6C" w:rsidRPr="00242E6C">
              <w:rPr>
                <w:rFonts w:ascii="Fira Sans" w:hAnsi="Fira Sans"/>
                <w:noProof/>
                <w:sz w:val="19"/>
                <w:szCs w:val="19"/>
              </w:rPr>
              <w:t>Dane zostały zagregowane zgodnie z metodologią agregacji (ważenia) stosowaną standardowo w badaniu koniunktury gospodarczej</w:t>
            </w:r>
            <w:r w:rsidR="00242E6C"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6413CF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</w:p>
        </w:tc>
      </w:tr>
    </w:tbl>
    <w:p w:rsidR="003C4B46" w:rsidRPr="003F106B" w:rsidRDefault="003C4B46" w:rsidP="003F106B">
      <w:pPr>
        <w:pStyle w:val="tytuinformacji"/>
        <w:spacing w:before="120" w:after="120" w:line="240" w:lineRule="exact"/>
        <w:jc w:val="both"/>
        <w:rPr>
          <w:rFonts w:ascii="Fira Sans" w:hAnsi="Fira Sans"/>
          <w:noProof/>
          <w:sz w:val="19"/>
          <w:szCs w:val="19"/>
        </w:rPr>
      </w:pPr>
    </w:p>
    <w:p w:rsidR="0066127C" w:rsidRPr="0066127C" w:rsidRDefault="0066127C" w:rsidP="000E0C86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="000E0C86"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114" w:type="dxa"/>
        <w:tblLayout w:type="fixed"/>
        <w:tblLook w:val="04A0" w:firstRow="1" w:lastRow="0" w:firstColumn="1" w:lastColumn="0" w:noHBand="0" w:noVBand="1"/>
      </w:tblPr>
      <w:tblGrid>
        <w:gridCol w:w="851"/>
        <w:gridCol w:w="1609"/>
        <w:gridCol w:w="959"/>
        <w:gridCol w:w="909"/>
        <w:gridCol w:w="926"/>
        <w:gridCol w:w="958"/>
        <w:gridCol w:w="951"/>
        <w:gridCol w:w="951"/>
      </w:tblGrid>
      <w:tr w:rsidR="002B14D5" w:rsidRPr="0059047B" w:rsidTr="00E72376">
        <w:tc>
          <w:tcPr>
            <w:tcW w:w="2460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5009" w:rsidRPr="0059047B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anchorId="286027AD" wp14:editId="0BDED3C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anchorId="7E6FD235" wp14:editId="22E035B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anchorId="0E787349" wp14:editId="3DEB82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anchorId="0F09810F" wp14:editId="7AA8C5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1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anchorId="37A27B44" wp14:editId="6F5FA0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7B3BAE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C75009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1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42A3861B" wp14:editId="165C86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40E96" w:rsidRPr="0059047B" w:rsidTr="00E72376">
        <w:trPr>
          <w:trHeight w:val="170"/>
        </w:trPr>
        <w:tc>
          <w:tcPr>
            <w:tcW w:w="8114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E72376">
        <w:tc>
          <w:tcPr>
            <w:tcW w:w="8114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5961A1">
            <w:pPr>
              <w:tabs>
                <w:tab w:val="left" w:pos="176"/>
              </w:tabs>
              <w:spacing w:before="120" w:after="12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="0076121A">
              <w:rPr>
                <w:rFonts w:ascii="Fira Sans" w:hAnsi="Fira Sans"/>
                <w:b/>
                <w:sz w:val="14"/>
                <w:szCs w:val="14"/>
              </w:rPr>
              <w:t>koronawirusa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były (w lipcu) i będą (w sierpniu):</w:t>
            </w:r>
          </w:p>
        </w:tc>
      </w:tr>
      <w:tr w:rsidR="00264A39" w:rsidRPr="0059047B" w:rsidTr="00975FF3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54,8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54,6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59,1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54,4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52,1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36,2 </w:t>
            </w:r>
          </w:p>
        </w:tc>
      </w:tr>
      <w:tr w:rsidR="00264A39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31,8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25,1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23,2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29,5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35,1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31,9 </w:t>
            </w:r>
          </w:p>
        </w:tc>
      </w:tr>
      <w:tr w:rsidR="00264A39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9,1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8,3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9,1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9,2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31,5 </w:t>
            </w:r>
          </w:p>
        </w:tc>
      </w:tr>
      <w:tr w:rsidR="00264A39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10,0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11,2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9,4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7,0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3,6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0,4 </w:t>
            </w:r>
          </w:p>
        </w:tc>
      </w:tr>
      <w:tr w:rsidR="00264A39" w:rsidRPr="0059047B" w:rsidTr="00975FF3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55,5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54,3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58,6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54,7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51,7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45,2 </w:t>
            </w:r>
          </w:p>
        </w:tc>
      </w:tr>
      <w:tr w:rsidR="00264A39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31,3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23,9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25,1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29,8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35,3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23,2 </w:t>
            </w:r>
          </w:p>
        </w:tc>
      </w:tr>
      <w:tr w:rsidR="00264A39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3,3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10,2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8,4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8,4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8,3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31,2 </w:t>
            </w:r>
          </w:p>
        </w:tc>
      </w:tr>
      <w:tr w:rsidR="00264A39" w:rsidRPr="0059047B" w:rsidTr="00975FF3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9,9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7,9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7,1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4,7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0,4 </w:t>
            </w:r>
          </w:p>
        </w:tc>
      </w:tr>
      <w:tr w:rsidR="00C40E96" w:rsidRPr="0059047B" w:rsidTr="00E72376">
        <w:trPr>
          <w:trHeight w:val="170"/>
        </w:trPr>
        <w:tc>
          <w:tcPr>
            <w:tcW w:w="8114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E72376">
        <w:tc>
          <w:tcPr>
            <w:tcW w:w="8114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427C2A">
            <w:pPr>
              <w:tabs>
                <w:tab w:val="left" w:pos="176"/>
              </w:tabs>
              <w:spacing w:before="120" w:after="12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6A0B3E" w:rsidRPr="006A0B3E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264A39" w:rsidRPr="0059047B" w:rsidTr="00975FF3">
        <w:tc>
          <w:tcPr>
            <w:tcW w:w="851" w:type="dxa"/>
            <w:tcBorders>
              <w:top w:val="single" w:sz="2" w:space="0" w:color="001D77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dopłaty do wynagrodzeń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40,9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22,5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24,5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26,8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31,9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48,6</w:t>
            </w:r>
          </w:p>
        </w:tc>
      </w:tr>
      <w:tr w:rsidR="00264A39" w:rsidRPr="0059047B" w:rsidTr="0076121A"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15,2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53,2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36,2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40,1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29,0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57,1 </w:t>
            </w:r>
          </w:p>
        </w:tc>
      </w:tr>
      <w:tr w:rsidR="00264A39" w:rsidRPr="0059047B" w:rsidTr="0076121A"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26,5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50,4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37,6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42,8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38,4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77,4 </w:t>
            </w:r>
          </w:p>
        </w:tc>
      </w:tr>
      <w:tr w:rsidR="00264A39" w:rsidRPr="0059047B" w:rsidTr="0076121A"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1,7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8,9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3,4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5,1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1,2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15,4 </w:t>
            </w:r>
          </w:p>
        </w:tc>
      </w:tr>
      <w:tr w:rsidR="00264A39" w:rsidRPr="0059047B" w:rsidTr="0076121A"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3,2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2,7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6,5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2,2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6,6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1,7 </w:t>
            </w:r>
          </w:p>
        </w:tc>
      </w:tr>
      <w:tr w:rsidR="00264A39" w:rsidRPr="0059047B" w:rsidTr="0076121A">
        <w:trPr>
          <w:trHeight w:val="259"/>
        </w:trPr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ułatwienia i uproszczenia zarządzania wewnątrz przedsiębiorstwa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15,3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6,0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7,5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7,8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13,4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20,3 </w:t>
            </w:r>
          </w:p>
        </w:tc>
      </w:tr>
      <w:tr w:rsidR="00264A39" w:rsidRPr="0059047B" w:rsidTr="0076121A">
        <w:trPr>
          <w:trHeight w:val="305"/>
        </w:trPr>
        <w:tc>
          <w:tcPr>
            <w:tcW w:w="851" w:type="dxa"/>
            <w:tcBorders>
              <w:top w:val="single" w:sz="4" w:space="0" w:color="FFFFFF" w:themeColor="background1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A0B3E">
              <w:rPr>
                <w:rFonts w:ascii="Fira Sans" w:hAnsi="Fira Sans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41,2 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24,2 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34,6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>26,1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38,5 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4A39">
              <w:rPr>
                <w:rFonts w:ascii="Fira Sans" w:hAnsi="Fira Sans" w:cs="Arial"/>
                <w:bCs/>
                <w:sz w:val="14"/>
                <w:szCs w:val="14"/>
              </w:rPr>
              <w:t xml:space="preserve">14,5 </w:t>
            </w:r>
          </w:p>
        </w:tc>
      </w:tr>
    </w:tbl>
    <w:p w:rsidR="003F106B" w:rsidRDefault="003F106B">
      <w:pPr>
        <w:spacing w:line="259" w:lineRule="auto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br w:type="page"/>
      </w:r>
    </w:p>
    <w:p w:rsidR="0059047B" w:rsidRPr="00E72376" w:rsidRDefault="00E72376" w:rsidP="000E0C86">
      <w:pPr>
        <w:spacing w:line="259" w:lineRule="auto"/>
        <w:ind w:left="851" w:hanging="851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E7237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t xml:space="preserve">Tablica 2. </w:t>
      </w:r>
      <w:r w:rsidR="000E0C86" w:rsidRPr="000E0C8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Wyniki badania dot. wpływu </w:t>
      </w:r>
      <w:r w:rsidR="003B6061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>pandemii COVID-19</w:t>
      </w:r>
      <w:r w:rsidR="006A72B5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 na koniunkturę</w:t>
      </w:r>
      <w:r w:rsidR="000E0C86" w:rsidRPr="000E0C8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>(dok.)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58"/>
        <w:gridCol w:w="908"/>
        <w:gridCol w:w="13"/>
        <w:gridCol w:w="912"/>
        <w:gridCol w:w="9"/>
        <w:gridCol w:w="955"/>
        <w:gridCol w:w="950"/>
        <w:gridCol w:w="965"/>
      </w:tblGrid>
      <w:tr w:rsidR="00823177" w:rsidRPr="0059047B" w:rsidTr="0089745C"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042C8" w:rsidRPr="0059047B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3168" behindDoc="0" locked="0" layoutInCell="1" allowOverlap="1" wp14:anchorId="769F2FBC" wp14:editId="53F73B7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21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4192" behindDoc="0" locked="0" layoutInCell="1" allowOverlap="1" wp14:anchorId="4EB0AA3B" wp14:editId="6A7F722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1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5216" behindDoc="0" locked="0" layoutInCell="1" allowOverlap="1" wp14:anchorId="364AF80B" wp14:editId="751A88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990AAC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6240" behindDoc="0" locked="0" layoutInCell="1" allowOverlap="1" wp14:anchorId="15F278EE" wp14:editId="1215F66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990AAC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7264" behindDoc="0" locked="0" layoutInCell="1" allowOverlap="1" wp14:anchorId="6F9A0915" wp14:editId="035B51A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Pr="00A042C8" w:rsidRDefault="007B3BAE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A042C8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6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8288" behindDoc="0" locked="0" layoutInCell="1" allowOverlap="1" wp14:anchorId="61586A94" wp14:editId="17FD93B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F106B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F106B" w:rsidRPr="00C75009" w:rsidRDefault="003F106B" w:rsidP="003A76A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F106B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F106B" w:rsidRPr="00A042C8" w:rsidRDefault="003F106B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(w lipcu) i obejmie (w sierpniu) każda z poniższych sytuacji:</w:t>
            </w:r>
          </w:p>
        </w:tc>
      </w:tr>
      <w:tr w:rsidR="00264A39" w:rsidRPr="0059047B" w:rsidTr="0076121A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6,3 </w:t>
            </w:r>
          </w:p>
        </w:tc>
        <w:tc>
          <w:tcPr>
            <w:tcW w:w="90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5,6 </w:t>
            </w:r>
          </w:p>
        </w:tc>
        <w:tc>
          <w:tcPr>
            <w:tcW w:w="925" w:type="dxa"/>
            <w:gridSpan w:val="2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21,4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7,6</w:t>
            </w:r>
          </w:p>
        </w:tc>
        <w:tc>
          <w:tcPr>
            <w:tcW w:w="9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16,9 </w:t>
            </w:r>
          </w:p>
        </w:tc>
        <w:tc>
          <w:tcPr>
            <w:tcW w:w="96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4,5 </w:t>
            </w:r>
          </w:p>
        </w:tc>
      </w:tr>
      <w:tr w:rsidR="00264A39" w:rsidRPr="0059047B" w:rsidTr="0076121A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4,1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5,9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4,7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4,5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6,2 </w:t>
            </w:r>
          </w:p>
        </w:tc>
      </w:tr>
      <w:tr w:rsidR="00264A39" w:rsidRPr="0059047B" w:rsidTr="0076121A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1,3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3,7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1,1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1,8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1,6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1,8 </w:t>
            </w:r>
          </w:p>
        </w:tc>
      </w:tr>
      <w:tr w:rsidR="00264A39" w:rsidRPr="0059047B" w:rsidTr="0076121A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5,7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5,3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20,2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7,1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15,1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4,2 </w:t>
            </w:r>
          </w:p>
        </w:tc>
      </w:tr>
      <w:tr w:rsidR="00264A39" w:rsidRPr="0059047B" w:rsidTr="0076121A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3,4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4,8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4,3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3,8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3,2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5,0 </w:t>
            </w:r>
          </w:p>
        </w:tc>
      </w:tr>
      <w:tr w:rsidR="00264A39" w:rsidRPr="0059047B" w:rsidTr="0076121A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64A39" w:rsidRPr="003F106B" w:rsidRDefault="00264A39" w:rsidP="00264A3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1,1 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3,1 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1,2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>1,4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1,4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64A39" w:rsidRPr="00264A39" w:rsidRDefault="00264A3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264A39">
              <w:rPr>
                <w:rFonts w:ascii="Fira Sans" w:hAnsi="Fira Sans"/>
                <w:sz w:val="13"/>
                <w:szCs w:val="13"/>
              </w:rPr>
              <w:t xml:space="preserve">1,7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A042C8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Jaka była (w lipcu) i będzie (w sierpniu) szacunkowa (w procentach) zmiana zamówień na półprodukty, surowce, towary lub usługi itp. składanych przez Państwa firmę u dostawców?</w:t>
            </w:r>
          </w:p>
        </w:tc>
      </w:tr>
      <w:tr w:rsidR="000C2C29" w:rsidRPr="0059047B" w:rsidTr="0076121A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-7,6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-13,3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-8,1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-9,3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-17,6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-14,7 </w:t>
            </w:r>
          </w:p>
        </w:tc>
      </w:tr>
      <w:tr w:rsidR="000C2C29" w:rsidRPr="0059047B" w:rsidTr="0076121A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-6,6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-12,4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-7,7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-9,2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-17,2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-14,9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C75009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Jaka była (w lipcu) i będzie (w sierpniu) szacunkowa (w procentach) zmiana zamówień na półprodukty, surowce, towary lub usługi itp. składanych w Państwa firmie przez klientów?</w:t>
            </w:r>
          </w:p>
        </w:tc>
      </w:tr>
      <w:tr w:rsidR="000C2C29" w:rsidRPr="0059047B" w:rsidTr="00975FF3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-7,4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-15,8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-7,6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-9,1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-19,0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-20,1 </w:t>
            </w:r>
          </w:p>
        </w:tc>
      </w:tr>
      <w:tr w:rsidR="000C2C29" w:rsidRPr="0059047B" w:rsidTr="00975FF3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-7,0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-14,6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-7,6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-7,8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-18,6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-20,7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66127C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0C2C29" w:rsidRPr="0059047B" w:rsidTr="0076121A">
        <w:tc>
          <w:tcPr>
            <w:tcW w:w="851" w:type="dxa"/>
            <w:tcBorders>
              <w:top w:val="single" w:sz="2" w:space="0" w:color="001D77"/>
              <w:left w:val="nil"/>
              <w:bottom w:val="single" w:sz="4" w:space="0" w:color="FFFFFF"/>
              <w:right w:val="nil"/>
            </w:tcBorders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Default="000C2C29" w:rsidP="000C2C2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1,2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2,9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2,8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2,8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2,1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0,8 </w:t>
            </w:r>
          </w:p>
        </w:tc>
      </w:tr>
      <w:tr w:rsidR="000C2C29" w:rsidRPr="0059047B" w:rsidTr="0076121A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Default="000C2C29" w:rsidP="000C2C2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5,7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11,7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3,7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5,7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2,8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29,3 </w:t>
            </w:r>
          </w:p>
        </w:tc>
      </w:tr>
      <w:tr w:rsidR="000C2C29" w:rsidRPr="0059047B" w:rsidTr="0076121A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Default="000C2C29" w:rsidP="000C2C2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18,4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32,3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19,9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19,6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19,2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23,2 </w:t>
            </w:r>
          </w:p>
        </w:tc>
      </w:tr>
      <w:tr w:rsidR="000C2C29" w:rsidRPr="0059047B" w:rsidTr="0076121A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Default="000C2C29" w:rsidP="000C2C2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24,4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21,2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19,4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22,8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11,7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21,0 </w:t>
            </w:r>
          </w:p>
        </w:tc>
      </w:tr>
      <w:tr w:rsidR="000C2C29" w:rsidRPr="0059047B" w:rsidTr="0076121A">
        <w:tc>
          <w:tcPr>
            <w:tcW w:w="851" w:type="dxa"/>
            <w:tcBorders>
              <w:top w:val="single" w:sz="4" w:space="0" w:color="FFFFFF"/>
              <w:left w:val="nil"/>
              <w:bottom w:val="single" w:sz="2" w:space="0" w:color="001D77"/>
              <w:right w:val="nil"/>
            </w:tcBorders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3F106B" w:rsidRDefault="000C2C29" w:rsidP="000C2C2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50,3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31,9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54,2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49,1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64,2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25,7 </w:t>
            </w:r>
          </w:p>
        </w:tc>
      </w:tr>
      <w:tr w:rsidR="00C40E96" w:rsidRPr="0059047B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:rsidTr="0089745C">
        <w:trPr>
          <w:trHeight w:val="366"/>
        </w:trPr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66127C" w:rsidRPr="00C75009" w:rsidRDefault="0066127C" w:rsidP="003F70AF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7. </w:t>
            </w:r>
            <w:r w:rsidR="0087555F" w:rsidRPr="0087555F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2020 r. w odniesieniu do inwestycji zrealizowanych w 2019 r.?</w:t>
            </w:r>
          </w:p>
        </w:tc>
      </w:tr>
      <w:tr w:rsidR="000C2C29" w:rsidRPr="0059047B" w:rsidTr="0076121A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3F106B" w:rsidRDefault="000C2C29" w:rsidP="000C2C29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-5,6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-20,8 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-10,8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>-17,7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-13,7 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0C2C29" w:rsidRPr="000C2C29" w:rsidRDefault="000C2C29" w:rsidP="00975FF3">
            <w:pPr>
              <w:spacing w:before="40" w:after="40" w:line="240" w:lineRule="auto"/>
              <w:jc w:val="right"/>
              <w:rPr>
                <w:rFonts w:ascii="Fira Sans" w:hAnsi="Fira Sans"/>
                <w:sz w:val="13"/>
                <w:szCs w:val="13"/>
              </w:rPr>
            </w:pPr>
            <w:r w:rsidRPr="000C2C29">
              <w:rPr>
                <w:rFonts w:ascii="Fira Sans" w:hAnsi="Fira Sans"/>
                <w:sz w:val="13"/>
                <w:szCs w:val="13"/>
              </w:rPr>
              <w:t xml:space="preserve">-33,1 </w:t>
            </w:r>
          </w:p>
        </w:tc>
      </w:tr>
    </w:tbl>
    <w:p w:rsidR="0087555F" w:rsidRDefault="0087555F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4F0883" w:rsidRDefault="004F0883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9745C" w:rsidRPr="003B6061" w:rsidRDefault="0089745C" w:rsidP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:rsidR="0059047B" w:rsidRPr="00001C5B" w:rsidRDefault="0059047B" w:rsidP="00A4707B">
      <w:pPr>
        <w:spacing w:line="259" w:lineRule="auto"/>
        <w:rPr>
          <w:rFonts w:ascii="Fira Sans" w:hAnsi="Fira Sans"/>
          <w:sz w:val="18"/>
        </w:rPr>
        <w:sectPr w:rsidR="0059047B" w:rsidRPr="00001C5B" w:rsidSect="001448A7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49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F77CBD" wp14:editId="657945AF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69FFD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734168" wp14:editId="78A1362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86ADC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5BA679DC" wp14:editId="1C9DE017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6FAA8CCC" wp14:editId="7CE86205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A055A04" wp14:editId="3A5B4390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56" w:rsidRPr="00123319" w:rsidRDefault="00011656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5A04"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011656" w:rsidRPr="00123319" w:rsidRDefault="00011656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656" w:rsidRDefault="00011656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011656" w:rsidRPr="00C75CAD" w:rsidRDefault="00011656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011656" w:rsidRPr="004C7599" w:rsidRDefault="00C62FE3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5" w:history="1">
                              <w:r w:rsidR="0001165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="00011656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011656" w:rsidRPr="002E71B6" w:rsidRDefault="00011656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011656" w:rsidRPr="00C75CAD" w:rsidRDefault="00C62FE3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011656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011656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011656" w:rsidRPr="00805B46" w:rsidRDefault="00C62FE3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011656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011656" w:rsidRDefault="00011656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11656" w:rsidRPr="00C75CAD" w:rsidRDefault="00011656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011656" w:rsidRPr="00805B46" w:rsidRDefault="00C62FE3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011656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011656" w:rsidRPr="00805B46" w:rsidRDefault="00C62FE3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011656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011656" w:rsidRDefault="00011656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11656" w:rsidRPr="00C75CAD" w:rsidRDefault="00011656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011656" w:rsidRPr="00C75CAD" w:rsidRDefault="00C62FE3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011656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011656" w:rsidRPr="00505A92" w:rsidRDefault="00011656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011656" w:rsidRDefault="00011656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011656" w:rsidRPr="00C75CAD" w:rsidRDefault="00011656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011656" w:rsidRPr="004C7599" w:rsidRDefault="00C62FE3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1" w:history="1">
                        <w:r w:rsidR="0001165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2020</w:t>
                        </w:r>
                      </w:hyperlink>
                      <w:r w:rsidR="00011656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011656" w:rsidRPr="002E71B6" w:rsidRDefault="00011656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011656" w:rsidRPr="00C75CAD" w:rsidRDefault="00C62FE3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="00011656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="00011656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011656" w:rsidRPr="00805B46" w:rsidRDefault="00C62FE3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="00011656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011656" w:rsidRDefault="00011656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11656" w:rsidRPr="00C75CAD" w:rsidRDefault="00011656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011656" w:rsidRPr="00805B46" w:rsidRDefault="00C62FE3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011656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011656" w:rsidRPr="00805B46" w:rsidRDefault="00C62FE3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011656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011656" w:rsidRDefault="00011656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11656" w:rsidRPr="00C75CAD" w:rsidRDefault="00011656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011656" w:rsidRPr="00C75CAD" w:rsidRDefault="00C62FE3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011656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011656" w:rsidRPr="00505A92" w:rsidRDefault="00011656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E3" w:rsidRDefault="00C62FE3" w:rsidP="000662E2">
      <w:pPr>
        <w:spacing w:after="0" w:line="240" w:lineRule="auto"/>
      </w:pPr>
      <w:r>
        <w:separator/>
      </w:r>
    </w:p>
  </w:endnote>
  <w:endnote w:type="continuationSeparator" w:id="0">
    <w:p w:rsidR="00C62FE3" w:rsidRDefault="00C62FE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011656" w:rsidRPr="00B7359B" w:rsidRDefault="00011656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975FF3">
          <w:rPr>
            <w:rFonts w:ascii="Fira Sans" w:hAnsi="Fira Sans"/>
            <w:noProof/>
            <w:sz w:val="19"/>
            <w:szCs w:val="19"/>
          </w:rPr>
          <w:t>3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011656" w:rsidRPr="002B1A65" w:rsidRDefault="00011656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975FF3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E3" w:rsidRDefault="00C62FE3" w:rsidP="000662E2">
      <w:pPr>
        <w:spacing w:after="0" w:line="240" w:lineRule="auto"/>
      </w:pPr>
      <w:r>
        <w:separator/>
      </w:r>
    </w:p>
  </w:footnote>
  <w:footnote w:type="continuationSeparator" w:id="0">
    <w:p w:rsidR="00C62FE3" w:rsidRDefault="00C62FE3" w:rsidP="000662E2">
      <w:pPr>
        <w:spacing w:after="0" w:line="240" w:lineRule="auto"/>
      </w:pPr>
      <w:r>
        <w:continuationSeparator/>
      </w:r>
    </w:p>
  </w:footnote>
  <w:footnote w:id="1">
    <w:p w:rsidR="00011656" w:rsidRDefault="00011656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niesezonowy, nie wymaga wyrównania sezonowego. Dane </w:t>
      </w:r>
      <w:r>
        <w:rPr>
          <w:rFonts w:ascii="Fira Sans" w:hAnsi="Fira Sans"/>
          <w:sz w:val="16"/>
          <w:szCs w:val="16"/>
        </w:rPr>
        <w:t>niewyrównane sezonowo</w:t>
      </w:r>
      <w:r w:rsidRPr="004F030C">
        <w:rPr>
          <w:rFonts w:ascii="Fira Sans" w:hAnsi="Fira Sans"/>
          <w:sz w:val="16"/>
          <w:szCs w:val="16"/>
        </w:rPr>
        <w:t xml:space="preserve"> mogą być analizowane i interpretowane w sposób analogiczny jak dane wyrównane.</w:t>
      </w:r>
    </w:p>
  </w:footnote>
  <w:footnote w:id="2">
    <w:p w:rsidR="00011656" w:rsidRDefault="00011656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56" w:rsidRDefault="0001165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ED20F5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11656" w:rsidRDefault="000116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56" w:rsidRDefault="0001165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11656" w:rsidRPr="000201D2" w:rsidRDefault="00011656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11656" w:rsidRPr="000201D2" w:rsidRDefault="00011656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E97944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1656" w:rsidRDefault="0001165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1656" w:rsidRPr="000201D2" w:rsidRDefault="0001165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21.08.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011656" w:rsidRPr="000201D2" w:rsidRDefault="0001165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21.08.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2020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56" w:rsidRDefault="00011656">
    <w:pPr>
      <w:pStyle w:val="Nagwek"/>
    </w:pPr>
  </w:p>
  <w:p w:rsidR="00011656" w:rsidRDefault="000116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91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3437"/>
    <w:rsid w:val="0000366F"/>
    <w:rsid w:val="00003C12"/>
    <w:rsid w:val="00004611"/>
    <w:rsid w:val="00004825"/>
    <w:rsid w:val="00005CE7"/>
    <w:rsid w:val="0000709F"/>
    <w:rsid w:val="000108B8"/>
    <w:rsid w:val="00011656"/>
    <w:rsid w:val="00011A11"/>
    <w:rsid w:val="00011C7D"/>
    <w:rsid w:val="000152F5"/>
    <w:rsid w:val="00016D37"/>
    <w:rsid w:val="000201D2"/>
    <w:rsid w:val="00021874"/>
    <w:rsid w:val="00022730"/>
    <w:rsid w:val="000259F3"/>
    <w:rsid w:val="00025D3B"/>
    <w:rsid w:val="00030CCA"/>
    <w:rsid w:val="000332B3"/>
    <w:rsid w:val="00034B19"/>
    <w:rsid w:val="000366E9"/>
    <w:rsid w:val="00043398"/>
    <w:rsid w:val="00043F8B"/>
    <w:rsid w:val="00044B16"/>
    <w:rsid w:val="0004582E"/>
    <w:rsid w:val="0004594F"/>
    <w:rsid w:val="00045E4E"/>
    <w:rsid w:val="00046634"/>
    <w:rsid w:val="00051931"/>
    <w:rsid w:val="0005206C"/>
    <w:rsid w:val="00052AC0"/>
    <w:rsid w:val="000534A5"/>
    <w:rsid w:val="00057B5C"/>
    <w:rsid w:val="00057BCF"/>
    <w:rsid w:val="00057CA1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A0C17"/>
    <w:rsid w:val="000A17BF"/>
    <w:rsid w:val="000A388D"/>
    <w:rsid w:val="000A6754"/>
    <w:rsid w:val="000A70C8"/>
    <w:rsid w:val="000B0727"/>
    <w:rsid w:val="000B1421"/>
    <w:rsid w:val="000B23C8"/>
    <w:rsid w:val="000B24BC"/>
    <w:rsid w:val="000B3DCA"/>
    <w:rsid w:val="000C135D"/>
    <w:rsid w:val="000C1AE2"/>
    <w:rsid w:val="000C2C29"/>
    <w:rsid w:val="000C362F"/>
    <w:rsid w:val="000C411C"/>
    <w:rsid w:val="000C5ECF"/>
    <w:rsid w:val="000D1D43"/>
    <w:rsid w:val="000D225C"/>
    <w:rsid w:val="000D4E35"/>
    <w:rsid w:val="000D72EE"/>
    <w:rsid w:val="000E0918"/>
    <w:rsid w:val="000E0C86"/>
    <w:rsid w:val="000E201B"/>
    <w:rsid w:val="000E7A70"/>
    <w:rsid w:val="000E7ED0"/>
    <w:rsid w:val="000F3461"/>
    <w:rsid w:val="000F42CD"/>
    <w:rsid w:val="000F4EBC"/>
    <w:rsid w:val="001005D5"/>
    <w:rsid w:val="00101124"/>
    <w:rsid w:val="001011C3"/>
    <w:rsid w:val="00101BB6"/>
    <w:rsid w:val="001027F5"/>
    <w:rsid w:val="00103062"/>
    <w:rsid w:val="00104377"/>
    <w:rsid w:val="001060F7"/>
    <w:rsid w:val="00110D87"/>
    <w:rsid w:val="00110DEB"/>
    <w:rsid w:val="00111F5E"/>
    <w:rsid w:val="00112E06"/>
    <w:rsid w:val="001138F0"/>
    <w:rsid w:val="00114DB9"/>
    <w:rsid w:val="00114E77"/>
    <w:rsid w:val="00114F89"/>
    <w:rsid w:val="0011518C"/>
    <w:rsid w:val="00116087"/>
    <w:rsid w:val="00116817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2790"/>
    <w:rsid w:val="001448A7"/>
    <w:rsid w:val="00146621"/>
    <w:rsid w:val="001479AC"/>
    <w:rsid w:val="00150BC6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E39"/>
    <w:rsid w:val="0016451D"/>
    <w:rsid w:val="00165E66"/>
    <w:rsid w:val="00171A1E"/>
    <w:rsid w:val="00172E2E"/>
    <w:rsid w:val="00172F63"/>
    <w:rsid w:val="001762A6"/>
    <w:rsid w:val="0018029F"/>
    <w:rsid w:val="00181F98"/>
    <w:rsid w:val="001831F9"/>
    <w:rsid w:val="0018357E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51DA"/>
    <w:rsid w:val="001A1B86"/>
    <w:rsid w:val="001A1D09"/>
    <w:rsid w:val="001A372A"/>
    <w:rsid w:val="001A42E2"/>
    <w:rsid w:val="001A4A48"/>
    <w:rsid w:val="001B10DC"/>
    <w:rsid w:val="001B24E0"/>
    <w:rsid w:val="001B48F9"/>
    <w:rsid w:val="001B56B5"/>
    <w:rsid w:val="001B64F3"/>
    <w:rsid w:val="001B7A79"/>
    <w:rsid w:val="001C0726"/>
    <w:rsid w:val="001C0AF0"/>
    <w:rsid w:val="001C2255"/>
    <w:rsid w:val="001C3269"/>
    <w:rsid w:val="001C4A72"/>
    <w:rsid w:val="001C7369"/>
    <w:rsid w:val="001D18B1"/>
    <w:rsid w:val="001D1DB4"/>
    <w:rsid w:val="001D3DDB"/>
    <w:rsid w:val="001D5205"/>
    <w:rsid w:val="001D5947"/>
    <w:rsid w:val="001D7571"/>
    <w:rsid w:val="001D7C43"/>
    <w:rsid w:val="001E14AC"/>
    <w:rsid w:val="001E155C"/>
    <w:rsid w:val="001E196E"/>
    <w:rsid w:val="001E2990"/>
    <w:rsid w:val="001E2D5D"/>
    <w:rsid w:val="001E3B78"/>
    <w:rsid w:val="001E5FEF"/>
    <w:rsid w:val="001E6597"/>
    <w:rsid w:val="001E668B"/>
    <w:rsid w:val="001F0737"/>
    <w:rsid w:val="001F0BBC"/>
    <w:rsid w:val="001F0E57"/>
    <w:rsid w:val="001F135A"/>
    <w:rsid w:val="001F1BE1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D5A"/>
    <w:rsid w:val="002248CD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3F4E"/>
    <w:rsid w:val="00264A39"/>
    <w:rsid w:val="00266050"/>
    <w:rsid w:val="00266F8B"/>
    <w:rsid w:val="00273293"/>
    <w:rsid w:val="00276811"/>
    <w:rsid w:val="0027719C"/>
    <w:rsid w:val="00280F42"/>
    <w:rsid w:val="00281218"/>
    <w:rsid w:val="00282699"/>
    <w:rsid w:val="00285D04"/>
    <w:rsid w:val="002914E4"/>
    <w:rsid w:val="00292265"/>
    <w:rsid w:val="0029253E"/>
    <w:rsid w:val="002926DF"/>
    <w:rsid w:val="00293563"/>
    <w:rsid w:val="002946A4"/>
    <w:rsid w:val="00296697"/>
    <w:rsid w:val="0029717B"/>
    <w:rsid w:val="002A1AAD"/>
    <w:rsid w:val="002A3C8F"/>
    <w:rsid w:val="002A48F7"/>
    <w:rsid w:val="002B0472"/>
    <w:rsid w:val="002B14D5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3F81"/>
    <w:rsid w:val="002D5776"/>
    <w:rsid w:val="002D5A7F"/>
    <w:rsid w:val="002D68D6"/>
    <w:rsid w:val="002E1391"/>
    <w:rsid w:val="002E6130"/>
    <w:rsid w:val="002E6140"/>
    <w:rsid w:val="002E6985"/>
    <w:rsid w:val="002E6D81"/>
    <w:rsid w:val="002E71B6"/>
    <w:rsid w:val="002F14FA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3029A"/>
    <w:rsid w:val="003313BA"/>
    <w:rsid w:val="00332320"/>
    <w:rsid w:val="00332DF1"/>
    <w:rsid w:val="00335366"/>
    <w:rsid w:val="00335A91"/>
    <w:rsid w:val="003407E4"/>
    <w:rsid w:val="0034231B"/>
    <w:rsid w:val="00346D76"/>
    <w:rsid w:val="0034734A"/>
    <w:rsid w:val="00347662"/>
    <w:rsid w:val="00347A0E"/>
    <w:rsid w:val="00347D72"/>
    <w:rsid w:val="00351097"/>
    <w:rsid w:val="003538AF"/>
    <w:rsid w:val="00354A53"/>
    <w:rsid w:val="00357F62"/>
    <w:rsid w:val="0036049A"/>
    <w:rsid w:val="00361CC0"/>
    <w:rsid w:val="003635D0"/>
    <w:rsid w:val="00365A7C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0FEE"/>
    <w:rsid w:val="003860FF"/>
    <w:rsid w:val="003904F8"/>
    <w:rsid w:val="003911BB"/>
    <w:rsid w:val="003919CA"/>
    <w:rsid w:val="00391BE8"/>
    <w:rsid w:val="00394327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C31"/>
    <w:rsid w:val="003B5B72"/>
    <w:rsid w:val="003B5D1C"/>
    <w:rsid w:val="003B6061"/>
    <w:rsid w:val="003C0845"/>
    <w:rsid w:val="003C4464"/>
    <w:rsid w:val="003C4528"/>
    <w:rsid w:val="003C4B46"/>
    <w:rsid w:val="003C59E0"/>
    <w:rsid w:val="003C6C8D"/>
    <w:rsid w:val="003D0E7E"/>
    <w:rsid w:val="003D2D75"/>
    <w:rsid w:val="003D2F16"/>
    <w:rsid w:val="003D4F95"/>
    <w:rsid w:val="003D5EA6"/>
    <w:rsid w:val="003D5F42"/>
    <w:rsid w:val="003D60A9"/>
    <w:rsid w:val="003E10D7"/>
    <w:rsid w:val="003E1635"/>
    <w:rsid w:val="003E170B"/>
    <w:rsid w:val="003E1B54"/>
    <w:rsid w:val="003E21F4"/>
    <w:rsid w:val="003E781B"/>
    <w:rsid w:val="003F106B"/>
    <w:rsid w:val="003F2706"/>
    <w:rsid w:val="003F2D95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2C8E"/>
    <w:rsid w:val="0040344F"/>
    <w:rsid w:val="00403C6B"/>
    <w:rsid w:val="004040CC"/>
    <w:rsid w:val="0040435C"/>
    <w:rsid w:val="00406880"/>
    <w:rsid w:val="004118D1"/>
    <w:rsid w:val="004119DB"/>
    <w:rsid w:val="004131A2"/>
    <w:rsid w:val="004159FA"/>
    <w:rsid w:val="0042323E"/>
    <w:rsid w:val="004232C1"/>
    <w:rsid w:val="00423D86"/>
    <w:rsid w:val="00423EF0"/>
    <w:rsid w:val="0042406F"/>
    <w:rsid w:val="0042446D"/>
    <w:rsid w:val="004257AE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5047"/>
    <w:rsid w:val="00445683"/>
    <w:rsid w:val="00445A7C"/>
    <w:rsid w:val="0044644A"/>
    <w:rsid w:val="00451285"/>
    <w:rsid w:val="00451AD5"/>
    <w:rsid w:val="0045269C"/>
    <w:rsid w:val="00452C65"/>
    <w:rsid w:val="00454346"/>
    <w:rsid w:val="004546ED"/>
    <w:rsid w:val="00454A5C"/>
    <w:rsid w:val="004553E8"/>
    <w:rsid w:val="00457611"/>
    <w:rsid w:val="004609F2"/>
    <w:rsid w:val="00461C43"/>
    <w:rsid w:val="00461CA9"/>
    <w:rsid w:val="00463E39"/>
    <w:rsid w:val="004657FC"/>
    <w:rsid w:val="004662CE"/>
    <w:rsid w:val="00467B8A"/>
    <w:rsid w:val="00470A70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83B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6CC2"/>
    <w:rsid w:val="004B059E"/>
    <w:rsid w:val="004B0752"/>
    <w:rsid w:val="004B1FEA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21B2"/>
    <w:rsid w:val="004C3763"/>
    <w:rsid w:val="004C5A76"/>
    <w:rsid w:val="004C5EFD"/>
    <w:rsid w:val="004C6D40"/>
    <w:rsid w:val="004C7599"/>
    <w:rsid w:val="004D211A"/>
    <w:rsid w:val="004D30A4"/>
    <w:rsid w:val="004D4BCB"/>
    <w:rsid w:val="004D4E95"/>
    <w:rsid w:val="004D7C97"/>
    <w:rsid w:val="004E070B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4B2E"/>
    <w:rsid w:val="004F5A7C"/>
    <w:rsid w:val="004F63FC"/>
    <w:rsid w:val="0050144E"/>
    <w:rsid w:val="0050225F"/>
    <w:rsid w:val="00505A92"/>
    <w:rsid w:val="00506FD7"/>
    <w:rsid w:val="005073E8"/>
    <w:rsid w:val="00511BFC"/>
    <w:rsid w:val="00512936"/>
    <w:rsid w:val="00516E41"/>
    <w:rsid w:val="005203F1"/>
    <w:rsid w:val="00521BC3"/>
    <w:rsid w:val="00524279"/>
    <w:rsid w:val="005259DE"/>
    <w:rsid w:val="005262C3"/>
    <w:rsid w:val="00526B0F"/>
    <w:rsid w:val="00527E03"/>
    <w:rsid w:val="005306A2"/>
    <w:rsid w:val="00530791"/>
    <w:rsid w:val="00530ACC"/>
    <w:rsid w:val="00530B2D"/>
    <w:rsid w:val="00532B4D"/>
    <w:rsid w:val="00535EF6"/>
    <w:rsid w:val="005371D8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A64"/>
    <w:rsid w:val="00597F1D"/>
    <w:rsid w:val="005A1C1A"/>
    <w:rsid w:val="005A6978"/>
    <w:rsid w:val="005A698C"/>
    <w:rsid w:val="005A6F50"/>
    <w:rsid w:val="005A76BC"/>
    <w:rsid w:val="005B11DA"/>
    <w:rsid w:val="005B15C1"/>
    <w:rsid w:val="005B2433"/>
    <w:rsid w:val="005B44E2"/>
    <w:rsid w:val="005B5280"/>
    <w:rsid w:val="005C4F00"/>
    <w:rsid w:val="005D426F"/>
    <w:rsid w:val="005D444A"/>
    <w:rsid w:val="005D77FB"/>
    <w:rsid w:val="005D7C1F"/>
    <w:rsid w:val="005E0799"/>
    <w:rsid w:val="005E14A3"/>
    <w:rsid w:val="005E2CB6"/>
    <w:rsid w:val="005E4ABD"/>
    <w:rsid w:val="005E52C4"/>
    <w:rsid w:val="005E5E39"/>
    <w:rsid w:val="005E63B5"/>
    <w:rsid w:val="005F0DD0"/>
    <w:rsid w:val="005F29E1"/>
    <w:rsid w:val="005F4FE0"/>
    <w:rsid w:val="005F5A80"/>
    <w:rsid w:val="005F6C72"/>
    <w:rsid w:val="005F6DE7"/>
    <w:rsid w:val="005F6DFA"/>
    <w:rsid w:val="00601033"/>
    <w:rsid w:val="0060140B"/>
    <w:rsid w:val="00602D9A"/>
    <w:rsid w:val="006044FF"/>
    <w:rsid w:val="00605F33"/>
    <w:rsid w:val="00606660"/>
    <w:rsid w:val="00607CC5"/>
    <w:rsid w:val="00611E75"/>
    <w:rsid w:val="0061219D"/>
    <w:rsid w:val="006140C6"/>
    <w:rsid w:val="00617632"/>
    <w:rsid w:val="00617D26"/>
    <w:rsid w:val="00620A43"/>
    <w:rsid w:val="006218D3"/>
    <w:rsid w:val="00623AEC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4F02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51BC"/>
    <w:rsid w:val="00676B47"/>
    <w:rsid w:val="0068156A"/>
    <w:rsid w:val="00683277"/>
    <w:rsid w:val="006903BA"/>
    <w:rsid w:val="00690BEE"/>
    <w:rsid w:val="00692138"/>
    <w:rsid w:val="00692ADC"/>
    <w:rsid w:val="006932A5"/>
    <w:rsid w:val="00694612"/>
    <w:rsid w:val="00694A82"/>
    <w:rsid w:val="00694FD9"/>
    <w:rsid w:val="00695688"/>
    <w:rsid w:val="00695D66"/>
    <w:rsid w:val="00695FFB"/>
    <w:rsid w:val="006966AD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C14C0"/>
    <w:rsid w:val="006C3D4E"/>
    <w:rsid w:val="006C6061"/>
    <w:rsid w:val="006D2E9E"/>
    <w:rsid w:val="006D4054"/>
    <w:rsid w:val="006D4318"/>
    <w:rsid w:val="006D4C4E"/>
    <w:rsid w:val="006D6347"/>
    <w:rsid w:val="006D71A9"/>
    <w:rsid w:val="006D7274"/>
    <w:rsid w:val="006E02EC"/>
    <w:rsid w:val="006E1123"/>
    <w:rsid w:val="006E4BB4"/>
    <w:rsid w:val="006E7789"/>
    <w:rsid w:val="006F43EB"/>
    <w:rsid w:val="006F57E5"/>
    <w:rsid w:val="006F654C"/>
    <w:rsid w:val="00702737"/>
    <w:rsid w:val="00703B4F"/>
    <w:rsid w:val="00706806"/>
    <w:rsid w:val="00711297"/>
    <w:rsid w:val="00711571"/>
    <w:rsid w:val="00714F50"/>
    <w:rsid w:val="00715B9D"/>
    <w:rsid w:val="007205CE"/>
    <w:rsid w:val="00720B41"/>
    <w:rsid w:val="007211B1"/>
    <w:rsid w:val="0072164A"/>
    <w:rsid w:val="00722902"/>
    <w:rsid w:val="00726B70"/>
    <w:rsid w:val="00730184"/>
    <w:rsid w:val="00732809"/>
    <w:rsid w:val="0073602C"/>
    <w:rsid w:val="00737ADD"/>
    <w:rsid w:val="00743C22"/>
    <w:rsid w:val="00743F79"/>
    <w:rsid w:val="00745912"/>
    <w:rsid w:val="00745E2E"/>
    <w:rsid w:val="00745E5B"/>
    <w:rsid w:val="00746187"/>
    <w:rsid w:val="00752B07"/>
    <w:rsid w:val="00754106"/>
    <w:rsid w:val="00754C63"/>
    <w:rsid w:val="00760E3A"/>
    <w:rsid w:val="0076121A"/>
    <w:rsid w:val="0076158A"/>
    <w:rsid w:val="007615BC"/>
    <w:rsid w:val="007623ED"/>
    <w:rsid w:val="00762403"/>
    <w:rsid w:val="0076254F"/>
    <w:rsid w:val="00767A5B"/>
    <w:rsid w:val="007700E4"/>
    <w:rsid w:val="0077196D"/>
    <w:rsid w:val="00773E86"/>
    <w:rsid w:val="00774C6B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666B"/>
    <w:rsid w:val="007A7C0E"/>
    <w:rsid w:val="007B1B50"/>
    <w:rsid w:val="007B1E00"/>
    <w:rsid w:val="007B3BAE"/>
    <w:rsid w:val="007B5805"/>
    <w:rsid w:val="007B5859"/>
    <w:rsid w:val="007B7014"/>
    <w:rsid w:val="007C10D9"/>
    <w:rsid w:val="007C11A8"/>
    <w:rsid w:val="007C14FB"/>
    <w:rsid w:val="007C366B"/>
    <w:rsid w:val="007C3926"/>
    <w:rsid w:val="007C4564"/>
    <w:rsid w:val="007D0350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7F7964"/>
    <w:rsid w:val="0080476C"/>
    <w:rsid w:val="00804892"/>
    <w:rsid w:val="0080553C"/>
    <w:rsid w:val="00805B46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7F0F"/>
    <w:rsid w:val="0085032D"/>
    <w:rsid w:val="00852448"/>
    <w:rsid w:val="00854097"/>
    <w:rsid w:val="00854334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745C"/>
    <w:rsid w:val="008A076C"/>
    <w:rsid w:val="008A26D9"/>
    <w:rsid w:val="008A3E2C"/>
    <w:rsid w:val="008A4226"/>
    <w:rsid w:val="008A6057"/>
    <w:rsid w:val="008A781A"/>
    <w:rsid w:val="008B1EC9"/>
    <w:rsid w:val="008B3507"/>
    <w:rsid w:val="008B6C73"/>
    <w:rsid w:val="008B6C7E"/>
    <w:rsid w:val="008B71DA"/>
    <w:rsid w:val="008C0242"/>
    <w:rsid w:val="008C569E"/>
    <w:rsid w:val="008C6ABC"/>
    <w:rsid w:val="008D31AC"/>
    <w:rsid w:val="008D361F"/>
    <w:rsid w:val="008D372E"/>
    <w:rsid w:val="008E0426"/>
    <w:rsid w:val="008E3158"/>
    <w:rsid w:val="008E3FD2"/>
    <w:rsid w:val="008E6509"/>
    <w:rsid w:val="008E6907"/>
    <w:rsid w:val="008E6D40"/>
    <w:rsid w:val="008E750B"/>
    <w:rsid w:val="008E7728"/>
    <w:rsid w:val="008E7B86"/>
    <w:rsid w:val="008F3638"/>
    <w:rsid w:val="008F41AD"/>
    <w:rsid w:val="008F423C"/>
    <w:rsid w:val="008F5350"/>
    <w:rsid w:val="008F6CB7"/>
    <w:rsid w:val="008F6F31"/>
    <w:rsid w:val="008F74DF"/>
    <w:rsid w:val="008F7D95"/>
    <w:rsid w:val="00900CCE"/>
    <w:rsid w:val="009021EC"/>
    <w:rsid w:val="00902896"/>
    <w:rsid w:val="00903E15"/>
    <w:rsid w:val="00903EC3"/>
    <w:rsid w:val="009046CB"/>
    <w:rsid w:val="009104D1"/>
    <w:rsid w:val="00910C4C"/>
    <w:rsid w:val="009127BA"/>
    <w:rsid w:val="00913383"/>
    <w:rsid w:val="0091509B"/>
    <w:rsid w:val="00916664"/>
    <w:rsid w:val="00917D43"/>
    <w:rsid w:val="009205C5"/>
    <w:rsid w:val="00920B7D"/>
    <w:rsid w:val="009222CB"/>
    <w:rsid w:val="009227A6"/>
    <w:rsid w:val="0092366F"/>
    <w:rsid w:val="00926995"/>
    <w:rsid w:val="009269E1"/>
    <w:rsid w:val="00926CD9"/>
    <w:rsid w:val="0092753D"/>
    <w:rsid w:val="00931D7A"/>
    <w:rsid w:val="009327F8"/>
    <w:rsid w:val="00933EC1"/>
    <w:rsid w:val="0094021A"/>
    <w:rsid w:val="00940FF0"/>
    <w:rsid w:val="009411B3"/>
    <w:rsid w:val="00941936"/>
    <w:rsid w:val="00941C5E"/>
    <w:rsid w:val="00941CF0"/>
    <w:rsid w:val="00943F43"/>
    <w:rsid w:val="00946890"/>
    <w:rsid w:val="009530DB"/>
    <w:rsid w:val="00953676"/>
    <w:rsid w:val="00953EBC"/>
    <w:rsid w:val="009573A7"/>
    <w:rsid w:val="009602FC"/>
    <w:rsid w:val="00961163"/>
    <w:rsid w:val="00961A8B"/>
    <w:rsid w:val="00962BCA"/>
    <w:rsid w:val="00962F3E"/>
    <w:rsid w:val="009635AD"/>
    <w:rsid w:val="009647C9"/>
    <w:rsid w:val="00964B83"/>
    <w:rsid w:val="00967649"/>
    <w:rsid w:val="00967F99"/>
    <w:rsid w:val="009705EE"/>
    <w:rsid w:val="00975FF3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24B0"/>
    <w:rsid w:val="009A32FB"/>
    <w:rsid w:val="009A40B0"/>
    <w:rsid w:val="009A5339"/>
    <w:rsid w:val="009B068E"/>
    <w:rsid w:val="009B3625"/>
    <w:rsid w:val="009B4CC8"/>
    <w:rsid w:val="009B5808"/>
    <w:rsid w:val="009C0165"/>
    <w:rsid w:val="009C1335"/>
    <w:rsid w:val="009C1AB2"/>
    <w:rsid w:val="009C22CC"/>
    <w:rsid w:val="009C2922"/>
    <w:rsid w:val="009C368B"/>
    <w:rsid w:val="009C55CE"/>
    <w:rsid w:val="009C5DCB"/>
    <w:rsid w:val="009C7251"/>
    <w:rsid w:val="009C7732"/>
    <w:rsid w:val="009D03BD"/>
    <w:rsid w:val="009D0E86"/>
    <w:rsid w:val="009D29E0"/>
    <w:rsid w:val="009D3868"/>
    <w:rsid w:val="009D48BF"/>
    <w:rsid w:val="009E1545"/>
    <w:rsid w:val="009E1846"/>
    <w:rsid w:val="009E1D0F"/>
    <w:rsid w:val="009E2E91"/>
    <w:rsid w:val="009E5AE7"/>
    <w:rsid w:val="009E708E"/>
    <w:rsid w:val="009E7C25"/>
    <w:rsid w:val="009F0A18"/>
    <w:rsid w:val="009F34DA"/>
    <w:rsid w:val="009F46A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22C5"/>
    <w:rsid w:val="00A44AB4"/>
    <w:rsid w:val="00A44E2F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84FCF"/>
    <w:rsid w:val="00A852B4"/>
    <w:rsid w:val="00A86A42"/>
    <w:rsid w:val="00A86ECC"/>
    <w:rsid w:val="00A86FCC"/>
    <w:rsid w:val="00A94A12"/>
    <w:rsid w:val="00A96559"/>
    <w:rsid w:val="00A976B7"/>
    <w:rsid w:val="00AA34FD"/>
    <w:rsid w:val="00AA6722"/>
    <w:rsid w:val="00AA6CF1"/>
    <w:rsid w:val="00AA710D"/>
    <w:rsid w:val="00AB264C"/>
    <w:rsid w:val="00AB5850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4BB6"/>
    <w:rsid w:val="00AD699B"/>
    <w:rsid w:val="00AD7219"/>
    <w:rsid w:val="00AE14B1"/>
    <w:rsid w:val="00AE269F"/>
    <w:rsid w:val="00AE2D4B"/>
    <w:rsid w:val="00AE4F20"/>
    <w:rsid w:val="00AE4F99"/>
    <w:rsid w:val="00AE62E6"/>
    <w:rsid w:val="00AF2781"/>
    <w:rsid w:val="00AF4F89"/>
    <w:rsid w:val="00AF6380"/>
    <w:rsid w:val="00B0713B"/>
    <w:rsid w:val="00B14952"/>
    <w:rsid w:val="00B20762"/>
    <w:rsid w:val="00B21AC8"/>
    <w:rsid w:val="00B23D69"/>
    <w:rsid w:val="00B24A8B"/>
    <w:rsid w:val="00B25B97"/>
    <w:rsid w:val="00B30271"/>
    <w:rsid w:val="00B3064B"/>
    <w:rsid w:val="00B31E5A"/>
    <w:rsid w:val="00B35F4F"/>
    <w:rsid w:val="00B366F3"/>
    <w:rsid w:val="00B36FEF"/>
    <w:rsid w:val="00B41A2C"/>
    <w:rsid w:val="00B4379F"/>
    <w:rsid w:val="00B44F0A"/>
    <w:rsid w:val="00B50344"/>
    <w:rsid w:val="00B511F2"/>
    <w:rsid w:val="00B51E9F"/>
    <w:rsid w:val="00B52573"/>
    <w:rsid w:val="00B53BF2"/>
    <w:rsid w:val="00B560E4"/>
    <w:rsid w:val="00B56BFB"/>
    <w:rsid w:val="00B577A7"/>
    <w:rsid w:val="00B60A9B"/>
    <w:rsid w:val="00B60C8B"/>
    <w:rsid w:val="00B60CAA"/>
    <w:rsid w:val="00B60EB4"/>
    <w:rsid w:val="00B64569"/>
    <w:rsid w:val="00B653AB"/>
    <w:rsid w:val="00B653BB"/>
    <w:rsid w:val="00B65F9E"/>
    <w:rsid w:val="00B66B19"/>
    <w:rsid w:val="00B677FD"/>
    <w:rsid w:val="00B7359B"/>
    <w:rsid w:val="00B76EA1"/>
    <w:rsid w:val="00B830EC"/>
    <w:rsid w:val="00B85914"/>
    <w:rsid w:val="00B86633"/>
    <w:rsid w:val="00B8712B"/>
    <w:rsid w:val="00B879D2"/>
    <w:rsid w:val="00B9073E"/>
    <w:rsid w:val="00B91165"/>
    <w:rsid w:val="00B914E9"/>
    <w:rsid w:val="00B956EE"/>
    <w:rsid w:val="00BA0245"/>
    <w:rsid w:val="00BA0597"/>
    <w:rsid w:val="00BA2BA1"/>
    <w:rsid w:val="00BA437D"/>
    <w:rsid w:val="00BA6311"/>
    <w:rsid w:val="00BB127F"/>
    <w:rsid w:val="00BB595D"/>
    <w:rsid w:val="00BC3B6A"/>
    <w:rsid w:val="00BC512B"/>
    <w:rsid w:val="00BD26FA"/>
    <w:rsid w:val="00BD3265"/>
    <w:rsid w:val="00BD4E33"/>
    <w:rsid w:val="00BE0358"/>
    <w:rsid w:val="00BE33C4"/>
    <w:rsid w:val="00BE6128"/>
    <w:rsid w:val="00BE6E57"/>
    <w:rsid w:val="00BE6F0A"/>
    <w:rsid w:val="00BE6F1B"/>
    <w:rsid w:val="00BF1A32"/>
    <w:rsid w:val="00BF21DD"/>
    <w:rsid w:val="00BF51AD"/>
    <w:rsid w:val="00BF6075"/>
    <w:rsid w:val="00C030DE"/>
    <w:rsid w:val="00C04116"/>
    <w:rsid w:val="00C06507"/>
    <w:rsid w:val="00C078DC"/>
    <w:rsid w:val="00C10316"/>
    <w:rsid w:val="00C12233"/>
    <w:rsid w:val="00C17BB9"/>
    <w:rsid w:val="00C2110F"/>
    <w:rsid w:val="00C22105"/>
    <w:rsid w:val="00C2283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2FE3"/>
    <w:rsid w:val="00C6328E"/>
    <w:rsid w:val="00C64A37"/>
    <w:rsid w:val="00C6574D"/>
    <w:rsid w:val="00C6605B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13FB"/>
    <w:rsid w:val="00C81874"/>
    <w:rsid w:val="00C82C21"/>
    <w:rsid w:val="00C8318C"/>
    <w:rsid w:val="00C85214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5688"/>
    <w:rsid w:val="00CB61AE"/>
    <w:rsid w:val="00CB6289"/>
    <w:rsid w:val="00CB6DAD"/>
    <w:rsid w:val="00CB77D4"/>
    <w:rsid w:val="00CB7B9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36D6"/>
    <w:rsid w:val="00CE5DEE"/>
    <w:rsid w:val="00CE738C"/>
    <w:rsid w:val="00CF0700"/>
    <w:rsid w:val="00CF3244"/>
    <w:rsid w:val="00CF4099"/>
    <w:rsid w:val="00CF43A6"/>
    <w:rsid w:val="00CF4CC7"/>
    <w:rsid w:val="00CF75EC"/>
    <w:rsid w:val="00D020D3"/>
    <w:rsid w:val="00D054DC"/>
    <w:rsid w:val="00D05C62"/>
    <w:rsid w:val="00D07944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6D0F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58EC"/>
    <w:rsid w:val="00DC6708"/>
    <w:rsid w:val="00DC6F18"/>
    <w:rsid w:val="00DD4D9D"/>
    <w:rsid w:val="00DD53C7"/>
    <w:rsid w:val="00DD54A4"/>
    <w:rsid w:val="00DD6C42"/>
    <w:rsid w:val="00DE0352"/>
    <w:rsid w:val="00DE0A82"/>
    <w:rsid w:val="00DE1DF4"/>
    <w:rsid w:val="00DE2DE3"/>
    <w:rsid w:val="00DE6052"/>
    <w:rsid w:val="00DF3B68"/>
    <w:rsid w:val="00DF440B"/>
    <w:rsid w:val="00DF5815"/>
    <w:rsid w:val="00DF7F4C"/>
    <w:rsid w:val="00E00298"/>
    <w:rsid w:val="00E011CF"/>
    <w:rsid w:val="00E01436"/>
    <w:rsid w:val="00E027B2"/>
    <w:rsid w:val="00E0293F"/>
    <w:rsid w:val="00E03912"/>
    <w:rsid w:val="00E045BD"/>
    <w:rsid w:val="00E04B4A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D20"/>
    <w:rsid w:val="00E30AAF"/>
    <w:rsid w:val="00E31714"/>
    <w:rsid w:val="00E318F3"/>
    <w:rsid w:val="00E31B99"/>
    <w:rsid w:val="00E32061"/>
    <w:rsid w:val="00E3508C"/>
    <w:rsid w:val="00E366C2"/>
    <w:rsid w:val="00E36AD5"/>
    <w:rsid w:val="00E36B28"/>
    <w:rsid w:val="00E427CB"/>
    <w:rsid w:val="00E42FF9"/>
    <w:rsid w:val="00E454B8"/>
    <w:rsid w:val="00E46B47"/>
    <w:rsid w:val="00E4714C"/>
    <w:rsid w:val="00E5190C"/>
    <w:rsid w:val="00E51AEB"/>
    <w:rsid w:val="00E522A7"/>
    <w:rsid w:val="00E53A0C"/>
    <w:rsid w:val="00E54452"/>
    <w:rsid w:val="00E55979"/>
    <w:rsid w:val="00E56611"/>
    <w:rsid w:val="00E604F4"/>
    <w:rsid w:val="00E60589"/>
    <w:rsid w:val="00E664C5"/>
    <w:rsid w:val="00E671A2"/>
    <w:rsid w:val="00E67D99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E05"/>
    <w:rsid w:val="00E861B7"/>
    <w:rsid w:val="00E914B3"/>
    <w:rsid w:val="00E95166"/>
    <w:rsid w:val="00E95726"/>
    <w:rsid w:val="00EA0278"/>
    <w:rsid w:val="00EA0D97"/>
    <w:rsid w:val="00EA1D9A"/>
    <w:rsid w:val="00EA45BA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4180"/>
    <w:rsid w:val="00EE41D5"/>
    <w:rsid w:val="00EF4217"/>
    <w:rsid w:val="00EF6153"/>
    <w:rsid w:val="00F00332"/>
    <w:rsid w:val="00F02201"/>
    <w:rsid w:val="00F030E1"/>
    <w:rsid w:val="00F037A4"/>
    <w:rsid w:val="00F0474B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7172"/>
    <w:rsid w:val="00F37483"/>
    <w:rsid w:val="00F37D5F"/>
    <w:rsid w:val="00F4061B"/>
    <w:rsid w:val="00F43795"/>
    <w:rsid w:val="00F4477E"/>
    <w:rsid w:val="00F447C8"/>
    <w:rsid w:val="00F50BA2"/>
    <w:rsid w:val="00F54B60"/>
    <w:rsid w:val="00F601A3"/>
    <w:rsid w:val="00F67D8F"/>
    <w:rsid w:val="00F70A4C"/>
    <w:rsid w:val="00F71749"/>
    <w:rsid w:val="00F82A0F"/>
    <w:rsid w:val="00F83CA3"/>
    <w:rsid w:val="00F86024"/>
    <w:rsid w:val="00F8611A"/>
    <w:rsid w:val="00F865C6"/>
    <w:rsid w:val="00F86708"/>
    <w:rsid w:val="00F8700B"/>
    <w:rsid w:val="00F9161E"/>
    <w:rsid w:val="00F94BC4"/>
    <w:rsid w:val="00F95947"/>
    <w:rsid w:val="00F9630B"/>
    <w:rsid w:val="00FA05E8"/>
    <w:rsid w:val="00FA2205"/>
    <w:rsid w:val="00FA2604"/>
    <w:rsid w:val="00FA3205"/>
    <w:rsid w:val="00FA3557"/>
    <w:rsid w:val="00FA5128"/>
    <w:rsid w:val="00FA6D8E"/>
    <w:rsid w:val="00FA733A"/>
    <w:rsid w:val="00FB0997"/>
    <w:rsid w:val="00FB1066"/>
    <w:rsid w:val="00FB13CA"/>
    <w:rsid w:val="00FB42D4"/>
    <w:rsid w:val="00FB5314"/>
    <w:rsid w:val="00FB558D"/>
    <w:rsid w:val="00FB5906"/>
    <w:rsid w:val="00FB762F"/>
    <w:rsid w:val="00FB7C6D"/>
    <w:rsid w:val="00FC2186"/>
    <w:rsid w:val="00FC2AED"/>
    <w:rsid w:val="00FC4A0F"/>
    <w:rsid w:val="00FC50D1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E5B79"/>
    <w:rsid w:val="00FF4611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42" Type="http://schemas.openxmlformats.org/officeDocument/2006/relationships/image" Target="media/image37.png"/><Relationship Id="rId47" Type="http://schemas.openxmlformats.org/officeDocument/2006/relationships/header" Target="header2.xml"/><Relationship Id="rId63" Type="http://schemas.openxmlformats.org/officeDocument/2006/relationships/hyperlink" Target="http://stat.gov.pl/obszary-tematyczne/koniunktura/koniunktura/badanie-koniunktury-gospodarczej-zeszyt-metodologiczny,5,9.html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png"/><Relationship Id="rId45" Type="http://schemas.openxmlformats.org/officeDocument/2006/relationships/header" Target="header1.xml"/><Relationship Id="rId53" Type="http://schemas.openxmlformats.org/officeDocument/2006/relationships/image" Target="media/image44.png"/><Relationship Id="rId58" Type="http://schemas.openxmlformats.org/officeDocument/2006/relationships/hyperlink" Target="http://swaid.stat.gov.pl/SitePagesDBW/KoniunkturaGospodarcza.aspx" TargetMode="External"/><Relationship Id="rId66" Type="http://schemas.openxmlformats.org/officeDocument/2006/relationships/hyperlink" Target="http://stat.gov.pl/metainformacje/slownik-pojec/pojecia-stosowane-w-statystyce-publicznej/2076,pojeci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tat.gov.pl/obszary-tematyczne/koniunktura/koniunktura/publikacja,4.html" TargetMode="External"/><Relationship Id="rId19" Type="http://schemas.openxmlformats.org/officeDocument/2006/relationships/image" Target="media/image14.pn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56" Type="http://schemas.openxmlformats.org/officeDocument/2006/relationships/hyperlink" Target="http://stat.gov.pl/infografiki-widzety/infografiki/publikacja,38.html" TargetMode="External"/><Relationship Id="rId64" Type="http://schemas.openxmlformats.org/officeDocument/2006/relationships/hyperlink" Target="http://swaid.stat.gov.pl/SitePagesDBW/KoniunkturaGospodarcza.aspx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3.jpg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33" Type="http://schemas.openxmlformats.org/officeDocument/2006/relationships/image" Target="media/image28.emf"/><Relationship Id="rId38" Type="http://schemas.openxmlformats.org/officeDocument/2006/relationships/image" Target="media/image33.png"/><Relationship Id="rId46" Type="http://schemas.openxmlformats.org/officeDocument/2006/relationships/footer" Target="footer1.xml"/><Relationship Id="rId59" Type="http://schemas.openxmlformats.org/officeDocument/2006/relationships/hyperlink" Target="http://bdm.stat.gov.pl/" TargetMode="External"/><Relationship Id="rId67" Type="http://schemas.openxmlformats.org/officeDocument/2006/relationships/header" Target="header3.xml"/><Relationship Id="rId20" Type="http://schemas.openxmlformats.org/officeDocument/2006/relationships/image" Target="media/image15.emf"/><Relationship Id="rId41" Type="http://schemas.openxmlformats.org/officeDocument/2006/relationships/image" Target="media/image36.png"/><Relationship Id="rId54" Type="http://schemas.openxmlformats.org/officeDocument/2006/relationships/image" Target="media/image45.png"/><Relationship Id="rId62" Type="http://schemas.openxmlformats.org/officeDocument/2006/relationships/hyperlink" Target="http://stat.gov.pl/infografiki-widzety/infografiki/publikacja,3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hyperlink" Target="mailto:obslugaprasowa@stat.gov.pl" TargetMode="External"/><Relationship Id="rId57" Type="http://schemas.openxmlformats.org/officeDocument/2006/relationships/hyperlink" Target="http://stat.gov.pl/obszary-tematyczne/koniunktura/koniunktura/badanie-koniunktury-gospodarczej-zeszyt-metodologiczny,5,9.html" TargetMode="External"/><Relationship Id="rId10" Type="http://schemas.openxmlformats.org/officeDocument/2006/relationships/image" Target="media/image5.png"/><Relationship Id="rId31" Type="http://schemas.openxmlformats.org/officeDocument/2006/relationships/image" Target="media/image26.emf"/><Relationship Id="rId44" Type="http://schemas.openxmlformats.org/officeDocument/2006/relationships/image" Target="media/image39.png"/><Relationship Id="rId52" Type="http://schemas.openxmlformats.org/officeDocument/2006/relationships/image" Target="media/image43.png"/><Relationship Id="rId60" Type="http://schemas.openxmlformats.org/officeDocument/2006/relationships/hyperlink" Target="http://stat.gov.pl/metainformacje/slownik-pojec/pojecia-stosowane-w-statystyce-publicznej/2076,pojecie.html" TargetMode="External"/><Relationship Id="rId65" Type="http://schemas.openxmlformats.org/officeDocument/2006/relationships/hyperlink" Target="http://bdm.stat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9" Type="http://schemas.openxmlformats.org/officeDocument/2006/relationships/image" Target="media/image34.png"/><Relationship Id="rId34" Type="http://schemas.openxmlformats.org/officeDocument/2006/relationships/image" Target="media/image29.emf"/><Relationship Id="rId50" Type="http://schemas.openxmlformats.org/officeDocument/2006/relationships/image" Target="media/image41.png"/><Relationship Id="rId55" Type="http://schemas.openxmlformats.org/officeDocument/2006/relationships/hyperlink" Target="http://stat.gov.pl/obszary-tematyczne/koniunktura/koniunktura/publikacja,4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4A3F-401E-425C-9CF0-BD4AC068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1423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2020-08-18T14:19:00Z</dcterms:created>
  <dcterms:modified xsi:type="dcterms:W3CDTF">2020-08-19T05:24:00Z</dcterms:modified>
</cp:coreProperties>
</file>