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1ba11d16c45476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76D26" w:rsidR="00C7346B" w:rsidP="00633014" w:rsidRDefault="00276811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Pr="00E76D26" w:rsidR="00E76D26">
        <w:t xml:space="preserve">udownictwie, handlu i usługach </w:t>
      </w:r>
      <w:r w:rsidR="00F601A3">
        <w:t xml:space="preserve">– </w:t>
      </w:r>
      <w:r w:rsidR="00DA7C1C">
        <w:t>październik</w:t>
      </w:r>
      <w:r w:rsidR="00F601A3">
        <w:t xml:space="preserve"> 2020</w:t>
      </w:r>
      <w:r w:rsidR="00003437">
        <w:t xml:space="preserve"> r.</w:t>
      </w:r>
    </w:p>
    <w:p w:rsidRPr="001E196E" w:rsidR="0098135C" w:rsidP="00E76D26" w:rsidRDefault="000E0C8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ED18DF" w:rsidP="0036698B" w:rsidRDefault="00BB112E">
      <w:pPr>
        <w:pStyle w:val="LID"/>
      </w:pPr>
      <w:r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editId="16231DE1" wp14:anchorId="7F1CFD0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AB6123" w:rsidP="00633014" w:rsidRDefault="00AB612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-9,7</w:t>
                            </w:r>
                          </w:p>
                          <w:p w:rsidRPr="007D3319" w:rsidR="00AB6123" w:rsidP="00F601A3" w:rsidRDefault="00AB612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Pr="007D3319" w:rsidR="00AB6123" w:rsidP="00F601A3" w:rsidRDefault="00AB612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FD01">
                <v:stroke joinstyle="miter"/>
                <v:path gradientshapeok="t" o:connecttype="rect"/>
              </v:shapetype>
              <v:shape id="Pole tekstowe 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>
                <v:textbox>
                  <w:txbxContent>
                    <w:p w:rsidRPr="00B66B19" w:rsidR="00AB6123" w:rsidP="00633014" w:rsidRDefault="00AB612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-9,7</w:t>
                      </w:r>
                    </w:p>
                    <w:p w:rsidRPr="007D3319" w:rsidR="00AB6123" w:rsidP="00F601A3" w:rsidRDefault="00AB612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Pr="007D3319" w:rsidR="00AB6123" w:rsidP="00F601A3" w:rsidRDefault="00AB612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FBF">
        <w:drawing>
          <wp:anchor distT="0" distB="0" distL="114300" distR="114300" simplePos="0" relativeHeight="252268544" behindDoc="0" locked="0" layoutInCell="1" allowOverlap="1" wp14:editId="24CB29EC" wp14:anchorId="5C3E06CB">
            <wp:simplePos x="0" y="0"/>
            <wp:positionH relativeFrom="page">
              <wp:align>right</wp:align>
            </wp:positionH>
            <wp:positionV relativeFrom="paragraph">
              <wp:posOffset>658858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96E" w:rsidR="00CF75EC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editId="40BF1F35" wp14:anchorId="129D89E0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2FBF" w:rsidR="00AB6123" w:rsidP="00F22FBF" w:rsidRDefault="00AB6123">
                            <w:pPr>
                              <w:spacing w:after="0"/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w14:anchorId="129D89E0">
                <v:textbox>
                  <w:txbxContent>
                    <w:p w:rsidRPr="00F22FBF" w:rsidR="00AB6123" w:rsidP="00F22FBF" w:rsidRDefault="00AB6123">
                      <w:pPr>
                        <w:spacing w:after="0"/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4226">
        <w:t xml:space="preserve">W </w:t>
      </w:r>
      <w:r w:rsidR="00FF796D">
        <w:t>październiku</w:t>
      </w:r>
      <w:r w:rsidRPr="009573A7" w:rsidR="00FF796D">
        <w:t xml:space="preserve"> br. </w:t>
      </w:r>
      <w:r w:rsidR="00FF796D">
        <w:t>wskaźnik ogólnego klimatu koniunktury</w:t>
      </w:r>
      <w:r w:rsidRPr="009573A7" w:rsidR="00FF796D">
        <w:t xml:space="preserve"> w</w:t>
      </w:r>
      <w:r w:rsidR="00FF796D">
        <w:t>e wszystkich</w:t>
      </w:r>
      <w:r w:rsidRPr="009573A7" w:rsidR="00FF796D">
        <w:t xml:space="preserve"> prezentowanych</w:t>
      </w:r>
      <w:r w:rsidR="00FF796D">
        <w:t xml:space="preserve"> obszarach</w:t>
      </w:r>
      <w:r w:rsidRPr="009573A7" w:rsidR="00FF796D">
        <w:t xml:space="preserve"> gospodarki </w:t>
      </w:r>
      <w:r w:rsidR="00FF796D">
        <w:t>(za wyjątkiem handlu hurtowego) kształtuje się na niższym poziomie niż w miesiącu poprzednim</w:t>
      </w:r>
      <w:r w:rsidRPr="009573A7" w:rsidR="00FF796D">
        <w:t>.</w:t>
      </w:r>
      <w:r w:rsidR="00FF796D">
        <w:t xml:space="preserve"> Jako jedyne, pozytywnie oceniają koniunkturę jednostki z sekcji informacja i komunikacja oraz działalność finansowa i ubezpieczeniowa. W większości obszarów badawczych nie obserwuje się zmian w poziomie składowych „diagnostycznych”, natomiast w przypadku „prognostycznych” odnotowuje się pogorszenie we wszystkich obszarach.</w:t>
      </w:r>
    </w:p>
    <w:p w:rsidR="009573A7" w:rsidP="0036698B" w:rsidRDefault="0029717B">
      <w:pPr>
        <w:pStyle w:val="LID"/>
      </w:pPr>
      <w:r>
        <w:t xml:space="preserve">Do badania za </w:t>
      </w:r>
      <w:r w:rsidR="00753BA8">
        <w:t>październik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753BA8">
        <w:t>października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Pr="008D372E" w:rsidR="004257A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7D4C24" w:rsidP="0036698B" w:rsidRDefault="007D4C24">
      <w:pPr>
        <w:pStyle w:val="LID"/>
      </w:pPr>
    </w:p>
    <w:p w:rsidRPr="00083125" w:rsidR="00E011CF" w:rsidP="00A82134" w:rsidRDefault="001E3B78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editId="25C104D1" wp14:anchorId="49D93AF4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E011CF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Pr="00083125" w:rsidR="00D46DAF">
        <w:rPr>
          <w:spacing w:val="-2"/>
          <w:szCs w:val="19"/>
        </w:rPr>
        <w:t>(wykres 1)</w:t>
      </w:r>
    </w:p>
    <w:p w:rsidR="004A1693" w:rsidP="00C33ADA" w:rsidRDefault="008A4226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październiku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9,7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>w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e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wrześniu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6,2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Pr="005719B3" w:rsidR="005719B3">
        <w:t xml:space="preserve"> </w:t>
      </w:r>
    </w:p>
    <w:p w:rsidR="005958A9" w:rsidP="00C33ADA" w:rsidRDefault="0072251B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72251B">
        <w:rPr>
          <w:noProof/>
          <w:lang w:eastAsia="pl-PL"/>
        </w:rPr>
        <w:drawing>
          <wp:anchor distT="0" distB="0" distL="114300" distR="114300" simplePos="0" relativeHeight="252619776" behindDoc="0" locked="0" layoutInCell="1" allowOverlap="1">
            <wp:simplePos x="0" y="0"/>
            <wp:positionH relativeFrom="column">
              <wp:posOffset>5258915</wp:posOffset>
            </wp:positionH>
            <wp:positionV relativeFrom="paragraph">
              <wp:posOffset>172782</wp:posOffset>
            </wp:positionV>
            <wp:extent cx="1573200" cy="18396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51B">
        <w:rPr>
          <w:noProof/>
          <w:lang w:eastAsia="pl-PL"/>
        </w:rPr>
        <w:drawing>
          <wp:anchor distT="0" distB="0" distL="114300" distR="114300" simplePos="0" relativeHeight="25261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5122800" cy="16560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51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958A9" w:rsid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A3B13" w:rsidP="00C33ADA" w:rsidRDefault="00EA3B13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Pr="00083125" w:rsidR="00E011CF" w:rsidP="00E011CF" w:rsidRDefault="001E3B78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editId="28F1B65D" wp14:anchorId="746015A6">
            <wp:simplePos x="0" y="0"/>
            <wp:positionH relativeFrom="margin">
              <wp:align>left</wp:align>
            </wp:positionH>
            <wp:positionV relativeFrom="paragraph">
              <wp:posOffset>5731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Pr="00083125" w:rsidR="00D46DAF">
        <w:rPr>
          <w:spacing w:val="-2"/>
          <w:szCs w:val="19"/>
        </w:rPr>
        <w:t>(wykres 2)</w:t>
      </w:r>
      <w:r w:rsidRPr="006903BA" w:rsidR="006903BA">
        <w:rPr>
          <w:bCs w:val="0"/>
          <w:spacing w:val="-2"/>
          <w:szCs w:val="19"/>
        </w:rPr>
        <w:t xml:space="preserve"> </w:t>
      </w:r>
    </w:p>
    <w:p w:rsidRPr="00AC619B" w:rsidR="00AC619B" w:rsidP="00AC619B" w:rsidRDefault="00EA3B13">
      <w:pPr>
        <w:spacing w:before="120" w:after="120"/>
        <w:rPr>
          <w:noProof/>
        </w:rPr>
      </w:pPr>
      <w:r w:rsidRPr="00EA3B13">
        <w:rPr>
          <w:noProof/>
          <w:lang w:eastAsia="pl-PL"/>
        </w:rPr>
        <w:drawing>
          <wp:anchor distT="0" distB="0" distL="114300" distR="114300" simplePos="0" relativeHeight="252621824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412750</wp:posOffset>
            </wp:positionV>
            <wp:extent cx="1573200" cy="18396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B13">
        <w:rPr>
          <w:noProof/>
          <w:lang w:eastAsia="pl-PL"/>
        </w:rPr>
        <w:drawing>
          <wp:anchor distT="0" distB="0" distL="114300" distR="114300" simplePos="0" relativeHeight="252620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5122800" cy="1656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październiku wskaźnik ogólnego klimatu koniunktury (NSA) kształtuje się na poziomie minus 16,5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niższym niż we wrześniu (minus 15,0).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Pr="00506FD7" w:rsidR="00E011CF" w:rsidP="00E011CF" w:rsidRDefault="00E011CF">
      <w:pPr>
        <w:pStyle w:val="tytuwykresu"/>
      </w:pPr>
    </w:p>
    <w:p w:rsidRPr="00083125" w:rsidR="00E011CF" w:rsidP="00E011CF" w:rsidRDefault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editId="4078084F" wp14:anchorId="65891080">
            <wp:simplePos x="0" y="0"/>
            <wp:positionH relativeFrom="margin">
              <wp:align>left</wp:align>
            </wp:positionH>
            <wp:positionV relativeFrom="paragraph">
              <wp:posOffset>80382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Pr="00083125" w:rsidR="00D46DAF">
        <w:rPr>
          <w:spacing w:val="-2"/>
          <w:szCs w:val="19"/>
        </w:rPr>
        <w:t>(wykres 3)</w:t>
      </w:r>
    </w:p>
    <w:p w:rsidRPr="009E4ACC" w:rsidR="00E011CF" w:rsidP="00C33455" w:rsidRDefault="009B09B3">
      <w:pPr>
        <w:spacing w:before="120" w:after="120"/>
        <w:ind w:left="1134"/>
        <w:rPr>
          <w:lang w:eastAsia="pl-PL"/>
        </w:rPr>
      </w:pPr>
      <w:r w:rsidRPr="009B09B3">
        <w:rPr>
          <w:noProof/>
          <w:lang w:eastAsia="pl-PL"/>
        </w:rPr>
        <w:drawing>
          <wp:anchor distT="0" distB="0" distL="114300" distR="114300" simplePos="0" relativeHeight="252623872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411480</wp:posOffset>
            </wp:positionV>
            <wp:extent cx="1573200" cy="18396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337" w:rsidR="00B81337">
        <w:rPr>
          <w:noProof/>
          <w:lang w:eastAsia="pl-PL"/>
        </w:rPr>
        <w:drawing>
          <wp:anchor distT="0" distB="0" distL="114300" distR="114300" simplePos="0" relativeHeight="252622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529187</wp:posOffset>
            </wp:positionV>
            <wp:extent cx="5122800" cy="16560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B7C" w:rsidR="005E0B7C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kształtuje się na poziomie minus 5,3 – podobnym jak we wrześniu (minus 4,5).</w:t>
      </w:r>
      <w:r w:rsidRPr="009B0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P="00E011CF" w:rsidRDefault="00B81337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B81337">
        <w:rPr>
          <w:rFonts w:ascii="Fira Sans" w:hAnsi="Fira Sans"/>
          <w:b/>
          <w:spacing w:val="-2"/>
          <w:sz w:val="18"/>
        </w:rPr>
        <w:t xml:space="preserve"> </w:t>
      </w:r>
      <w:r w:rsidRPr="00045E4E" w:rsidR="00045E4E">
        <w:rPr>
          <w:rFonts w:ascii="Fira Sans" w:hAnsi="Fira Sans"/>
          <w:b/>
          <w:spacing w:val="-2"/>
          <w:sz w:val="18"/>
        </w:rPr>
        <w:t xml:space="preserve"> </w:t>
      </w:r>
      <w:r w:rsidRPr="00B30271" w:rsidR="00B30271">
        <w:rPr>
          <w:rFonts w:ascii="Fira Sans" w:hAnsi="Fira Sans"/>
          <w:b/>
          <w:spacing w:val="-2"/>
          <w:sz w:val="18"/>
        </w:rPr>
        <w:t xml:space="preserve"> </w:t>
      </w:r>
    </w:p>
    <w:p w:rsidRPr="00083125" w:rsidR="00E011CF" w:rsidP="009205C5" w:rsidRDefault="00B81337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editId="17A01C81" wp14:anchorId="22CD26FD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E011CF">
        <w:t>Handel detalicz</w:t>
      </w:r>
      <w:r w:rsidR="00CB6289">
        <w:t xml:space="preserve">ny </w:t>
      </w:r>
      <w:r w:rsidRPr="00083125" w:rsidR="00D46DAF">
        <w:t>(wykres 4)</w:t>
      </w:r>
    </w:p>
    <w:p w:rsidR="000F4EBC" w:rsidP="00C36D96" w:rsidRDefault="00AB6123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AB6123">
        <w:rPr>
          <w:noProof/>
          <w:lang w:eastAsia="pl-PL"/>
        </w:rPr>
        <w:drawing>
          <wp:anchor distT="0" distB="0" distL="114300" distR="114300" simplePos="0" relativeHeight="252625920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406400</wp:posOffset>
            </wp:positionV>
            <wp:extent cx="1573200" cy="18396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123">
        <w:rPr>
          <w:noProof/>
          <w:lang w:eastAsia="pl-PL"/>
        </w:rPr>
        <w:drawing>
          <wp:anchor distT="0" distB="0" distL="114300" distR="114300" simplePos="0" relativeHeight="2526248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525145</wp:posOffset>
            </wp:positionV>
            <wp:extent cx="5122800" cy="16560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B7C" w:rsidR="005E0B7C">
        <w:rPr>
          <w:rFonts w:ascii="Fira Sans" w:hAnsi="Fira Sans"/>
          <w:spacing w:val="-4"/>
          <w:sz w:val="19"/>
          <w:szCs w:val="19"/>
        </w:rPr>
        <w:t>W październiku wskaźnik ogólnego klimatu koniunktury (NSA) kształtuje się na poziomie minus 9,8 – niższym niż przed miesiącem (minus 6,5).</w:t>
      </w:r>
      <w:r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P="00E011CF" w:rsidRDefault="005F2ED2">
      <w:pPr>
        <w:spacing w:before="120" w:after="120"/>
        <w:rPr>
          <w:rFonts w:ascii="Fira Sans SemiBold" w:hAnsi="Fira Sans SemiBold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9205C5" w:rsidRDefault="00E011CF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editId="005CBB75" wp14:anchorId="53EC5C07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Pr="00673FB6" w:rsidR="00CB6289">
        <w:rPr>
          <w:rStyle w:val="Nagwek1Znak"/>
          <w:rFonts w:eastAsiaTheme="minorHAnsi"/>
        </w:rPr>
        <w:t>magazynowa</w:t>
      </w:r>
      <w:r w:rsidR="00CB6289">
        <w:t xml:space="preserve"> </w:t>
      </w:r>
      <w:r w:rsidRPr="00083125" w:rsidR="00D46DAF">
        <w:t>(wykres 5)</w:t>
      </w:r>
    </w:p>
    <w:p w:rsidRPr="001857EF" w:rsidR="001857EF" w:rsidP="000B24BC" w:rsidRDefault="00D064DE">
      <w:pPr>
        <w:spacing w:before="120" w:after="120"/>
        <w:ind w:left="1134" w:hanging="1134"/>
        <w:rPr>
          <w:noProof/>
        </w:rPr>
      </w:pPr>
      <w:r w:rsidRPr="00D064DE">
        <w:rPr>
          <w:noProof/>
          <w:lang w:eastAsia="pl-PL"/>
        </w:rPr>
        <w:drawing>
          <wp:anchor distT="0" distB="0" distL="114300" distR="114300" simplePos="0" relativeHeight="252627968" behindDoc="0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394970</wp:posOffset>
            </wp:positionV>
            <wp:extent cx="1573200" cy="1839600"/>
            <wp:effectExtent l="0" t="0" r="8255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4DE">
        <w:rPr>
          <w:noProof/>
          <w:lang w:eastAsia="pl-PL"/>
        </w:rPr>
        <w:drawing>
          <wp:anchor distT="0" distB="0" distL="114300" distR="114300" simplePos="0" relativeHeight="25262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485264</wp:posOffset>
            </wp:positionV>
            <wp:extent cx="5122800" cy="16560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7EF" w:rsid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E026BD">
        <w:rPr>
          <w:rFonts w:ascii="Fira Sans" w:hAnsi="Fira Sans"/>
          <w:spacing w:val="-4"/>
          <w:sz w:val="19"/>
          <w:szCs w:val="19"/>
        </w:rPr>
        <w:t>12,8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Pr="005E0B7C" w:rsidR="009C1653">
        <w:rPr>
          <w:rFonts w:ascii="Fira Sans" w:hAnsi="Fira Sans"/>
          <w:spacing w:val="-4"/>
          <w:sz w:val="19"/>
          <w:szCs w:val="19"/>
        </w:rPr>
        <w:t>–</w:t>
      </w:r>
      <w:r w:rsidRPr="005719B3"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26BD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>w</w:t>
      </w:r>
      <w:r w:rsidR="00E026BD">
        <w:rPr>
          <w:rFonts w:ascii="Fira Sans" w:hAnsi="Fira Sans"/>
          <w:noProof/>
          <w:spacing w:val="-4"/>
          <w:sz w:val="19"/>
          <w:szCs w:val="19"/>
          <w:lang w:eastAsia="pl-PL"/>
        </w:rPr>
        <w:t>e</w:t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26BD">
        <w:rPr>
          <w:rFonts w:ascii="Fira Sans" w:hAnsi="Fira Sans"/>
          <w:noProof/>
          <w:spacing w:val="-4"/>
          <w:sz w:val="19"/>
          <w:szCs w:val="19"/>
          <w:lang w:eastAsia="pl-PL"/>
        </w:rPr>
        <w:t>wrześniu</w:t>
      </w:r>
      <w:r w:rsidRPr="005719B3"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E026BD">
        <w:rPr>
          <w:rFonts w:ascii="Fira Sans" w:hAnsi="Fira Sans"/>
          <w:spacing w:val="-4"/>
          <w:sz w:val="19"/>
          <w:szCs w:val="19"/>
        </w:rPr>
        <w:t>8,7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Pr="00695FFB" w:rsidR="004F5A7C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P="00E011CF" w:rsidRDefault="00D064DE">
      <w:pPr>
        <w:spacing w:before="120" w:after="120"/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D064DE">
        <w:t xml:space="preserve"> </w:t>
      </w:r>
      <w:r w:rsidRPr="003F754E" w:rsidR="003F754E"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</w:p>
    <w:p w:rsidRPr="00083125" w:rsidR="00E011CF" w:rsidP="00642AE9" w:rsidRDefault="00E011CF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lastRenderedPageBreak/>
        <w:t>Zakwaterowanie i g</w:t>
      </w:r>
      <w:r w:rsidR="00CB6289">
        <w:t xml:space="preserve">astronomia </w:t>
      </w:r>
      <w:r w:rsidRPr="00083125" w:rsidR="00D46DAF">
        <w:t>(wykres 6)</w:t>
      </w:r>
    </w:p>
    <w:p w:rsidRPr="00C72CB8" w:rsidR="009F66B2" w:rsidP="009F66B2" w:rsidRDefault="00A82134">
      <w:pPr>
        <w:spacing w:before="120" w:after="120"/>
        <w:rPr>
          <w:noProof/>
        </w:rPr>
      </w:pPr>
      <w:r w:rsidRPr="00083125">
        <w:rPr>
          <w:noProof/>
          <w:lang w:eastAsia="pl-PL"/>
        </w:rPr>
        <w:drawing>
          <wp:anchor distT="0" distB="0" distL="114300" distR="114300" simplePos="0" relativeHeight="252247040" behindDoc="1" locked="0" layoutInCell="1" allowOverlap="1" wp14:editId="30634BA0" wp14:anchorId="19EB237E">
            <wp:simplePos x="0" y="0"/>
            <wp:positionH relativeFrom="margin">
              <wp:posOffset>20955</wp:posOffset>
            </wp:positionH>
            <wp:positionV relativeFrom="paragraph">
              <wp:posOffset>10160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BB" w:rsidR="00DC34BB">
        <w:rPr>
          <w:noProof/>
          <w:lang w:eastAsia="pl-PL"/>
        </w:rPr>
        <w:drawing>
          <wp:anchor distT="0" distB="0" distL="114300" distR="114300" simplePos="0" relativeHeight="252630016" behindDoc="0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730250</wp:posOffset>
            </wp:positionV>
            <wp:extent cx="1573200" cy="1839600"/>
            <wp:effectExtent l="0" t="0" r="8255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BB" w:rsidR="00DC34BB">
        <w:rPr>
          <w:noProof/>
          <w:lang w:eastAsia="pl-PL"/>
        </w:rPr>
        <w:drawing>
          <wp:anchor distT="0" distB="0" distL="114300" distR="114300" simplePos="0" relativeHeight="2526289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849042</wp:posOffset>
            </wp:positionV>
            <wp:extent cx="5122800" cy="1656000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6B2" w:rsid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Pr="009F66B2" w:rsidR="00FF796D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>w bieżącym miesiącu na poziomie minus 29,0 wobec minus 21,2 we wrześniu</w:t>
      </w:r>
      <w:r w:rsidRPr="00C72CB8" w:rsidR="00FF796D">
        <w:rPr>
          <w:rFonts w:ascii="Fira Sans" w:hAnsi="Fira Sans"/>
          <w:spacing w:val="-4"/>
          <w:sz w:val="19"/>
          <w:szCs w:val="19"/>
        </w:rPr>
        <w:t xml:space="preserve">. Podmioty </w:t>
      </w:r>
      <w:r w:rsidR="00FF796D">
        <w:rPr>
          <w:rFonts w:ascii="Fira Sans" w:hAnsi="Fira Sans"/>
          <w:spacing w:val="-4"/>
          <w:sz w:val="19"/>
          <w:szCs w:val="19"/>
        </w:rPr>
        <w:t>prowadzące działalność w </w:t>
      </w:r>
      <w:r w:rsidRPr="00C72CB8" w:rsidR="00FF796D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35,1) </w:t>
      </w:r>
      <w:r w:rsidRPr="00C72CB8" w:rsidR="00FF796D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27,6), choć te ostatnie odnotowują większe pogorszenie koniunktury w skali miesiąca</w:t>
      </w:r>
      <w:r w:rsidRPr="00C72CB8" w:rsidR="00795CEE">
        <w:rPr>
          <w:rFonts w:ascii="Fira Sans" w:hAnsi="Fira Sans"/>
          <w:spacing w:val="-4"/>
          <w:sz w:val="19"/>
          <w:szCs w:val="19"/>
        </w:rPr>
        <w:t>.</w:t>
      </w:r>
      <w:r w:rsidRPr="00C72CB8" w:rsidR="002C3C20">
        <w:rPr>
          <w:rFonts w:ascii="Fira Sans" w:hAnsi="Fira Sans"/>
          <w:spacing w:val="-4"/>
          <w:sz w:val="19"/>
          <w:szCs w:val="19"/>
        </w:rPr>
        <w:t xml:space="preserve"> </w:t>
      </w:r>
      <w:bookmarkStart w:name="_GoBack" w:id="0"/>
      <w:bookmarkEnd w:id="0"/>
    </w:p>
    <w:p w:rsidR="000C5ECF" w:rsidP="00FF796D" w:rsidRDefault="00FF796D">
      <w:pPr>
        <w:spacing w:before="36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01308C">
        <w:rPr>
          <w:noProof/>
          <w:lang w:eastAsia="pl-PL"/>
        </w:rPr>
        <w:drawing>
          <wp:anchor distT="0" distB="0" distL="114300" distR="114300" simplePos="0" relativeHeight="252616704" behindDoc="0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1908175</wp:posOffset>
            </wp:positionV>
            <wp:extent cx="1572895" cy="1839595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596">
        <w:rPr>
          <w:noProof/>
          <w:lang w:eastAsia="pl-PL"/>
        </w:rPr>
        <w:drawing>
          <wp:anchor distT="0" distB="0" distL="114300" distR="114300" simplePos="0" relativeHeight="25264435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2016760</wp:posOffset>
            </wp:positionV>
            <wp:extent cx="5122545" cy="1655445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596" w:rsidR="00507596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  <w:r w:rsidRPr="00507596" w:rsidR="00507596">
        <w:t xml:space="preserve"> </w:t>
      </w:r>
      <w:r w:rsidRPr="00E427CB"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a</w:t>
      </w:r>
      <w:r w:rsidRPr="00E427CB"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)</w:t>
      </w:r>
      <w:r w:rsidRPr="00812DFA" w:rsidR="00812DFA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P="00FF796D" w:rsidRDefault="00FF796D">
      <w:pPr>
        <w:spacing w:before="36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520F91">
        <w:rPr>
          <w:noProof/>
          <w:lang w:eastAsia="pl-PL"/>
        </w:rPr>
        <w:drawing>
          <wp:anchor distT="0" distB="0" distL="114300" distR="114300" simplePos="0" relativeHeight="252617728" behindDoc="0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1862555</wp:posOffset>
            </wp:positionV>
            <wp:extent cx="1573200" cy="183960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596">
        <w:rPr>
          <w:noProof/>
          <w:lang w:eastAsia="pl-PL"/>
        </w:rPr>
        <w:drawing>
          <wp:anchor distT="0" distB="0" distL="114300" distR="114300" simplePos="0" relativeHeight="25264537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2041924</wp:posOffset>
            </wp:positionV>
            <wp:extent cx="5122545" cy="1655445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66B" w:rsidR="007A666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Pr="00812DFA" w:rsidR="00812DFA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P="00E427CB" w:rsidRDefault="005073E8">
      <w:pPr>
        <w:spacing w:before="12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</w:p>
    <w:p w:rsidR="00916664" w:rsidP="009205C5" w:rsidRDefault="00916664">
      <w:pPr>
        <w:pStyle w:val="Nagwek1"/>
      </w:pPr>
      <w:r>
        <w:br w:type="page"/>
      </w:r>
    </w:p>
    <w:p w:rsidRPr="00083125" w:rsidR="00E011CF" w:rsidP="009205C5" w:rsidRDefault="00E011CF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editId="41B01C5D" wp14:anchorId="0CD4389E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Pr="00083125" w:rsidR="00D46DAF">
        <w:t>(wykres 7)</w:t>
      </w:r>
    </w:p>
    <w:p w:rsidR="00981685" w:rsidP="00981685" w:rsidRDefault="008A4226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 xml:space="preserve">W </w:t>
      </w:r>
      <w:r w:rsidR="002D5173">
        <w:rPr>
          <w:rFonts w:ascii="Fira Sans" w:hAnsi="Fira Sans"/>
          <w:spacing w:val="-4"/>
          <w:sz w:val="19"/>
          <w:szCs w:val="19"/>
        </w:rPr>
        <w:t>październiku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Pr="00981685" w:rsid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2D5173">
        <w:rPr>
          <w:rFonts w:ascii="Fira Sans" w:hAnsi="Fira Sans"/>
          <w:spacing w:val="-4"/>
          <w:sz w:val="19"/>
          <w:szCs w:val="19"/>
        </w:rPr>
        <w:t>7</w:t>
      </w:r>
      <w:r w:rsidR="001E3F3F">
        <w:rPr>
          <w:rFonts w:ascii="Fira Sans" w:hAnsi="Fira Sans"/>
          <w:spacing w:val="-4"/>
          <w:sz w:val="19"/>
          <w:szCs w:val="19"/>
        </w:rPr>
        <w:t>,5</w:t>
      </w:r>
      <w:r w:rsidR="005663F2">
        <w:rPr>
          <w:rFonts w:ascii="Fira Sans" w:hAnsi="Fira Sans"/>
          <w:spacing w:val="-4"/>
          <w:sz w:val="19"/>
          <w:szCs w:val="19"/>
        </w:rPr>
        <w:t xml:space="preserve"> </w:t>
      </w:r>
      <w:r w:rsidRPr="005E0B7C" w:rsidR="009C1653">
        <w:rPr>
          <w:rFonts w:ascii="Fira Sans" w:hAnsi="Fira Sans"/>
          <w:spacing w:val="-4"/>
          <w:sz w:val="19"/>
          <w:szCs w:val="19"/>
        </w:rPr>
        <w:t>–</w:t>
      </w:r>
      <w:r w:rsidRPr="005719B3"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5306A2">
        <w:rPr>
          <w:rFonts w:ascii="Fira Sans" w:hAnsi="Fira Sans"/>
          <w:spacing w:val="-4"/>
          <w:sz w:val="19"/>
          <w:szCs w:val="19"/>
        </w:rPr>
        <w:t xml:space="preserve">plus </w:t>
      </w:r>
      <w:r w:rsidR="002D5173">
        <w:rPr>
          <w:rFonts w:ascii="Fira Sans" w:hAnsi="Fira Sans"/>
          <w:spacing w:val="-4"/>
          <w:sz w:val="19"/>
          <w:szCs w:val="19"/>
        </w:rPr>
        <w:t>9,5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P="00981685" w:rsidRDefault="009276FA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9276FA">
        <w:rPr>
          <w:noProof/>
          <w:lang w:eastAsia="pl-PL"/>
        </w:rPr>
        <w:drawing>
          <wp:anchor distT="0" distB="0" distL="114300" distR="114300" simplePos="0" relativeHeight="252632064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98425</wp:posOffset>
            </wp:positionV>
            <wp:extent cx="1573200" cy="18396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6FA">
        <w:rPr>
          <w:noProof/>
          <w:lang w:eastAsia="pl-PL"/>
        </w:rPr>
        <w:drawing>
          <wp:anchor distT="0" distB="0" distL="114300" distR="114300" simplePos="0" relativeHeight="2526310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193474</wp:posOffset>
            </wp:positionV>
            <wp:extent cx="5122800" cy="1656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6FA">
        <w:rPr>
          <w:rFonts w:ascii="Fira Sans" w:hAnsi="Fira Sans"/>
          <w:spacing w:val="-4"/>
          <w:sz w:val="19"/>
          <w:szCs w:val="19"/>
        </w:rPr>
        <w:t xml:space="preserve"> </w:t>
      </w:r>
    </w:p>
    <w:p w:rsidRPr="00981685" w:rsidR="001E5FEF" w:rsidP="00981685" w:rsidRDefault="001E5FEF">
      <w:pPr>
        <w:spacing w:before="120" w:after="120"/>
        <w:ind w:left="1191" w:hanging="1191"/>
        <w:rPr>
          <w:noProof/>
        </w:rPr>
      </w:pPr>
    </w:p>
    <w:p w:rsidR="00E011CF" w:rsidP="00E011CF" w:rsidRDefault="00E011CF">
      <w:pPr>
        <w:spacing w:before="120" w:after="120"/>
        <w:rPr>
          <w:rFonts w:ascii="Fira Sans SemiBold" w:hAnsi="Fira Sans SemiBold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E011CF" w:rsidRDefault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editId="0820093F" wp14:anchorId="744D4FFE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Pr="00C40E96" w:rsidR="00D46DAF">
        <w:rPr>
          <w:rStyle w:val="Nagwek1Znak"/>
          <w:rFonts w:eastAsiaTheme="minorHAnsi"/>
        </w:rPr>
        <w:t>(wykres 8</w:t>
      </w:r>
      <w:r w:rsidRPr="009205C5" w:rsidR="00D46DAF">
        <w:rPr>
          <w:rStyle w:val="Nagwek1Znak"/>
          <w:rFonts w:eastAsiaTheme="minorHAnsi"/>
        </w:rPr>
        <w:t>)</w:t>
      </w:r>
      <w:r w:rsidRPr="004F030C" w:rsid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Pr="004F030C" w:rsid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P="00641278" w:rsidRDefault="009276FA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9276FA">
        <w:rPr>
          <w:noProof/>
          <w:lang w:eastAsia="pl-PL"/>
        </w:rPr>
        <w:drawing>
          <wp:anchor distT="0" distB="0" distL="114300" distR="114300" simplePos="0" relativeHeight="252634112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408305</wp:posOffset>
            </wp:positionV>
            <wp:extent cx="1573200" cy="1839600"/>
            <wp:effectExtent l="0" t="0" r="8255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6FA">
        <w:rPr>
          <w:noProof/>
          <w:lang w:eastAsia="pl-PL"/>
        </w:rPr>
        <w:drawing>
          <wp:anchor distT="0" distB="0" distL="114300" distR="114300" simplePos="0" relativeHeight="252633088" behindDoc="0" locked="0" layoutInCell="1" allowOverlap="1">
            <wp:simplePos x="0" y="0"/>
            <wp:positionH relativeFrom="column">
              <wp:posOffset>40408</wp:posOffset>
            </wp:positionH>
            <wp:positionV relativeFrom="paragraph">
              <wp:posOffset>518207</wp:posOffset>
            </wp:positionV>
            <wp:extent cx="5122800" cy="16560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278" w:rsid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Pr="00981685" w:rsidR="00A44E2F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2D5173">
        <w:rPr>
          <w:rFonts w:ascii="Fira Sans" w:hAnsi="Fira Sans"/>
          <w:spacing w:val="-4"/>
          <w:sz w:val="19"/>
          <w:szCs w:val="19"/>
        </w:rPr>
        <w:t xml:space="preserve">październiku </w:t>
      </w:r>
      <w:r w:rsidRPr="00981685" w:rsidR="00A44E2F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A44E2F">
        <w:rPr>
          <w:rFonts w:ascii="Fira Sans" w:hAnsi="Fira Sans"/>
          <w:spacing w:val="-4"/>
          <w:sz w:val="19"/>
          <w:szCs w:val="19"/>
        </w:rPr>
        <w:t xml:space="preserve">plus </w:t>
      </w:r>
      <w:r w:rsidR="002D5173">
        <w:rPr>
          <w:rFonts w:ascii="Fira Sans" w:hAnsi="Fira Sans"/>
          <w:spacing w:val="-4"/>
          <w:sz w:val="19"/>
          <w:szCs w:val="19"/>
        </w:rPr>
        <w:t>3,8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 niższym</w:t>
      </w:r>
      <w:r w:rsidR="001E3F3F">
        <w:rPr>
          <w:rFonts w:ascii="Fira Sans" w:hAnsi="Fira Sans"/>
          <w:spacing w:val="-4"/>
          <w:sz w:val="19"/>
          <w:szCs w:val="19"/>
        </w:rPr>
        <w:t xml:space="preserve"> niż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1E3F3F">
        <w:rPr>
          <w:rFonts w:ascii="Fira Sans" w:hAnsi="Fira Sans"/>
          <w:spacing w:val="-4"/>
          <w:sz w:val="19"/>
          <w:szCs w:val="19"/>
        </w:rPr>
        <w:t>plus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2D5173">
        <w:rPr>
          <w:rFonts w:ascii="Fira Sans" w:hAnsi="Fira Sans"/>
          <w:spacing w:val="-4"/>
          <w:sz w:val="19"/>
          <w:szCs w:val="19"/>
        </w:rPr>
        <w:t>5,6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Pr="004609F2" w:rsid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Pr="00641278" w:rsidR="00641278" w:rsidP="00641278" w:rsidRDefault="00641278">
      <w:pPr>
        <w:spacing w:before="120" w:after="120"/>
        <w:ind w:left="1134" w:hanging="1134"/>
        <w:rPr>
          <w:noProof/>
        </w:rPr>
      </w:pPr>
    </w:p>
    <w:p w:rsidRPr="0009541F" w:rsidR="00E011CF" w:rsidP="00E011CF" w:rsidRDefault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P="004F030C" w:rsidRDefault="00CC4D5F">
      <w:pPr>
        <w:spacing w:before="120" w:after="120"/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Pr="00083125" w:rsidR="00A4707B" w:rsidP="00A4707B" w:rsidRDefault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Pr="006D7274" w:rsidR="00A4707B" w:rsidTr="00025D3B">
        <w:tc>
          <w:tcPr>
            <w:tcW w:w="4253" w:type="dxa"/>
            <w:gridSpan w:val="2"/>
            <w:tcBorders>
              <w:top w:val="nil"/>
              <w:left w:val="nil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6D7274" w:rsidR="00A4707B" w:rsidP="00025D3B" w:rsidRDefault="00A4707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color="001D77" w:sz="4" w:space="0"/>
              <w:bottom w:val="single" w:color="001D77" w:sz="12" w:space="0"/>
              <w:right w:val="nil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 w:val="restart"/>
            <w:tcBorders>
              <w:top w:val="single" w:color="001D77" w:sz="12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36160" behindDoc="0" locked="0" layoutInCell="1" allowOverlap="1" wp14:editId="5AAF1469" wp14:anchorId="5C1632F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850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-7,0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37184" behindDoc="0" locked="0" layoutInCell="1" allowOverlap="1" wp14:editId="16E16835" wp14:anchorId="09AEEDB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-15,2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-1,9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-15,0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-1,8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-4,6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-18,4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-24,0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2,1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38208" behindDoc="0" locked="0" layoutInCell="1" allowOverlap="1" wp14:editId="7EFEC2D9" wp14:anchorId="606788F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9,3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39232" behindDoc="0" locked="0" layoutInCell="1" allowOverlap="1" wp14:editId="42A78FD8" wp14:anchorId="0E85EB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-7,5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</w:tr>
      <w:tr w:rsidRPr="006D7274" w:rsidR="00045A8D" w:rsidTr="00045A8D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-8,0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40256" behindDoc="0" locked="0" layoutInCell="1" allowOverlap="1" wp14:editId="6E344DA2" wp14:anchorId="31463A3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-10,0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-8,7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-8,6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-0,8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41280" behindDoc="0" locked="0" layoutInCell="1" allowOverlap="1" wp14:editId="14D1247F" wp14:anchorId="6793312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-24,6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-21,2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-29,0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-17,4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-25,0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-39,8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42304" behindDoc="0" locked="0" layoutInCell="1" allowOverlap="1" wp14:editId="49501386" wp14:anchorId="3671DDA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17,9</w:t>
            </w:r>
          </w:p>
        </w:tc>
        <w:tc>
          <w:tcPr>
            <w:tcW w:w="851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850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276" w:type="dxa"/>
            <w:tcBorders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19,2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17,0</w:t>
            </w:r>
          </w:p>
        </w:tc>
        <w:tc>
          <w:tcPr>
            <w:tcW w:w="851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50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19,2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26,4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26,0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left w:val="nil"/>
              <w:bottom w:val="single" w:color="001D77" w:sz="4" w:space="0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12,4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43328" behindDoc="0" locked="0" layoutInCell="1" allowOverlap="1" wp14:editId="33BE8796" wp14:anchorId="2009D1B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26,4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28,1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34,1</w:t>
            </w:r>
          </w:p>
        </w:tc>
      </w:tr>
      <w:tr w:rsidRPr="006D7274" w:rsidR="00045A8D" w:rsidTr="00045A8D">
        <w:trPr>
          <w:trHeight w:val="369" w:hRule="exact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Pr="006D7274" w:rsidR="00045A8D" w:rsidP="00045A8D" w:rsidRDefault="00045A8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vAlign w:val="center"/>
          </w:tcPr>
          <w:p w:rsidRPr="00445A7C" w:rsidR="00045A8D" w:rsidP="00045A8D" w:rsidRDefault="00045A8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9,8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-11,6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nil"/>
              <w:right w:val="nil"/>
            </w:tcBorders>
            <w:vAlign w:val="center"/>
          </w:tcPr>
          <w:p w:rsidRPr="00045A8D" w:rsidR="00045A8D" w:rsidP="00045A8D" w:rsidRDefault="00045A8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045A8D">
              <w:rPr>
                <w:rFonts w:ascii="Fira Sans" w:hAnsi="Fira Sans" w:cs="Calibri"/>
                <w:color w:val="000000"/>
                <w:sz w:val="14"/>
                <w:szCs w:val="14"/>
              </w:rPr>
              <w:t>22,1</w:t>
            </w:r>
          </w:p>
        </w:tc>
      </w:tr>
    </w:tbl>
    <w:p w:rsidR="00A4707B" w:rsidP="00A4707B" w:rsidRDefault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P="00025D3B" w:rsidRDefault="0065786D">
      <w:pPr>
        <w:pStyle w:val="tytuinformacji"/>
        <w:rPr>
          <w:noProof/>
        </w:rPr>
      </w:pPr>
      <w:r>
        <w:rPr>
          <w:noProof/>
        </w:rPr>
        <w:lastRenderedPageBreak/>
        <w:t xml:space="preserve">Aneks </w:t>
      </w:r>
    </w:p>
    <w:p w:rsidRPr="00B85914" w:rsidR="003F106B" w:rsidP="00401A0F" w:rsidRDefault="00B85914">
      <w:pPr>
        <w:pStyle w:val="tytuinformacji"/>
        <w:spacing w:after="120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</w:t>
      </w:r>
      <w:r w:rsidR="003B6061">
        <w:rPr>
          <w:szCs w:val="40"/>
        </w:rPr>
        <w:t>pandemii COVID-19</w:t>
      </w:r>
      <w:r w:rsidRPr="00B85914">
        <w:rPr>
          <w:szCs w:val="40"/>
        </w:rPr>
        <w:t xml:space="preserve"> na koniunkturę </w:t>
      </w:r>
      <w:r w:rsidR="003B6061">
        <w:rPr>
          <w:szCs w:val="40"/>
        </w:rPr>
        <w:br/>
      </w:r>
      <w:r w:rsidRPr="00B85914">
        <w:rPr>
          <w:szCs w:val="40"/>
        </w:rPr>
        <w:t xml:space="preserve"> – oceny i oczekiwania</w:t>
      </w:r>
    </w:p>
    <w:tbl>
      <w:tblPr>
        <w:tblStyle w:val="Tabela-Siatka"/>
        <w:tblW w:w="0" w:type="auto"/>
        <w:tblBorders>
          <w:top w:val="none" w:color="auto" w:sz="0" w:space="0"/>
          <w:left w:val="single" w:color="001D77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color="001D77" w:sz="18" w:space="0"/>
            </w:tcBorders>
            <w:shd w:val="clear" w:color="auto" w:fill="C4CBF5"/>
          </w:tcPr>
          <w:p w:rsidR="003A76AB" w:rsidP="00FA22C3" w:rsidRDefault="003911B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Pr="00642AE9"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Pr="00642AE9" w:rsidR="001D1490">
              <w:rPr>
                <w:rFonts w:ascii="Fira Sans" w:hAnsi="Fira Sans"/>
                <w:noProof/>
                <w:sz w:val="19"/>
                <w:szCs w:val="19"/>
              </w:rPr>
              <w:t>października</w:t>
            </w:r>
            <w:r w:rsidRPr="00642AE9"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 w:rsidRPr="00642AE9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Pr="00642AE9" w:rsidR="00B91165">
              <w:rPr>
                <w:rFonts w:ascii="Fira Sans" w:hAnsi="Fira Sans"/>
                <w:noProof/>
                <w:sz w:val="19"/>
                <w:szCs w:val="19"/>
              </w:rPr>
              <w:t xml:space="preserve"> W pytaniach 1</w:t>
            </w:r>
            <w:r w:rsidRPr="00642AE9" w:rsidR="00FA22C3">
              <w:rPr>
                <w:rFonts w:ascii="Fira Sans" w:hAnsi="Fira Sans"/>
                <w:noProof/>
                <w:sz w:val="19"/>
                <w:szCs w:val="19"/>
              </w:rPr>
              <w:t>, 4</w:t>
            </w:r>
            <w:r w:rsidRPr="00642AE9" w:rsidR="00B91165">
              <w:rPr>
                <w:rFonts w:ascii="Fira Sans" w:hAnsi="Fira Sans"/>
                <w:noProof/>
                <w:sz w:val="19"/>
                <w:szCs w:val="19"/>
              </w:rPr>
              <w:t xml:space="preserve"> i </w:t>
            </w:r>
            <w:r w:rsidRPr="00642AE9" w:rsidR="00FA22C3">
              <w:rPr>
                <w:rFonts w:ascii="Fira Sans" w:hAnsi="Fira Sans"/>
                <w:noProof/>
                <w:sz w:val="19"/>
                <w:szCs w:val="19"/>
              </w:rPr>
              <w:t>5</w:t>
            </w:r>
            <w:r w:rsidRPr="00642AE9" w:rsidR="00F447C8">
              <w:rPr>
                <w:rFonts w:ascii="Fira Sans" w:hAnsi="Fira Sans"/>
                <w:noProof/>
                <w:sz w:val="19"/>
                <w:szCs w:val="19"/>
              </w:rPr>
              <w:t xml:space="preserve"> zaprezentowany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 xml:space="preserve"> jest </w:t>
            </w:r>
            <w:r w:rsidRPr="00642AE9" w:rsidR="00F447C8">
              <w:rPr>
                <w:rFonts w:ascii="Fira Sans" w:hAnsi="Fira Sans"/>
                <w:noProof/>
                <w:sz w:val="19"/>
                <w:szCs w:val="19"/>
              </w:rPr>
              <w:t xml:space="preserve">procent odpowiedzi 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>respondentów na dany wariant, a w pytaniach</w:t>
            </w:r>
            <w:r w:rsidRPr="00642AE9" w:rsidR="00F447C8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Pr="00642AE9" w:rsidR="00FA22C3">
              <w:rPr>
                <w:rFonts w:ascii="Fira Sans" w:hAnsi="Fira Sans"/>
                <w:noProof/>
                <w:sz w:val="19"/>
                <w:szCs w:val="19"/>
              </w:rPr>
              <w:t xml:space="preserve">2 i 3 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>– średnia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Pr="00242E6C" w:rsid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</w:p>
        </w:tc>
      </w:tr>
    </w:tbl>
    <w:p w:rsidRPr="0066127C" w:rsidR="0066127C" w:rsidP="000E0C86" w:rsidRDefault="0066127C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 w:rsid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Pr="0059047B" w:rsidR="002B14D5" w:rsidTr="009E54C6">
        <w:tc>
          <w:tcPr>
            <w:tcW w:w="2443" w:type="dxa"/>
            <w:tcBorders>
              <w:top w:val="nil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59047B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editId="0BDED3CB" wp14:anchorId="286027A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editId="22E035B0" wp14:anchorId="7E6FD2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editId="3DEB82E6" wp14:anchorId="0E7873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P="00C75009" w:rsidRDefault="00A042C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editId="7AA8C535" wp14:anchorId="0F09810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editId="6F5FA0AA" wp14:anchorId="37A27B4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042C8" w:rsidR="00C75009" w:rsidP="00C75009" w:rsidRDefault="007B3B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 w:rsidR="00C75009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color="001D77" w:sz="2" w:space="0"/>
              <w:bottom w:val="single" w:color="001D77" w:sz="2" w:space="0"/>
              <w:right w:val="nil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editId="165C8677" wp14:anchorId="42A3861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Pr="0059047B" w:rsidR="00C40E96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C40E96" w:rsidP="00C40E96" w:rsidRDefault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C75009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Pr="00C75009" w:rsidR="00C75009" w:rsidP="00026545" w:rsidRDefault="00C7500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Pr="004C1994" w:rsidR="004C1994">
              <w:rPr>
                <w:rFonts w:ascii="Fira Sans" w:hAnsi="Fira Sans"/>
                <w:b/>
                <w:sz w:val="14"/>
                <w:szCs w:val="14"/>
              </w:rPr>
              <w:t>Negatywne skutki pandemii „koronawirusa” i jej konsekwencje dla prowadzonej przez Państwa firmę działalności gospodarczej będą w bieżącym miesiącu</w:t>
            </w:r>
            <w:r w:rsidRPr="004C04FC" w:rsid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56,5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55,0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62,2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57,2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22,8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23,4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23,7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26,2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25,8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44,7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9,3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10,4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27,5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12,9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</w:tr>
      <w:tr w:rsidRPr="0059047B" w:rsidR="004C1994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4C1994" w:rsidP="002249A5" w:rsidRDefault="004C1994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C1994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Pr="00C75009" w:rsidR="004C1994" w:rsidP="00026545" w:rsidRDefault="004C1994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9,7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7,6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</w:tr>
      <w:tr w:rsidRPr="0059047B" w:rsidR="00331F5D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3F106B" w:rsidR="00331F5D" w:rsidP="00331F5D" w:rsidRDefault="00331F5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331F5D" w:rsidR="00331F5D" w:rsidP="009B09B3" w:rsidRDefault="00331F5D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31F5D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</w:tr>
      <w:tr w:rsidRPr="0059047B" w:rsidR="00C40E96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C40E96" w:rsidP="00025D3B" w:rsidRDefault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C75009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="00FC4A22" w:rsidP="001D7970" w:rsidRDefault="004C1994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Pr="00C75009" w:rsidR="00FC4A22" w:rsidP="00FC4A22" w:rsidRDefault="001B4CB3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i w porównaniu do sytuacji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2249A5" w:rsidP="002249A5" w:rsidRDefault="002249A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-12,2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-5,1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-7,1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-25,4</w:t>
            </w:r>
          </w:p>
        </w:tc>
      </w:tr>
      <w:tr w:rsidRPr="0059047B" w:rsidR="00401A0F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401A0F" w:rsidP="002249A5" w:rsidRDefault="00401A0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01A0F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66127C" w:rsidR="00401A0F" w:rsidP="00026545" w:rsidRDefault="00401A0F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12,3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25,7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10,6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32,6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20,0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15,6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35,9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52,0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33,2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50,8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48,8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55,9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19,2</w:t>
            </w:r>
          </w:p>
        </w:tc>
      </w:tr>
      <w:tr w:rsidRPr="0059047B" w:rsidR="00401A0F" w:rsidTr="00026545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401A0F" w:rsidP="002249A5" w:rsidRDefault="00401A0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01A0F" w:rsidTr="00026545">
        <w:trPr>
          <w:trHeight w:val="366"/>
        </w:trPr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401A0F" w:rsidR="00401A0F" w:rsidP="00026545" w:rsidRDefault="00401A0F">
            <w:pPr>
              <w:spacing w:before="60" w:line="259" w:lineRule="auto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Czy Państwa firma oczekuje w bieżącym miesiącu pojawienia się zatorów płatniczych lub ich nasilenia? </w:t>
            </w:r>
          </w:p>
          <w:p w:rsidRPr="00C75009" w:rsidR="00401A0F" w:rsidP="00026545" w:rsidRDefault="00401A0F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 w:rsidRPr="00401A0F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3F106B"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35,0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39,8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41,2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32,0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45,2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29,1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13,1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25,6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</w:tr>
      <w:tr w:rsidRPr="0059047B" w:rsidR="002249A5" w:rsidTr="009B09B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2249A5" w:rsidP="002249A5" w:rsidRDefault="002249A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nie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oczekujemy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57,6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45,4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46,5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56,3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2249A5" w:rsidR="002249A5" w:rsidP="009B09B3" w:rsidRDefault="002249A5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249A5">
              <w:rPr>
                <w:rFonts w:ascii="Fira Sans" w:hAnsi="Fira Sans" w:cs="Calibri"/>
                <w:color w:val="000000"/>
                <w:sz w:val="14"/>
                <w:szCs w:val="14"/>
              </w:rPr>
              <w:t>40,4</w:t>
            </w:r>
          </w:p>
        </w:tc>
      </w:tr>
    </w:tbl>
    <w:p w:rsidR="004F0883" w:rsidP="0089745C" w:rsidRDefault="004F0883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Pr="003B6061" w:rsidR="0089745C" w:rsidP="0089745C" w:rsidRDefault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Pr="00001C5B" w:rsidR="0059047B" w:rsidP="00A4707B" w:rsidRDefault="0059047B">
      <w:pPr>
        <w:spacing w:line="259" w:lineRule="auto"/>
        <w:rPr>
          <w:rFonts w:ascii="Fira Sans" w:hAnsi="Fira Sans"/>
          <w:sz w:val="18"/>
        </w:rPr>
        <w:sectPr w:rsidRPr="00001C5B" w:rsidR="0059047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Pr="00001C5B" w:rsidR="00437395" w:rsidP="00E76D26" w:rsidRDefault="00437395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Pr="00067783" w:rsidR="00AB6D25" w:rsidTr="007D335D">
        <w:trPr>
          <w:trHeight w:val="1848"/>
        </w:trPr>
        <w:tc>
          <w:tcPr>
            <w:tcW w:w="4379" w:type="dxa"/>
          </w:tcPr>
          <w:p w:rsidRPr="00001C5B" w:rsidR="00AB6D25" w:rsidP="00E76D26" w:rsidRDefault="00AB6D25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P="00E76D26" w:rsidRDefault="00AB6D25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Pr="00001C5B" w:rsidR="00AB6D25" w:rsidP="00E76D26" w:rsidRDefault="00854334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Pr="007C4564" w:rsidR="00AB6D25" w:rsidP="00E76D26" w:rsidRDefault="00A37DDD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Pr="007C4564" w:rsidR="001E2D5D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Pr="007C4564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Pr="002C7D24" w:rsidR="001951DA" w:rsidP="007C4564" w:rsidRDefault="001951DA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P="00E76D26" w:rsidRDefault="00AB6D25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Pr="00001C5B" w:rsidR="00854334" w:rsidP="00E76D26" w:rsidRDefault="00854334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Pr="00001C5B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6467C3" w:rsidR="00AB6D25" w:rsidP="00E76D26" w:rsidRDefault="00317BE2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Pr="009F46AA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Pr="00001C5B" w:rsidR="00521BC3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Pr="00001C5B" w:rsidR="00521BC3" w:rsidP="00E76D26" w:rsidRDefault="003635D0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Pr="00317BE2" w:rsidR="00317BE2">
              <w:rPr>
                <w:rFonts w:ascii="Fira Sans" w:hAnsi="Fira Sans" w:cs="Arial" w:eastAsiaTheme="majorEastAsia"/>
                <w:color w:val="000000" w:themeColor="text1"/>
                <w:sz w:val="20"/>
                <w:szCs w:val="24"/>
              </w:rPr>
              <w:t>22 608 34 91, 22 608 38 04</w:t>
            </w:r>
          </w:p>
          <w:p w:rsidRPr="003F2706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w:history="1" r:id="rId49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Pr="003F2706" w:rsidR="00521BC3" w:rsidP="00E76D26" w:rsidRDefault="00521BC3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editId="3343DDD0" wp14:anchorId="7618DF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Pr="00001C5B" w:rsidR="00521BC3" w:rsidTr="00463E39">
        <w:trPr>
          <w:trHeight w:val="434"/>
        </w:trPr>
        <w:tc>
          <w:tcPr>
            <w:tcW w:w="4397" w:type="dxa"/>
            <w:vMerge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Pr="00001C5B" w:rsidR="00521BC3" w:rsidP="007D335D" w:rsidRDefault="00521BC3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editId="4060960E" wp14:anchorId="4DA14F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Pr="00001C5B" w:rsidR="00521BC3" w:rsidTr="00463E39">
        <w:trPr>
          <w:trHeight w:val="514"/>
        </w:trPr>
        <w:tc>
          <w:tcPr>
            <w:tcW w:w="4397" w:type="dxa"/>
            <w:vMerge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Pr="00001C5B" w:rsidR="00521BC3" w:rsidP="00E76D26" w:rsidRDefault="00521BC3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editId="6CDBBD3B" wp14:anchorId="546975D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Pr="00001C5B" w:rsidR="00D261A2" w:rsidP="00E76D26" w:rsidRDefault="00123319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657945AF" wp14:anchorId="44F77CBD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5.3pt,489.95pt" to="518.25pt,489.95pt" w14:anchorId="1973F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editId="78A13621" wp14:anchorId="78734168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.35pt,446.6pt" to="517.3pt,446.6pt" w14:anchorId="6415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editId="1C9DE017" wp14:anchorId="5BA679DC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editId="7CE86205" wp14:anchorId="6FAA8CCC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editId="3A5B4390" wp14:anchorId="7A055A04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319" w:rsidR="00AB6123" w:rsidP="00123319" w:rsidRDefault="00AB6123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w14:anchorId="7A055A04">
                <v:textbox>
                  <w:txbxContent>
                    <w:p w:rsidRPr="00123319" w:rsidR="00AB6123" w:rsidP="00123319" w:rsidRDefault="00AB6123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1C5B" w:rsidR="001448A7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editId="43042F76" wp14:anchorId="5A3BCBB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Pr="00C75CAD"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Pr="004C7599" w:rsidR="00AB6123" w:rsidP="00C75CAD" w:rsidRDefault="00771EC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5">
                              <w:r w:rsidR="00AB6123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Pr="004C7599" w:rsidR="00AB6123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Pr="002E71B6" w:rsidR="00AB6123" w:rsidP="00C75CAD" w:rsidRDefault="00AB6123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Pr="00C75CAD" w:rsidR="00AB6123" w:rsidP="00C75CAD" w:rsidRDefault="00771EC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6">
                              <w:r w:rsidRPr="0011518C" w:rsidR="00AB6123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Pr="00C75CAD" w:rsidR="00AB6123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Pr="00805B46" w:rsidR="00AB6123" w:rsidP="00C75CAD" w:rsidRDefault="00771EC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7">
                              <w:r w:rsidRPr="00805B46" w:rsidR="00AB6123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C75CAD"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805B46" w:rsidR="00AB6123" w:rsidP="00C75CAD" w:rsidRDefault="00771EC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8">
                              <w:r w:rsidRPr="00805B46" w:rsidR="00AB6123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Pr="00805B46" w:rsidR="00AB6123" w:rsidP="00C75CAD" w:rsidRDefault="00771EC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9">
                              <w:r w:rsidRPr="00805B46" w:rsidR="00AB6123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C75CAD"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C75CAD" w:rsidR="00AB6123" w:rsidP="00C75CAD" w:rsidRDefault="00771EC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60">
                              <w:r w:rsidRPr="00C75CAD" w:rsidR="00AB6123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Pr="00505A92" w:rsidR="00AB6123" w:rsidP="00AB6D25" w:rsidRDefault="00AB6123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w14:anchorId="5A3BCBBE">
                <v:textbox>
                  <w:txbxContent>
                    <w:p w:rsidR="00AB6123" w:rsidP="00AB6D25" w:rsidRDefault="00AB6123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Pr="00C75CAD" w:rsidR="00AB6123" w:rsidP="00AB6D25" w:rsidRDefault="00AB6123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Pr="004C7599" w:rsidR="00AB6123" w:rsidP="00C75CAD" w:rsidRDefault="00771EC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1">
                        <w:r w:rsidR="00AB6123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Pr="004C7599" w:rsidR="00AB6123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Pr="002E71B6" w:rsidR="00AB6123" w:rsidP="00C75CAD" w:rsidRDefault="00AB6123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Pr="00C75CAD" w:rsidR="00AB6123" w:rsidP="00C75CAD" w:rsidRDefault="00771EC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2">
                        <w:r w:rsidRPr="0011518C" w:rsidR="00AB6123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 w:rsidR="00AB6123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Pr="00805B46" w:rsidR="00AB6123" w:rsidP="00C75CAD" w:rsidRDefault="00771EC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3">
                        <w:r w:rsidRPr="00805B46" w:rsidR="00AB6123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123" w:rsidP="00AB6D25" w:rsidRDefault="00AB6123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AB6123" w:rsidP="00AB6D25" w:rsidRDefault="00AB6123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Pr="00805B46" w:rsidR="00AB6123" w:rsidP="00C75CAD" w:rsidRDefault="00771EC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4">
                        <w:r w:rsidRPr="00805B46" w:rsidR="00AB6123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Pr="00805B46" w:rsidR="00AB6123" w:rsidP="00C75CAD" w:rsidRDefault="00771EC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5">
                        <w:r w:rsidRPr="00805B46" w:rsidR="00AB6123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123" w:rsidP="00AB6D25" w:rsidRDefault="00AB6123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AB6123" w:rsidP="00AB6D25" w:rsidRDefault="00AB6123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Pr="00C75CAD" w:rsidR="00AB6123" w:rsidP="00C75CAD" w:rsidRDefault="00771EC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w:history="1" r:id="rId66">
                        <w:r w:rsidRPr="00C75CAD" w:rsidR="00AB6123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Pr="00505A92" w:rsidR="00AB6123" w:rsidP="00AB6D25" w:rsidRDefault="00AB6123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001C5B" w:rsidR="00D261A2" w:rsidSect="00AE4F99">
      <w:headerReference w:type="default" r:id="rId6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CD" w:rsidRDefault="00771ECD" w:rsidP="000662E2">
      <w:pPr>
        <w:spacing w:after="0" w:line="240" w:lineRule="auto"/>
      </w:pPr>
      <w:r>
        <w:separator/>
      </w:r>
    </w:p>
  </w:endnote>
  <w:endnote w:type="continuationSeparator" w:id="0">
    <w:p w:rsidR="00771ECD" w:rsidRDefault="00771E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AB6123" w:rsidRPr="00B7359B" w:rsidRDefault="00AB6123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FF796D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AB6123" w:rsidRPr="002B1A65" w:rsidRDefault="00AB6123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FF796D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CD" w:rsidRDefault="00771ECD" w:rsidP="000662E2">
      <w:pPr>
        <w:spacing w:after="0" w:line="240" w:lineRule="auto"/>
      </w:pPr>
      <w:r>
        <w:separator/>
      </w:r>
    </w:p>
  </w:footnote>
  <w:footnote w:type="continuationSeparator" w:id="0">
    <w:p w:rsidR="00771ECD" w:rsidRDefault="00771ECD" w:rsidP="000662E2">
      <w:pPr>
        <w:spacing w:after="0" w:line="240" w:lineRule="auto"/>
      </w:pPr>
      <w:r>
        <w:continuationSeparator/>
      </w:r>
    </w:p>
  </w:footnote>
  <w:footnote w:id="1">
    <w:p w:rsidR="00AB6123" w:rsidRDefault="00AB6123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045A8D" w:rsidRDefault="00045A8D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23" w:rsidRDefault="00AB612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00CF9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B6123" w:rsidRDefault="00AB6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23" w:rsidRDefault="00AB61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6123" w:rsidRPr="000201D2" w:rsidRDefault="00AB6123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B6123" w:rsidRPr="000201D2" w:rsidRDefault="00AB6123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269A3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6123" w:rsidRDefault="00AB61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6123" w:rsidRPr="000201D2" w:rsidRDefault="00AB612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21.10.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AB6123" w:rsidRPr="000201D2" w:rsidRDefault="00AB612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21.10.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23" w:rsidRDefault="00AB6123">
    <w:pPr>
      <w:pStyle w:val="Nagwek"/>
    </w:pPr>
  </w:p>
  <w:p w:rsidR="00AB6123" w:rsidRDefault="00AB6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05pt;height:124.75pt;visibility:visible;mso-wrap-style:square" o:bullet="t">
        <v:imagedata r:id="rId1" o:title=""/>
      </v:shape>
    </w:pict>
  </w:numPicBullet>
  <w:numPicBullet w:numPicBulletId="1">
    <w:pict>
      <v:shape id="_x0000_i1053" type="#_x0000_t75" style="width:123.9pt;height:124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59F3"/>
    <w:rsid w:val="00025D3B"/>
    <w:rsid w:val="00026545"/>
    <w:rsid w:val="00030CCA"/>
    <w:rsid w:val="000332B3"/>
    <w:rsid w:val="00034B19"/>
    <w:rsid w:val="000366E9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C17"/>
    <w:rsid w:val="000A17BF"/>
    <w:rsid w:val="000A388D"/>
    <w:rsid w:val="000A6754"/>
    <w:rsid w:val="000A70C8"/>
    <w:rsid w:val="000B0727"/>
    <w:rsid w:val="000B1421"/>
    <w:rsid w:val="000B23C8"/>
    <w:rsid w:val="000B24BC"/>
    <w:rsid w:val="000B3DCA"/>
    <w:rsid w:val="000B4883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E35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6087"/>
    <w:rsid w:val="0011681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67A46"/>
    <w:rsid w:val="00170BBA"/>
    <w:rsid w:val="00171A1E"/>
    <w:rsid w:val="00172E2E"/>
    <w:rsid w:val="00172F63"/>
    <w:rsid w:val="001762A6"/>
    <w:rsid w:val="0018029F"/>
    <w:rsid w:val="00181F98"/>
    <w:rsid w:val="001831F9"/>
    <w:rsid w:val="0018357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A7FBD"/>
    <w:rsid w:val="001B10DC"/>
    <w:rsid w:val="001B24E0"/>
    <w:rsid w:val="001B48F9"/>
    <w:rsid w:val="001B4CB3"/>
    <w:rsid w:val="001B56B5"/>
    <w:rsid w:val="001B64F3"/>
    <w:rsid w:val="001B7A79"/>
    <w:rsid w:val="001C0726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3293"/>
    <w:rsid w:val="00276811"/>
    <w:rsid w:val="0027719C"/>
    <w:rsid w:val="00280F42"/>
    <w:rsid w:val="00281218"/>
    <w:rsid w:val="00282699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717B"/>
    <w:rsid w:val="002A1AAD"/>
    <w:rsid w:val="002A3C8F"/>
    <w:rsid w:val="002A48F7"/>
    <w:rsid w:val="002A668A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173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3029A"/>
    <w:rsid w:val="003313BA"/>
    <w:rsid w:val="00331F5D"/>
    <w:rsid w:val="00332320"/>
    <w:rsid w:val="00332DF1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1097"/>
    <w:rsid w:val="003538AF"/>
    <w:rsid w:val="00354A53"/>
    <w:rsid w:val="00356791"/>
    <w:rsid w:val="00357F62"/>
    <w:rsid w:val="0036049A"/>
    <w:rsid w:val="00361CC0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4327"/>
    <w:rsid w:val="00394C8F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B5D1C"/>
    <w:rsid w:val="003B6061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1B54"/>
    <w:rsid w:val="003E21F4"/>
    <w:rsid w:val="003E751A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302D"/>
    <w:rsid w:val="00454346"/>
    <w:rsid w:val="004546ED"/>
    <w:rsid w:val="00454A5C"/>
    <w:rsid w:val="004553E8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07596"/>
    <w:rsid w:val="00511BFC"/>
    <w:rsid w:val="00512936"/>
    <w:rsid w:val="00516E41"/>
    <w:rsid w:val="005203F1"/>
    <w:rsid w:val="00520F91"/>
    <w:rsid w:val="00521BC3"/>
    <w:rsid w:val="00524279"/>
    <w:rsid w:val="005259DE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A64"/>
    <w:rsid w:val="00597F1D"/>
    <w:rsid w:val="005A1C1A"/>
    <w:rsid w:val="005A6978"/>
    <w:rsid w:val="005A698C"/>
    <w:rsid w:val="005A6F50"/>
    <w:rsid w:val="005A76BC"/>
    <w:rsid w:val="005B11DA"/>
    <w:rsid w:val="005B15C1"/>
    <w:rsid w:val="005B2433"/>
    <w:rsid w:val="005B2EDD"/>
    <w:rsid w:val="005B44E2"/>
    <w:rsid w:val="005B5280"/>
    <w:rsid w:val="005C4F00"/>
    <w:rsid w:val="005D426F"/>
    <w:rsid w:val="005D444A"/>
    <w:rsid w:val="005D77FB"/>
    <w:rsid w:val="005D7C1F"/>
    <w:rsid w:val="005E0799"/>
    <w:rsid w:val="005E0B7C"/>
    <w:rsid w:val="005E14A3"/>
    <w:rsid w:val="005E2CB6"/>
    <w:rsid w:val="005E4ABD"/>
    <w:rsid w:val="005E52C4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0A43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2AE9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3D4E"/>
    <w:rsid w:val="006C6061"/>
    <w:rsid w:val="006D1B1C"/>
    <w:rsid w:val="006D2E9E"/>
    <w:rsid w:val="006D4054"/>
    <w:rsid w:val="006D4318"/>
    <w:rsid w:val="006D4C4E"/>
    <w:rsid w:val="006D6347"/>
    <w:rsid w:val="006D71A9"/>
    <w:rsid w:val="006D7274"/>
    <w:rsid w:val="006D7F9F"/>
    <w:rsid w:val="006E02EC"/>
    <w:rsid w:val="006E1123"/>
    <w:rsid w:val="006E4BB4"/>
    <w:rsid w:val="006E7789"/>
    <w:rsid w:val="006F43EB"/>
    <w:rsid w:val="006F57E5"/>
    <w:rsid w:val="006F654C"/>
    <w:rsid w:val="00702737"/>
    <w:rsid w:val="00703B4F"/>
    <w:rsid w:val="00706806"/>
    <w:rsid w:val="00711297"/>
    <w:rsid w:val="00711571"/>
    <w:rsid w:val="00714F50"/>
    <w:rsid w:val="00715B9D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3BA8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6AB7"/>
    <w:rsid w:val="00767A5B"/>
    <w:rsid w:val="007700E4"/>
    <w:rsid w:val="0077196D"/>
    <w:rsid w:val="00771EC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7F7964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6C73"/>
    <w:rsid w:val="008B6C7E"/>
    <w:rsid w:val="008B71DA"/>
    <w:rsid w:val="008C0242"/>
    <w:rsid w:val="008C569E"/>
    <w:rsid w:val="008C6ABC"/>
    <w:rsid w:val="008D31AC"/>
    <w:rsid w:val="008D361F"/>
    <w:rsid w:val="008D372E"/>
    <w:rsid w:val="008E0426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6890"/>
    <w:rsid w:val="00947BDE"/>
    <w:rsid w:val="009530DB"/>
    <w:rsid w:val="00953676"/>
    <w:rsid w:val="00953EBC"/>
    <w:rsid w:val="009547AE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653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34DA"/>
    <w:rsid w:val="009F46AA"/>
    <w:rsid w:val="009F528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2134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62E6"/>
    <w:rsid w:val="00AF0D97"/>
    <w:rsid w:val="00AF2781"/>
    <w:rsid w:val="00AF4F89"/>
    <w:rsid w:val="00AF6380"/>
    <w:rsid w:val="00B0713B"/>
    <w:rsid w:val="00B14952"/>
    <w:rsid w:val="00B20762"/>
    <w:rsid w:val="00B21AC8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30EC"/>
    <w:rsid w:val="00B85914"/>
    <w:rsid w:val="00B86633"/>
    <w:rsid w:val="00B8712B"/>
    <w:rsid w:val="00B879D2"/>
    <w:rsid w:val="00B9073E"/>
    <w:rsid w:val="00B91165"/>
    <w:rsid w:val="00B914E9"/>
    <w:rsid w:val="00B956EE"/>
    <w:rsid w:val="00BA0245"/>
    <w:rsid w:val="00BA0597"/>
    <w:rsid w:val="00BA2BA1"/>
    <w:rsid w:val="00BA437D"/>
    <w:rsid w:val="00BA6311"/>
    <w:rsid w:val="00BB112E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A32"/>
    <w:rsid w:val="00BF21DD"/>
    <w:rsid w:val="00BF4569"/>
    <w:rsid w:val="00BF51AD"/>
    <w:rsid w:val="00BF6075"/>
    <w:rsid w:val="00C030DE"/>
    <w:rsid w:val="00C04116"/>
    <w:rsid w:val="00C06507"/>
    <w:rsid w:val="00C078DC"/>
    <w:rsid w:val="00C10316"/>
    <w:rsid w:val="00C12233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36D6"/>
    <w:rsid w:val="00CE5DEE"/>
    <w:rsid w:val="00CE738C"/>
    <w:rsid w:val="00CF0700"/>
    <w:rsid w:val="00CF3244"/>
    <w:rsid w:val="00CF4099"/>
    <w:rsid w:val="00CF43A6"/>
    <w:rsid w:val="00CF4CC7"/>
    <w:rsid w:val="00CF5459"/>
    <w:rsid w:val="00CF75EC"/>
    <w:rsid w:val="00D020D3"/>
    <w:rsid w:val="00D04A32"/>
    <w:rsid w:val="00D054DC"/>
    <w:rsid w:val="00D05C62"/>
    <w:rsid w:val="00D064DE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6D0F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6B47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914B3"/>
    <w:rsid w:val="00E95166"/>
    <w:rsid w:val="00E95726"/>
    <w:rsid w:val="00EA0278"/>
    <w:rsid w:val="00EA0D97"/>
    <w:rsid w:val="00EA1D9A"/>
    <w:rsid w:val="00EA3B13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717C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997"/>
    <w:rsid w:val="00FB0CCC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4A22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E5B79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obszary-tematyczne/koniunktura/koniunktura/badanie-koniunktury-gospodarczej-zeszyt-metodologiczny,5,9.html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obszary-tematyczne/koniunktura/koniunktura/publikacja,4.html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waid.stat.gov.pl/SitePagesDBW/KoniunkturaGospodarcza.aspx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3.emf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eader" Target="header3.xm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infografiki-widzety/infografiki/publikacja,38.html" TargetMode="External"/><Relationship Id="rId7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- 10.2020.docx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E3DFB0-4428-4222-86E8-BDBB5879FE75}"/>
</file>

<file path=customXml/itemProps2.xml><?xml version="1.0" encoding="utf-8"?>
<ds:datastoreItem xmlns:ds="http://schemas.openxmlformats.org/officeDocument/2006/customXml" ds:itemID="{67FEB895-5A9C-45AB-9783-508B49DAC326}"/>
</file>

<file path=customXml/itemProps3.xml><?xml version="1.0" encoding="utf-8"?>
<ds:datastoreItem xmlns:ds="http://schemas.openxmlformats.org/officeDocument/2006/customXml" ds:itemID="{0F1B7AA1-09A9-4B28-AFC7-B7BB36DD1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październik 2020 roku</dc:title>
  <dc:subject/>
  <cp:keywords/>
  <dc:description/>
  <cp:lastPrinted>2020-04-08T12:33:00Z</cp:lastPrinted>
  <dcterms:created xsi:type="dcterms:W3CDTF">2020-10-01T06:22:00Z</dcterms:created>
  <dcterms:modified xsi:type="dcterms:W3CDTF">2020-10-20T04:54:00Z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GUS-SM01.6362.5.2020.1</vt:lpwstr>
  </property>
  <property fmtid="{D5CDD505-2E9C-101B-9397-08002B2CF9AE}" pid="3" name="UNPPisma">
    <vt:lpwstr>2020-205114</vt:lpwstr>
  </property>
  <property fmtid="{D5CDD505-2E9C-101B-9397-08002B2CF9AE}" pid="4" name="ZnakSprawy">
    <vt:lpwstr>GUS-SM01.6362.5.2020</vt:lpwstr>
  </property>
  <property fmtid="{D5CDD505-2E9C-101B-9397-08002B2CF9AE}" pid="5" name="ZnakSprawyPrzedPrzeniesieniem">
    <vt:lpwstr/>
  </property>
  <property fmtid="{D5CDD505-2E9C-101B-9397-08002B2CF9AE}" pid="6" name="Autor">
    <vt:lpwstr>Stefaniak Hubert</vt:lpwstr>
  </property>
  <property fmtid="{D5CDD505-2E9C-101B-9397-08002B2CF9AE}" pid="7" name="AutorInicjaly">
    <vt:lpwstr>HS</vt:lpwstr>
  </property>
  <property fmtid="{D5CDD505-2E9C-101B-9397-08002B2CF9AE}" pid="8" name="AutorNrTelefonu">
    <vt:lpwstr>(022) 608-3651</vt:lpwstr>
  </property>
  <property fmtid="{D5CDD505-2E9C-101B-9397-08002B2CF9AE}" pid="9" name="Stanowisko">
    <vt:lpwstr>naczelnik wydziału</vt:lpwstr>
  </property>
  <property fmtid="{D5CDD505-2E9C-101B-9397-08002B2CF9AE}" pid="10" name="OpisPisma">
    <vt:lpwstr>Informacja sygnalna - Koniunktura gospodarcza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2020-10-20</vt:lpwstr>
  </property>
  <property fmtid="{D5CDD505-2E9C-101B-9397-08002B2CF9AE}" pid="14" name="Wydzial">
    <vt:lpwstr>Wydział Badań Koniunktury Gospodarczej</vt:lpwstr>
  </property>
  <property fmtid="{D5CDD505-2E9C-101B-9397-08002B2CF9AE}" pid="15" name="KodWydzialu">
    <vt:lpwstr>SM-01</vt:lpwstr>
  </property>
  <property fmtid="{D5CDD505-2E9C-101B-9397-08002B2CF9AE}" pid="16" name="ZaakceptowanePrzez">
    <vt:lpwstr>n/d</vt:lpwstr>
  </property>
  <property fmtid="{D5CDD505-2E9C-101B-9397-08002B2CF9AE}" pid="17" name="PrzekazanieDo">
    <vt:lpwstr>Wydział Badań Koniunktury Gospodarczej(SM-01)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