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281F9511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201811">
        <w:t>w</w:t>
      </w:r>
      <w:r w:rsidR="008F75C2" w:rsidRPr="00201811">
        <w:t xml:space="preserve"> </w:t>
      </w:r>
      <w:r w:rsidR="008A4E4E" w:rsidRPr="00201811">
        <w:t xml:space="preserve"> </w:t>
      </w:r>
      <w:r w:rsidR="00156B43" w:rsidRPr="00201811">
        <w:t>grudniu</w:t>
      </w:r>
      <w:r w:rsidRPr="00201811">
        <w:rPr>
          <w:shd w:val="clear" w:color="auto" w:fill="FFFFFF"/>
        </w:rPr>
        <w:t xml:space="preserve"> 201</w:t>
      </w:r>
      <w:r w:rsidR="001A5254" w:rsidRPr="00201811">
        <w:rPr>
          <w:shd w:val="clear" w:color="auto" w:fill="FFFFFF"/>
        </w:rPr>
        <w:t>9</w:t>
      </w:r>
      <w:r w:rsidRPr="00201811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2BD4FF1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8BF7737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2336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AF53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2336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0348F6" w:rsidRPr="00AF53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BDBA3D1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</w:t>
                            </w:r>
                            <w:r w:rsidR="005E2972">
                              <w:t xml:space="preserve"> </w:t>
                            </w:r>
                            <w:r w:rsidR="00C549E4">
                              <w:t>XII 2018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58BF7737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2336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AF53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2336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0348F6" w:rsidRPr="00AF53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BDBA3D1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>w porównaniu z</w:t>
                      </w:r>
                      <w:r w:rsidR="005E2972">
                        <w:t xml:space="preserve"> </w:t>
                      </w:r>
                      <w:r w:rsidR="00C549E4">
                        <w:t>XII 2018 r.</w:t>
                      </w:r>
                      <w:bookmarkStart w:id="1" w:name="_GoBack"/>
                      <w:bookmarkEnd w:id="1"/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danych </w:t>
      </w:r>
      <w:r w:rsidR="00954DB9" w:rsidRPr="0020181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4E4E" w:rsidRPr="0020181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56B43" w:rsidRPr="0020181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grudniu</w:t>
      </w:r>
      <w:r w:rsidR="00954DB9" w:rsidRPr="0020181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201</w:t>
      </w:r>
      <w:r w:rsidR="008B2FBE" w:rsidRPr="0020181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20181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ceny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2B34D3" w:rsidRPr="00CE587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620C47" w:rsidRPr="00CE587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</w:t>
      </w:r>
      <w:r w:rsidR="008E1991" w:rsidRPr="00CE587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20C47" w:rsidRPr="00CE587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4B55B6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620C47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F5F94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620C47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</w:t>
      </w:r>
      <w:r w:rsidR="00981CBF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D04EC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20C47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5D04EC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620C47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8A1520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20C47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porównaniu </w:t>
      </w:r>
      <w:r w:rsidR="00620C47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156B43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grudniem</w:t>
      </w:r>
      <w:r w:rsidR="00D22584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5D04E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2018 r.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00680052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AA2F7E">
        <w:rPr>
          <w:shd w:val="clear" w:color="auto" w:fill="FFFFFF"/>
        </w:rPr>
        <w:t>budynków</w:t>
      </w:r>
      <w:r w:rsidR="001C1787">
        <w:rPr>
          <w:shd w:val="clear" w:color="auto" w:fill="FFFFFF"/>
        </w:rPr>
        <w:t xml:space="preserve"> oraz</w:t>
      </w:r>
      <w:r w:rsidR="00FB3726" w:rsidRPr="00AA2F7E">
        <w:rPr>
          <w:shd w:val="clear" w:color="auto" w:fill="FFFFFF"/>
        </w:rPr>
        <w:t xml:space="preserve"> </w:t>
      </w:r>
      <w:r w:rsidR="0010783E">
        <w:rPr>
          <w:shd w:val="clear" w:color="auto" w:fill="FFFFFF"/>
        </w:rPr>
        <w:t xml:space="preserve">    </w:t>
      </w:r>
      <w:r w:rsidR="001C1787" w:rsidRPr="0001550D">
        <w:rPr>
          <w:shd w:val="clear" w:color="auto" w:fill="FFFFFF"/>
        </w:rPr>
        <w:t>budowy</w:t>
      </w:r>
      <w:r w:rsidR="001C1787" w:rsidRPr="009B7A1C">
        <w:rPr>
          <w:shd w:val="clear" w:color="auto" w:fill="FFFFFF"/>
        </w:rPr>
        <w:t xml:space="preserve"> obiektów inżynierii lądowej</w:t>
      </w:r>
      <w:r w:rsidR="001C1787">
        <w:rPr>
          <w:shd w:val="clear" w:color="auto" w:fill="FFFFFF"/>
        </w:rPr>
        <w:t xml:space="preserve"> </w:t>
      </w:r>
      <w:r w:rsidR="001C1787" w:rsidRPr="009B7A1C">
        <w:rPr>
          <w:shd w:val="clear" w:color="auto" w:fill="FFFFFF"/>
        </w:rPr>
        <w:t>i</w:t>
      </w:r>
      <w:r w:rsidR="001C1787">
        <w:rPr>
          <w:shd w:val="clear" w:color="auto" w:fill="FFFFFF"/>
        </w:rPr>
        <w:t> </w:t>
      </w:r>
      <w:r w:rsidR="001C1787" w:rsidRPr="0001550D">
        <w:rPr>
          <w:shd w:val="clear" w:color="auto" w:fill="FFFFFF"/>
        </w:rPr>
        <w:t>wodnej</w:t>
      </w:r>
      <w:r w:rsidR="001C1787" w:rsidRPr="00AA2F7E">
        <w:rPr>
          <w:shd w:val="clear" w:color="auto" w:fill="FFFFFF"/>
        </w:rPr>
        <w:t xml:space="preserve"> </w:t>
      </w:r>
      <w:r w:rsidR="00FB3726" w:rsidRPr="00AA2F7E">
        <w:rPr>
          <w:shd w:val="clear" w:color="auto" w:fill="FFFFFF"/>
        </w:rPr>
        <w:t>(</w:t>
      </w:r>
      <w:r w:rsidR="00DF17B7">
        <w:rPr>
          <w:shd w:val="clear" w:color="auto" w:fill="FFFFFF"/>
        </w:rPr>
        <w:t>p</w:t>
      </w:r>
      <w:r w:rsidR="00FB3726" w:rsidRPr="00AA2F7E">
        <w:rPr>
          <w:shd w:val="clear" w:color="auto" w:fill="FFFFFF"/>
        </w:rPr>
        <w:t>o 0,</w:t>
      </w:r>
      <w:r w:rsidR="00AA2F7E" w:rsidRPr="00AA2F7E">
        <w:rPr>
          <w:shd w:val="clear" w:color="auto" w:fill="FFFFFF"/>
        </w:rPr>
        <w:t>2</w:t>
      </w:r>
      <w:r w:rsidR="00FB3726" w:rsidRPr="00AA2F7E">
        <w:rPr>
          <w:shd w:val="clear" w:color="auto" w:fill="FFFFFF"/>
        </w:rPr>
        <w:t>%)</w:t>
      </w:r>
      <w:r w:rsidR="00036A05">
        <w:rPr>
          <w:shd w:val="clear" w:color="auto" w:fill="FFFFFF"/>
        </w:rPr>
        <w:t>. Ceny</w:t>
      </w:r>
      <w:r w:rsidR="007D20B4" w:rsidRPr="007D20B4">
        <w:rPr>
          <w:shd w:val="clear" w:color="auto" w:fill="FFFFFF"/>
        </w:rPr>
        <w:t xml:space="preserve"> </w:t>
      </w:r>
      <w:r w:rsidR="007D20B4">
        <w:rPr>
          <w:shd w:val="clear" w:color="auto" w:fill="FFFFFF"/>
        </w:rPr>
        <w:t xml:space="preserve">robót </w:t>
      </w:r>
      <w:r w:rsidR="007D20B4" w:rsidRPr="009B7A1C">
        <w:rPr>
          <w:shd w:val="clear" w:color="auto" w:fill="FFFFFF"/>
        </w:rPr>
        <w:t xml:space="preserve">budowlanych </w:t>
      </w:r>
      <w:r w:rsidR="007D20B4" w:rsidRPr="007D20B4">
        <w:rPr>
          <w:shd w:val="clear" w:color="auto" w:fill="FFFFFF"/>
        </w:rPr>
        <w:t>specjalistycznych</w:t>
      </w:r>
      <w:r w:rsidR="00AC7562">
        <w:rPr>
          <w:shd w:val="clear" w:color="auto" w:fill="FFFFFF"/>
        </w:rPr>
        <w:t xml:space="preserve"> wzrosły </w:t>
      </w:r>
      <w:r w:rsidR="007D20B4" w:rsidRPr="00AC7562">
        <w:rPr>
          <w:shd w:val="clear" w:color="auto" w:fill="FFFFFF"/>
        </w:rPr>
        <w:t>(o 0,1%)</w:t>
      </w:r>
      <w:r w:rsidR="00322AEF" w:rsidRPr="00AC7562">
        <w:rPr>
          <w:shd w:val="clear" w:color="auto" w:fill="FFFFFF"/>
        </w:rPr>
        <w:t>.</w:t>
      </w:r>
    </w:p>
    <w:p w14:paraId="5C4C4BCD" w14:textId="4CA84D28" w:rsidR="00705796" w:rsidRDefault="00620C47" w:rsidP="001973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D6450A">
        <w:rPr>
          <w:shd w:val="clear" w:color="auto" w:fill="FFFFFF"/>
        </w:rPr>
        <w:t xml:space="preserve">porównaniu z </w:t>
      </w:r>
      <w:r w:rsidR="00156B43" w:rsidRPr="00D6450A">
        <w:rPr>
          <w:shd w:val="clear" w:color="auto" w:fill="FFFFFF"/>
        </w:rPr>
        <w:t>grudniem</w:t>
      </w:r>
      <w:bookmarkStart w:id="0" w:name="_GoBack"/>
      <w:bookmarkEnd w:id="0"/>
      <w:r w:rsidR="008A4E4E" w:rsidRPr="00D6450A">
        <w:rPr>
          <w:shd w:val="clear" w:color="auto" w:fill="FFFFFF"/>
        </w:rPr>
        <w:t xml:space="preserve"> </w:t>
      </w:r>
      <w:r w:rsidR="00535396" w:rsidRPr="00D6450A">
        <w:rPr>
          <w:shd w:val="clear" w:color="auto" w:fill="FFFFFF"/>
        </w:rPr>
        <w:t>2018</w:t>
      </w:r>
      <w:r w:rsidR="008A1520" w:rsidRPr="00DD6FCA">
        <w:rPr>
          <w:shd w:val="clear" w:color="auto" w:fill="FFFFFF"/>
        </w:rPr>
        <w:t xml:space="preserve"> </w:t>
      </w:r>
      <w:r w:rsidR="00535396" w:rsidRPr="00DD6FCA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D6450A">
        <w:rPr>
          <w:shd w:val="clear" w:color="auto" w:fill="FFFFFF"/>
        </w:rPr>
        <w:t xml:space="preserve">(o </w:t>
      </w:r>
      <w:r w:rsidR="00DD6FCA" w:rsidRPr="00D6450A">
        <w:rPr>
          <w:shd w:val="clear" w:color="auto" w:fill="FFFFFF"/>
        </w:rPr>
        <w:t>3</w:t>
      </w:r>
      <w:r w:rsidR="00705796" w:rsidRPr="00D6450A">
        <w:rPr>
          <w:shd w:val="clear" w:color="auto" w:fill="FFFFFF"/>
        </w:rPr>
        <w:t>,</w:t>
      </w:r>
      <w:r w:rsidR="00D6450A" w:rsidRPr="00D6450A">
        <w:rPr>
          <w:shd w:val="clear" w:color="auto" w:fill="FFFFFF"/>
        </w:rPr>
        <w:t>4</w:t>
      </w:r>
      <w:r w:rsidR="00705796" w:rsidRPr="00D6450A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DD6FCA">
        <w:rPr>
          <w:shd w:val="clear" w:color="auto" w:fill="FFFFFF"/>
        </w:rPr>
        <w:t xml:space="preserve">wodnej </w:t>
      </w:r>
      <w:r w:rsidR="00705796" w:rsidRPr="00424D98">
        <w:rPr>
          <w:shd w:val="clear" w:color="auto" w:fill="FFFFFF"/>
        </w:rPr>
        <w:t xml:space="preserve">(o </w:t>
      </w:r>
      <w:r w:rsidR="00322AEF" w:rsidRPr="00424D98">
        <w:rPr>
          <w:shd w:val="clear" w:color="auto" w:fill="FFFFFF"/>
        </w:rPr>
        <w:t>2</w:t>
      </w:r>
      <w:r w:rsidR="00705796" w:rsidRPr="00424D98">
        <w:rPr>
          <w:shd w:val="clear" w:color="auto" w:fill="FFFFFF"/>
        </w:rPr>
        <w:t>,</w:t>
      </w:r>
      <w:r w:rsidR="00424D98" w:rsidRPr="00424D98">
        <w:rPr>
          <w:shd w:val="clear" w:color="auto" w:fill="FFFFFF"/>
        </w:rPr>
        <w:t>6</w:t>
      </w:r>
      <w:r w:rsidR="00705796" w:rsidRPr="00424D98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B3240C">
        <w:rPr>
          <w:shd w:val="clear" w:color="auto" w:fill="FFFFFF"/>
        </w:rPr>
        <w:t xml:space="preserve"> </w:t>
      </w:r>
      <w:r w:rsidR="0085161D">
        <w:rPr>
          <w:shd w:val="clear" w:color="auto" w:fill="FFFFFF"/>
        </w:rPr>
        <w:t xml:space="preserve">           </w:t>
      </w:r>
      <w:r w:rsidR="00705796" w:rsidRPr="00AF1004">
        <w:rPr>
          <w:shd w:val="clear" w:color="auto" w:fill="FFFFFF"/>
        </w:rPr>
        <w:t xml:space="preserve">(o </w:t>
      </w:r>
      <w:r w:rsidR="00B3240C" w:rsidRPr="00AF1004">
        <w:rPr>
          <w:shd w:val="clear" w:color="auto" w:fill="FFFFFF"/>
        </w:rPr>
        <w:t>2</w:t>
      </w:r>
      <w:r w:rsidR="00705796" w:rsidRPr="00AF1004">
        <w:rPr>
          <w:shd w:val="clear" w:color="auto" w:fill="FFFFFF"/>
        </w:rPr>
        <w:t>,</w:t>
      </w:r>
      <w:r w:rsidR="00424D98" w:rsidRPr="00AF1004">
        <w:rPr>
          <w:shd w:val="clear" w:color="auto" w:fill="FFFFFF"/>
        </w:rPr>
        <w:t>3</w:t>
      </w:r>
      <w:r w:rsidR="00705796" w:rsidRPr="00AF1004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3D4643FD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AF1004">
        <w:rPr>
          <w:b/>
          <w:shd w:val="clear" w:color="auto" w:fill="FFFFFF"/>
        </w:rPr>
        <w:t>montażowej  w</w:t>
      </w:r>
      <w:r w:rsidR="003A0744" w:rsidRPr="00AF1004">
        <w:rPr>
          <w:b/>
          <w:shd w:val="clear" w:color="auto" w:fill="FFFFFF"/>
        </w:rPr>
        <w:t xml:space="preserve"> </w:t>
      </w:r>
      <w:r w:rsidR="00156B43" w:rsidRPr="00AF1004">
        <w:rPr>
          <w:b/>
          <w:shd w:val="clear" w:color="auto" w:fill="FFFFFF"/>
        </w:rPr>
        <w:t xml:space="preserve">grudniu </w:t>
      </w:r>
      <w:r w:rsidR="00666826" w:rsidRPr="00AF1004">
        <w:rPr>
          <w:b/>
          <w:shd w:val="clear" w:color="auto" w:fill="FFFFFF"/>
        </w:rPr>
        <w:t xml:space="preserve"> </w:t>
      </w:r>
      <w:r w:rsidRPr="00AF1004">
        <w:rPr>
          <w:b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83"/>
        <w:gridCol w:w="1140"/>
        <w:gridCol w:w="1083"/>
        <w:gridCol w:w="1083"/>
        <w:gridCol w:w="1197"/>
      </w:tblGrid>
      <w:tr w:rsidR="00275389" w14:paraId="28418B20" w14:textId="77777777" w:rsidTr="00831A18">
        <w:tc>
          <w:tcPr>
            <w:tcW w:w="2194" w:type="dxa"/>
          </w:tcPr>
          <w:p w14:paraId="698542A5" w14:textId="77777777" w:rsidR="00275389" w:rsidRDefault="00275389" w:rsidP="00407685">
            <w:pPr>
              <w:rPr>
                <w:shd w:val="clear" w:color="auto" w:fill="FFFFFF"/>
              </w:rPr>
            </w:pPr>
          </w:p>
        </w:tc>
        <w:tc>
          <w:tcPr>
            <w:tcW w:w="2423" w:type="dxa"/>
            <w:gridSpan w:val="2"/>
          </w:tcPr>
          <w:p w14:paraId="385AA95B" w14:textId="6354F4C7" w:rsidR="00275389" w:rsidRPr="00491933" w:rsidRDefault="00275389" w:rsidP="00155DBD">
            <w:pPr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 2019</w:t>
            </w:r>
          </w:p>
        </w:tc>
        <w:tc>
          <w:tcPr>
            <w:tcW w:w="2166" w:type="dxa"/>
            <w:gridSpan w:val="2"/>
          </w:tcPr>
          <w:p w14:paraId="6E038D5A" w14:textId="48C5B4A7" w:rsidR="00275389" w:rsidRPr="00491933" w:rsidRDefault="00275389" w:rsidP="00AE3EC4">
            <w:pPr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1197" w:type="dxa"/>
          </w:tcPr>
          <w:p w14:paraId="250ABEAC" w14:textId="7C7E2506" w:rsidR="00275389" w:rsidRPr="00491933" w:rsidRDefault="00275389" w:rsidP="008A4E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I-XII 2019</w:t>
            </w:r>
          </w:p>
        </w:tc>
      </w:tr>
      <w:tr w:rsidR="00275389" w14:paraId="7C2DEADD" w14:textId="77777777" w:rsidTr="00966B0D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275389" w:rsidRDefault="00275389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83" w:type="dxa"/>
            <w:tcBorders>
              <w:bottom w:val="single" w:sz="12" w:space="0" w:color="001D77"/>
            </w:tcBorders>
          </w:tcPr>
          <w:p w14:paraId="424044BB" w14:textId="670C1C06" w:rsidR="00275389" w:rsidRPr="00491933" w:rsidRDefault="00275389" w:rsidP="000B5C5B">
            <w:pPr>
              <w:jc w:val="center"/>
              <w:rPr>
                <w:spacing w:val="-12"/>
                <w:shd w:val="clear" w:color="auto" w:fill="FFFFFF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X 2019=100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71B0E54F" w14:textId="77777777" w:rsidR="00275389" w:rsidRDefault="00275389" w:rsidP="00275389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analogiczny okres</w:t>
            </w:r>
          </w:p>
          <w:p w14:paraId="369999C5" w14:textId="2A5A0A4D" w:rsidR="00275389" w:rsidRPr="00491933" w:rsidRDefault="00275389" w:rsidP="00275389">
            <w:pPr>
              <w:spacing w:before="0"/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 xml:space="preserve"> 2018=100</w:t>
            </w:r>
          </w:p>
        </w:tc>
        <w:tc>
          <w:tcPr>
            <w:tcW w:w="1083" w:type="dxa"/>
            <w:tcBorders>
              <w:bottom w:val="single" w:sz="12" w:space="0" w:color="001D77"/>
            </w:tcBorders>
          </w:tcPr>
          <w:p w14:paraId="3DACDA42" w14:textId="38DC74EB" w:rsidR="00275389" w:rsidRPr="00491933" w:rsidRDefault="00275389" w:rsidP="00726690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XI 2019=100</w:t>
            </w:r>
          </w:p>
        </w:tc>
        <w:tc>
          <w:tcPr>
            <w:tcW w:w="1197" w:type="dxa"/>
            <w:tcBorders>
              <w:bottom w:val="single" w:sz="12" w:space="0" w:color="001D77"/>
            </w:tcBorders>
          </w:tcPr>
          <w:p w14:paraId="7EAADEAF" w14:textId="0E5F463A" w:rsidR="00275389" w:rsidRPr="00491933" w:rsidRDefault="00275389" w:rsidP="008A4E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I-XII 2018=100</w:t>
            </w:r>
          </w:p>
        </w:tc>
      </w:tr>
      <w:tr w:rsidR="00275389" w14:paraId="5BEE1FA3" w14:textId="77777777" w:rsidTr="00275389">
        <w:tc>
          <w:tcPr>
            <w:tcW w:w="2194" w:type="dxa"/>
          </w:tcPr>
          <w:p w14:paraId="3552BA42" w14:textId="77777777" w:rsidR="00275389" w:rsidRDefault="00275389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83" w:type="dxa"/>
            <w:vAlign w:val="center"/>
          </w:tcPr>
          <w:p w14:paraId="41C04DDE" w14:textId="51642456" w:rsidR="00275389" w:rsidRPr="000B5C5B" w:rsidRDefault="00275389" w:rsidP="00554D6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40" w:type="dxa"/>
            <w:vAlign w:val="center"/>
          </w:tcPr>
          <w:p w14:paraId="097819F7" w14:textId="7AA2C228" w:rsidR="00275389" w:rsidRPr="000B5C5B" w:rsidRDefault="00275389" w:rsidP="00554D6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1083" w:type="dxa"/>
            <w:vAlign w:val="center"/>
          </w:tcPr>
          <w:p w14:paraId="5F88C3D0" w14:textId="50145AA3" w:rsidR="00275389" w:rsidRPr="000B5C5B" w:rsidRDefault="00275389" w:rsidP="00554D6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83" w:type="dxa"/>
            <w:vAlign w:val="center"/>
          </w:tcPr>
          <w:p w14:paraId="1CCCED6A" w14:textId="17EA462D" w:rsidR="00275389" w:rsidRPr="000B5C5B" w:rsidRDefault="00275389" w:rsidP="00A23F2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54D6B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97" w:type="dxa"/>
            <w:vAlign w:val="center"/>
          </w:tcPr>
          <w:p w14:paraId="6DAE89EC" w14:textId="17F832FB" w:rsidR="00275389" w:rsidRPr="000B5C5B" w:rsidRDefault="00275389" w:rsidP="00CE755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E5702">
              <w:rPr>
                <w:rFonts w:cs="Arial"/>
                <w:b/>
                <w:color w:val="000000" w:themeColor="text1"/>
                <w:sz w:val="16"/>
                <w:szCs w:val="16"/>
              </w:rPr>
              <w:t>103,5</w:t>
            </w:r>
          </w:p>
        </w:tc>
      </w:tr>
      <w:tr w:rsidR="00275389" w14:paraId="7CD16B2D" w14:textId="77777777" w:rsidTr="00275389">
        <w:tc>
          <w:tcPr>
            <w:tcW w:w="2194" w:type="dxa"/>
          </w:tcPr>
          <w:p w14:paraId="5940A8A0" w14:textId="77777777" w:rsidR="00275389" w:rsidRDefault="00275389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83" w:type="dxa"/>
            <w:vAlign w:val="center"/>
          </w:tcPr>
          <w:p w14:paraId="2091D7FF" w14:textId="5EDAE925" w:rsidR="00275389" w:rsidRPr="000B5C5B" w:rsidRDefault="00275389" w:rsidP="000B35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16180B42" w14:textId="51EF9FAB" w:rsidR="00275389" w:rsidRPr="000B5C5B" w:rsidRDefault="00275389" w:rsidP="000B35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1083" w:type="dxa"/>
            <w:vAlign w:val="center"/>
          </w:tcPr>
          <w:p w14:paraId="3374B09A" w14:textId="0C40FFB3" w:rsidR="00275389" w:rsidRPr="000B5C5B" w:rsidRDefault="00275389" w:rsidP="000B35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83" w:type="dxa"/>
            <w:vAlign w:val="center"/>
          </w:tcPr>
          <w:p w14:paraId="1EA7E4AE" w14:textId="31DC14D9" w:rsidR="00275389" w:rsidRPr="000B5C5B" w:rsidRDefault="00275389" w:rsidP="000B350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B350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97" w:type="dxa"/>
            <w:vAlign w:val="center"/>
          </w:tcPr>
          <w:p w14:paraId="5DA422A1" w14:textId="2A79D96A" w:rsidR="00275389" w:rsidRPr="000B5C5B" w:rsidRDefault="00275389" w:rsidP="00CC75C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C75C3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</w:tr>
      <w:tr w:rsidR="00275389" w14:paraId="0BCE35C0" w14:textId="77777777" w:rsidTr="00275389">
        <w:tc>
          <w:tcPr>
            <w:tcW w:w="2194" w:type="dxa"/>
          </w:tcPr>
          <w:p w14:paraId="0909A4BF" w14:textId="3FF3D0F8" w:rsidR="00275389" w:rsidRDefault="00275389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 xml:space="preserve">Budowa obiektów  inżynierii 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83" w:type="dxa"/>
            <w:shd w:val="clear" w:color="auto" w:fill="auto"/>
            <w:vAlign w:val="center"/>
          </w:tcPr>
          <w:p w14:paraId="5201EF8E" w14:textId="0F2F1FB7" w:rsidR="00275389" w:rsidRPr="000B5C5B" w:rsidRDefault="00275389" w:rsidP="00B7176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76D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F4FEEF5" w14:textId="3E07330C" w:rsidR="00275389" w:rsidRPr="000B5C5B" w:rsidRDefault="00275389" w:rsidP="00B716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88EF4B6" w14:textId="2BF73F1C" w:rsidR="00275389" w:rsidRPr="000B5C5B" w:rsidRDefault="00275389" w:rsidP="00B716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F4EBD71" w14:textId="03126CA9" w:rsidR="00275389" w:rsidRPr="000B5C5B" w:rsidRDefault="00275389" w:rsidP="00B716A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16A8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04354CC1" w14:textId="22FB959B" w:rsidR="00275389" w:rsidRPr="000B5C5B" w:rsidRDefault="00275389" w:rsidP="0086407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407B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275389" w14:paraId="2C4DED67" w14:textId="77777777" w:rsidTr="00275389">
        <w:tc>
          <w:tcPr>
            <w:tcW w:w="2194" w:type="dxa"/>
          </w:tcPr>
          <w:p w14:paraId="00F0AB9E" w14:textId="77777777" w:rsidR="00275389" w:rsidRPr="00D97063" w:rsidRDefault="00275389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1283" w:type="dxa"/>
            <w:vAlign w:val="center"/>
          </w:tcPr>
          <w:p w14:paraId="2BF48DF6" w14:textId="5EC5B8E0" w:rsidR="00275389" w:rsidRPr="000B5C5B" w:rsidRDefault="00275389" w:rsidP="00910C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40" w:type="dxa"/>
            <w:vAlign w:val="center"/>
          </w:tcPr>
          <w:p w14:paraId="5FF6EDBC" w14:textId="67101B64" w:rsidR="00275389" w:rsidRPr="000B5C5B" w:rsidRDefault="00275389" w:rsidP="00910C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1083" w:type="dxa"/>
            <w:vAlign w:val="center"/>
          </w:tcPr>
          <w:p w14:paraId="1F0B22B3" w14:textId="61F2CD40" w:rsidR="00275389" w:rsidRPr="000B5C5B" w:rsidRDefault="00275389" w:rsidP="008669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083" w:type="dxa"/>
            <w:vAlign w:val="center"/>
          </w:tcPr>
          <w:p w14:paraId="093EDD49" w14:textId="65E78445" w:rsidR="00275389" w:rsidRPr="000B5C5B" w:rsidRDefault="00275389" w:rsidP="0086692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197" w:type="dxa"/>
            <w:vAlign w:val="center"/>
          </w:tcPr>
          <w:p w14:paraId="035D45DD" w14:textId="4AF404DD" w:rsidR="00275389" w:rsidRPr="000B5C5B" w:rsidRDefault="00275389" w:rsidP="00D049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1A67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</w:tr>
    </w:tbl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63A4F8DB" w:rsidR="007E45BB" w:rsidRDefault="00582C9F" w:rsidP="00E75536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36416" behindDoc="0" locked="0" layoutInCell="1" allowOverlap="1" wp14:anchorId="0CE2B78E" wp14:editId="6AEE5AF7">
            <wp:simplePos x="0" y="0"/>
            <wp:positionH relativeFrom="column">
              <wp:posOffset>0</wp:posOffset>
            </wp:positionH>
            <wp:positionV relativeFrom="paragraph">
              <wp:posOffset>476250</wp:posOffset>
            </wp:positionV>
            <wp:extent cx="5122545" cy="2452370"/>
            <wp:effectExtent l="0" t="0" r="1905" b="508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102A435B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</w:t>
      </w:r>
      <w:r w:rsidR="0046113A" w:rsidRPr="002244C3">
        <w:rPr>
          <w:bCs/>
          <w:shd w:val="clear" w:color="auto" w:fill="FFFFFF"/>
        </w:rPr>
        <w:t>201</w:t>
      </w:r>
      <w:r w:rsidR="00F50A20" w:rsidRPr="002244C3">
        <w:rPr>
          <w:bCs/>
          <w:shd w:val="clear" w:color="auto" w:fill="FFFFFF"/>
        </w:rPr>
        <w:t>8</w:t>
      </w:r>
      <w:r w:rsidR="0046113A" w:rsidRPr="002244C3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poprzedniego</w:t>
      </w:r>
    </w:p>
    <w:p w14:paraId="4066A824" w14:textId="6C9678CB" w:rsidR="00582C9F" w:rsidRDefault="00582C9F" w:rsidP="00E75536">
      <w:pPr>
        <w:pStyle w:val="tytuwykresu"/>
        <w:ind w:left="794" w:hanging="794"/>
        <w:rPr>
          <w:shd w:val="clear" w:color="auto" w:fill="FFFFFF"/>
        </w:rPr>
      </w:pPr>
    </w:p>
    <w:p w14:paraId="276C8AA9" w14:textId="468F0462" w:rsidR="00361A98" w:rsidRDefault="00361A98" w:rsidP="00E75536">
      <w:pPr>
        <w:pStyle w:val="tytuwykresu"/>
        <w:ind w:left="794" w:hanging="794"/>
        <w:rPr>
          <w:shd w:val="clear" w:color="auto" w:fill="FFFFFF"/>
        </w:rPr>
      </w:pPr>
    </w:p>
    <w:p w14:paraId="65C823B8" w14:textId="7A7B98A5" w:rsidR="00BA5703" w:rsidRDefault="00BA5703" w:rsidP="00E75536">
      <w:pPr>
        <w:pStyle w:val="tytuwykresu"/>
        <w:ind w:left="794" w:hanging="794"/>
        <w:rPr>
          <w:shd w:val="clear" w:color="auto" w:fill="FFFFFF"/>
        </w:rPr>
      </w:pPr>
    </w:p>
    <w:p w14:paraId="62A55026" w14:textId="445B0BCF" w:rsidR="003F5D6C" w:rsidRDefault="003F5D6C" w:rsidP="00E75536">
      <w:pPr>
        <w:pStyle w:val="tytuwykresu"/>
        <w:ind w:left="794" w:hanging="794"/>
        <w:rPr>
          <w:shd w:val="clear" w:color="auto" w:fill="FFFFFF"/>
        </w:rPr>
      </w:pPr>
    </w:p>
    <w:p w14:paraId="7C791DA4" w14:textId="1FC29145" w:rsidR="000C61D2" w:rsidRDefault="000C61D2" w:rsidP="00920414">
      <w:pPr>
        <w:pStyle w:val="tytuwykresu"/>
        <w:rPr>
          <w:shd w:val="clear" w:color="auto" w:fill="FFFFFF"/>
        </w:rPr>
      </w:pPr>
    </w:p>
    <w:p w14:paraId="09290F01" w14:textId="127C5F95" w:rsidR="00ED04B9" w:rsidRDefault="00ED04B9" w:rsidP="00920414">
      <w:pPr>
        <w:pStyle w:val="tytuwykresu"/>
        <w:rPr>
          <w:shd w:val="clear" w:color="auto" w:fill="FFFFFF"/>
        </w:rPr>
      </w:pPr>
    </w:p>
    <w:p w14:paraId="60CD543F" w14:textId="59E666E9" w:rsidR="00FA79BF" w:rsidRDefault="00FA79BF" w:rsidP="00920414">
      <w:pPr>
        <w:pStyle w:val="tytuwykresu"/>
        <w:rPr>
          <w:shd w:val="clear" w:color="auto" w:fill="FFFFFF"/>
        </w:rPr>
      </w:pPr>
    </w:p>
    <w:p w14:paraId="0641D1DB" w14:textId="2C8FA3E9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58025866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763599E4" w:rsidR="00AC7FD1" w:rsidRDefault="00AC7FD1" w:rsidP="00E76D26">
      <w:pPr>
        <w:rPr>
          <w:b/>
          <w:spacing w:val="-2"/>
          <w:sz w:val="18"/>
        </w:rPr>
      </w:pPr>
    </w:p>
    <w:p w14:paraId="3E647B40" w14:textId="31F83E42" w:rsidR="000F1C91" w:rsidRDefault="00B139B7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7440" behindDoc="0" locked="0" layoutInCell="1" allowOverlap="1" wp14:anchorId="41B3E35D" wp14:editId="435CDA67">
            <wp:simplePos x="0" y="0"/>
            <wp:positionH relativeFrom="column">
              <wp:posOffset>-104775</wp:posOffset>
            </wp:positionH>
            <wp:positionV relativeFrom="paragraph">
              <wp:posOffset>396875</wp:posOffset>
            </wp:positionV>
            <wp:extent cx="5122545" cy="2818765"/>
            <wp:effectExtent l="0" t="0" r="1905" b="635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CD4B1C">
        <w:rPr>
          <w:bCs/>
          <w:shd w:val="clear" w:color="auto" w:fill="FFFFFF"/>
        </w:rPr>
        <w:t>w latach 201</w:t>
      </w:r>
      <w:r w:rsidR="00F50A20" w:rsidRPr="00CD4B1C">
        <w:rPr>
          <w:bCs/>
          <w:shd w:val="clear" w:color="auto" w:fill="FFFFFF"/>
        </w:rPr>
        <w:t>8</w:t>
      </w:r>
      <w:r w:rsidR="00FF6593" w:rsidRPr="00CD4B1C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</w:t>
      </w:r>
      <w:r w:rsidR="00690085">
        <w:rPr>
          <w:bCs/>
          <w:shd w:val="clear" w:color="auto" w:fill="FFFFFF"/>
        </w:rPr>
        <w:t xml:space="preserve">w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</w:p>
    <w:p w14:paraId="6C141388" w14:textId="4BFC87F2" w:rsidR="00B139B7" w:rsidRDefault="00B139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4210256A" w14:textId="03312F71" w:rsidR="00592523" w:rsidRDefault="0059252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A395933" w14:textId="57A19E17" w:rsidR="00B855B7" w:rsidRDefault="00B855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9DF9C78" w14:textId="1C980AD0" w:rsidR="00FC23DD" w:rsidRDefault="00FC23DD" w:rsidP="00D46AF7">
      <w:pPr>
        <w:rPr>
          <w:noProof/>
          <w:lang w:eastAsia="pl-PL"/>
        </w:rPr>
      </w:pPr>
    </w:p>
    <w:p w14:paraId="62971D30" w14:textId="50A6C5C7" w:rsidR="00D46AF7" w:rsidRDefault="008E6B39" w:rsidP="002263EA">
      <w:pPr>
        <w:ind w:left="794" w:hanging="794"/>
        <w:rPr>
          <w:b/>
          <w:spacing w:val="-2"/>
          <w:sz w:val="17"/>
          <w:szCs w:val="17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38464" behindDoc="0" locked="0" layoutInCell="1" allowOverlap="1" wp14:anchorId="38AA5B22" wp14:editId="7FAFC82E">
            <wp:simplePos x="0" y="0"/>
            <wp:positionH relativeFrom="column">
              <wp:posOffset>-104775</wp:posOffset>
            </wp:positionH>
            <wp:positionV relativeFrom="paragraph">
              <wp:posOffset>304800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>.</w:t>
      </w:r>
      <w:r w:rsidR="00964B8F">
        <w:rPr>
          <w:b/>
          <w:spacing w:val="-2"/>
          <w:sz w:val="18"/>
          <w:shd w:val="clear" w:color="auto" w:fill="FFFFFF"/>
        </w:rPr>
        <w:t xml:space="preserve"> </w:t>
      </w:r>
      <w:r w:rsidR="00BD4D47">
        <w:rPr>
          <w:b/>
          <w:spacing w:val="-2"/>
          <w:sz w:val="18"/>
          <w:shd w:val="clear" w:color="auto" w:fill="FFFFFF"/>
        </w:rPr>
        <w:t>Zmiany 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</w:t>
      </w:r>
      <w:r w:rsidR="00D46AF7" w:rsidRPr="005C37C0">
        <w:rPr>
          <w:b/>
          <w:spacing w:val="-2"/>
          <w:sz w:val="18"/>
          <w:shd w:val="clear" w:color="auto" w:fill="FFFFFF"/>
        </w:rPr>
        <w:t>latach 201</w:t>
      </w:r>
      <w:r w:rsidR="00F50A20" w:rsidRPr="005C37C0">
        <w:rPr>
          <w:b/>
          <w:spacing w:val="-2"/>
          <w:sz w:val="18"/>
          <w:shd w:val="clear" w:color="auto" w:fill="FFFFFF"/>
        </w:rPr>
        <w:t>8</w:t>
      </w:r>
      <w:r w:rsidR="00D46AF7" w:rsidRPr="005C37C0">
        <w:rPr>
          <w:b/>
          <w:spacing w:val="-2"/>
          <w:sz w:val="18"/>
          <w:shd w:val="clear" w:color="auto" w:fill="FFFFFF"/>
        </w:rPr>
        <w:t>-</w:t>
      </w:r>
      <w:r w:rsidR="00D46AF7" w:rsidRPr="002263EA">
        <w:rPr>
          <w:b/>
          <w:spacing w:val="-2"/>
          <w:sz w:val="18"/>
          <w:szCs w:val="18"/>
          <w:shd w:val="clear" w:color="auto" w:fill="FFFFFF"/>
        </w:rPr>
        <w:t>2019</w:t>
      </w:r>
      <w:r w:rsidR="00964B8F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2263EA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BD4D47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845E7" w:rsidRPr="002263EA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="00D46AF7" w:rsidRPr="002263EA">
        <w:rPr>
          <w:b/>
          <w:spacing w:val="-2"/>
          <w:sz w:val="18"/>
          <w:szCs w:val="18"/>
          <w:shd w:val="clear" w:color="auto" w:fill="FFFFFF"/>
        </w:rPr>
        <w:t>XII 2017</w:t>
      </w:r>
      <w:r w:rsidR="002D563D" w:rsidRPr="002263EA">
        <w:rPr>
          <w:b/>
          <w:spacing w:val="-2"/>
          <w:sz w:val="18"/>
          <w:szCs w:val="18"/>
          <w:shd w:val="clear" w:color="auto" w:fill="FFFFFF"/>
        </w:rPr>
        <w:t xml:space="preserve"> r.</w:t>
      </w:r>
    </w:p>
    <w:p w14:paraId="3059DEFB" w14:textId="15B190D2" w:rsidR="008E6B39" w:rsidRDefault="008E6B39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22011A7A" w14:textId="4289BB68" w:rsidR="00AD6DD9" w:rsidRDefault="00AD6DD9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1282B0F1" w14:textId="4AF52FC6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3C517C1" w14:textId="22468AF7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0A3D3532" w14:textId="5CAF3DAB" w:rsidR="00DA4F86" w:rsidRDefault="00DA4F86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44E1598" w14:textId="2A93F21C" w:rsidR="00C13BFF" w:rsidRPr="00964B8F" w:rsidRDefault="00C13BF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DF91C86" w14:textId="676D8575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78444A70" w:rsidR="00D46AF7" w:rsidRDefault="00D46AF7" w:rsidP="00D46AF7">
      <w:pPr>
        <w:rPr>
          <w:sz w:val="18"/>
        </w:rPr>
      </w:pPr>
    </w:p>
    <w:p w14:paraId="15E6AA6B" w14:textId="6EE8A498" w:rsidR="00D46AF7" w:rsidRDefault="0010360C" w:rsidP="00C27ECF">
      <w:pPr>
        <w:ind w:left="794" w:hanging="794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9488" behindDoc="0" locked="0" layoutInCell="1" allowOverlap="1" wp14:anchorId="4A448F20" wp14:editId="0D70BE1D">
            <wp:simplePos x="0" y="0"/>
            <wp:positionH relativeFrom="column">
              <wp:posOffset>-100965</wp:posOffset>
            </wp:positionH>
            <wp:positionV relativeFrom="paragraph">
              <wp:posOffset>445135</wp:posOffset>
            </wp:positionV>
            <wp:extent cx="5122545" cy="2744470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D46AF7">
        <w:rPr>
          <w:b/>
          <w:spacing w:val="-2"/>
          <w:sz w:val="18"/>
          <w:shd w:val="clear" w:color="auto" w:fill="FFFFFF"/>
        </w:rPr>
        <w:t>Wykres 4</w:t>
      </w:r>
      <w:r w:rsidR="00D46AF7" w:rsidRPr="008D009F">
        <w:rPr>
          <w:b/>
          <w:spacing w:val="-2"/>
          <w:sz w:val="18"/>
          <w:shd w:val="clear" w:color="auto" w:fill="FFFFFF"/>
        </w:rPr>
        <w:t>.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AF4D88">
        <w:rPr>
          <w:b/>
          <w:spacing w:val="-2"/>
          <w:sz w:val="18"/>
          <w:shd w:val="clear" w:color="auto" w:fill="FFFFFF"/>
        </w:rPr>
        <w:t>Zmiany c</w:t>
      </w:r>
      <w:r w:rsidR="00D46AF7" w:rsidRPr="008D009F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produkcji </w:t>
      </w:r>
      <w:r w:rsidR="00D46AF7"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</w:t>
      </w:r>
      <w:r w:rsidR="00D46AF7" w:rsidRPr="008A0A3E">
        <w:rPr>
          <w:b/>
          <w:spacing w:val="-2"/>
          <w:sz w:val="18"/>
          <w:shd w:val="clear" w:color="auto" w:fill="FFFFFF"/>
        </w:rPr>
        <w:t>w latach  201</w:t>
      </w:r>
      <w:r w:rsidR="00F50A20" w:rsidRPr="008A0A3E">
        <w:rPr>
          <w:b/>
          <w:spacing w:val="-2"/>
          <w:sz w:val="18"/>
          <w:shd w:val="clear" w:color="auto" w:fill="FFFFFF"/>
        </w:rPr>
        <w:t>8</w:t>
      </w:r>
      <w:r w:rsidR="00D46AF7" w:rsidRPr="008A0A3E">
        <w:rPr>
          <w:b/>
          <w:spacing w:val="-2"/>
          <w:sz w:val="18"/>
          <w:shd w:val="clear" w:color="auto" w:fill="FFFFFF"/>
        </w:rPr>
        <w:t>-2019</w:t>
      </w:r>
      <w:r w:rsidR="00AF4D88">
        <w:rPr>
          <w:b/>
          <w:spacing w:val="-2"/>
          <w:sz w:val="18"/>
          <w:shd w:val="clear" w:color="auto" w:fill="FFFFFF"/>
        </w:rPr>
        <w:t xml:space="preserve">   w stosunku do</w:t>
      </w:r>
      <w:r w:rsidR="00AC0BE4">
        <w:rPr>
          <w:b/>
          <w:spacing w:val="-2"/>
          <w:sz w:val="18"/>
          <w:shd w:val="clear" w:color="auto" w:fill="FFFFFF"/>
        </w:rPr>
        <w:t xml:space="preserve">  </w:t>
      </w:r>
      <w:r w:rsidR="00AF4D88">
        <w:rPr>
          <w:b/>
          <w:spacing w:val="-2"/>
          <w:sz w:val="18"/>
          <w:shd w:val="clear" w:color="auto" w:fill="FFFFFF"/>
        </w:rPr>
        <w:t>XII 2017 r</w:t>
      </w:r>
      <w:r w:rsidR="002D563D">
        <w:rPr>
          <w:b/>
          <w:spacing w:val="-2"/>
          <w:sz w:val="18"/>
          <w:shd w:val="clear" w:color="auto" w:fill="FFFFFF"/>
        </w:rPr>
        <w:t>.</w:t>
      </w:r>
    </w:p>
    <w:p w14:paraId="01C5897C" w14:textId="5EC1333E" w:rsidR="0010360C" w:rsidRDefault="0010360C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245D9E9F" w14:textId="3D612D0D" w:rsidR="00466436" w:rsidRDefault="00466436" w:rsidP="00AF4D88">
      <w:pPr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1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42CA7EBD" w:rsidR="00A86EE5" w:rsidRDefault="00E678AC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A86EE5" w:rsidRPr="00CB26D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E678AC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E678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E678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E678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E678A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++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1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GlA/vj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42CA7EBD" w:rsidR="00A86EE5" w:rsidRDefault="002B68A7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A86EE5" w:rsidRPr="00CB26D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2B68A7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2B68A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2B68A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2B68A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2B68A7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285A3" w14:textId="77777777" w:rsidR="00E678AC" w:rsidRDefault="00E678AC" w:rsidP="000662E2">
      <w:pPr>
        <w:spacing w:after="0" w:line="240" w:lineRule="auto"/>
      </w:pPr>
      <w:r>
        <w:separator/>
      </w:r>
    </w:p>
  </w:endnote>
  <w:endnote w:type="continuationSeparator" w:id="0">
    <w:p w14:paraId="1D3AACCC" w14:textId="77777777" w:rsidR="00E678AC" w:rsidRDefault="00E678A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27D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27D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0A182" w14:textId="77777777" w:rsidR="00E678AC" w:rsidRDefault="00E678AC" w:rsidP="000662E2">
      <w:pPr>
        <w:spacing w:after="0" w:line="240" w:lineRule="auto"/>
      </w:pPr>
      <w:r>
        <w:separator/>
      </w:r>
    </w:p>
  </w:footnote>
  <w:footnote w:type="continuationSeparator" w:id="0">
    <w:p w14:paraId="77788BCC" w14:textId="77777777" w:rsidR="00E678AC" w:rsidRDefault="00E678A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6A5EA9DC" w:rsidR="00F37172" w:rsidRPr="00C97596" w:rsidRDefault="00156B4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6A5EA9DC" w:rsidR="00F37172" w:rsidRPr="00C97596" w:rsidRDefault="00156B4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24334"/>
    <w:rsid w:val="00026077"/>
    <w:rsid w:val="00030C63"/>
    <w:rsid w:val="00030EF4"/>
    <w:rsid w:val="0003267C"/>
    <w:rsid w:val="00033AA0"/>
    <w:rsid w:val="000348F6"/>
    <w:rsid w:val="000348FD"/>
    <w:rsid w:val="00036A05"/>
    <w:rsid w:val="00037A95"/>
    <w:rsid w:val="00043A10"/>
    <w:rsid w:val="000443E5"/>
    <w:rsid w:val="000452B2"/>
    <w:rsid w:val="0004582E"/>
    <w:rsid w:val="000462EA"/>
    <w:rsid w:val="000470AA"/>
    <w:rsid w:val="00053135"/>
    <w:rsid w:val="0005489B"/>
    <w:rsid w:val="00057748"/>
    <w:rsid w:val="00057CA1"/>
    <w:rsid w:val="000601E5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3C7C"/>
    <w:rsid w:val="00094A75"/>
    <w:rsid w:val="000965D2"/>
    <w:rsid w:val="000A560F"/>
    <w:rsid w:val="000A679B"/>
    <w:rsid w:val="000A6E7C"/>
    <w:rsid w:val="000A6F6A"/>
    <w:rsid w:val="000B0727"/>
    <w:rsid w:val="000B350C"/>
    <w:rsid w:val="000B4E38"/>
    <w:rsid w:val="000B5C5B"/>
    <w:rsid w:val="000B6975"/>
    <w:rsid w:val="000B7243"/>
    <w:rsid w:val="000C135D"/>
    <w:rsid w:val="000C2321"/>
    <w:rsid w:val="000C31CC"/>
    <w:rsid w:val="000C5D21"/>
    <w:rsid w:val="000C61D2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F1ADD"/>
    <w:rsid w:val="000F1C91"/>
    <w:rsid w:val="000F4C7F"/>
    <w:rsid w:val="0010064B"/>
    <w:rsid w:val="00100977"/>
    <w:rsid w:val="001011C3"/>
    <w:rsid w:val="00101CE3"/>
    <w:rsid w:val="0010360C"/>
    <w:rsid w:val="0010783E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6013"/>
    <w:rsid w:val="00136991"/>
    <w:rsid w:val="0013710F"/>
    <w:rsid w:val="00140355"/>
    <w:rsid w:val="001423B6"/>
    <w:rsid w:val="00142EE9"/>
    <w:rsid w:val="001430B0"/>
    <w:rsid w:val="001448A7"/>
    <w:rsid w:val="0014523A"/>
    <w:rsid w:val="001454E4"/>
    <w:rsid w:val="00145D3D"/>
    <w:rsid w:val="00146621"/>
    <w:rsid w:val="00147181"/>
    <w:rsid w:val="00150866"/>
    <w:rsid w:val="00151C47"/>
    <w:rsid w:val="00152273"/>
    <w:rsid w:val="0015283D"/>
    <w:rsid w:val="00152DBA"/>
    <w:rsid w:val="00155DBD"/>
    <w:rsid w:val="00156B43"/>
    <w:rsid w:val="00161F82"/>
    <w:rsid w:val="00162325"/>
    <w:rsid w:val="00164E66"/>
    <w:rsid w:val="00165BF0"/>
    <w:rsid w:val="00165FBF"/>
    <w:rsid w:val="0016738D"/>
    <w:rsid w:val="001717B6"/>
    <w:rsid w:val="00171894"/>
    <w:rsid w:val="00172895"/>
    <w:rsid w:val="00172C1F"/>
    <w:rsid w:val="00174B6B"/>
    <w:rsid w:val="001824E3"/>
    <w:rsid w:val="00185288"/>
    <w:rsid w:val="0019027D"/>
    <w:rsid w:val="00192219"/>
    <w:rsid w:val="0019280B"/>
    <w:rsid w:val="001951DA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D1DB4"/>
    <w:rsid w:val="001D5A4B"/>
    <w:rsid w:val="001D63FD"/>
    <w:rsid w:val="001E197F"/>
    <w:rsid w:val="001E1ACA"/>
    <w:rsid w:val="001E4A70"/>
    <w:rsid w:val="001E7A98"/>
    <w:rsid w:val="001F4323"/>
    <w:rsid w:val="001F7170"/>
    <w:rsid w:val="00201811"/>
    <w:rsid w:val="002025E0"/>
    <w:rsid w:val="00205CB3"/>
    <w:rsid w:val="0021357F"/>
    <w:rsid w:val="0022042A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243A"/>
    <w:rsid w:val="00243063"/>
    <w:rsid w:val="00250625"/>
    <w:rsid w:val="00252E43"/>
    <w:rsid w:val="00255143"/>
    <w:rsid w:val="002574F9"/>
    <w:rsid w:val="002603B5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52C5"/>
    <w:rsid w:val="00285BE1"/>
    <w:rsid w:val="002866A4"/>
    <w:rsid w:val="00286779"/>
    <w:rsid w:val="00291478"/>
    <w:rsid w:val="002915CD"/>
    <w:rsid w:val="002926DF"/>
    <w:rsid w:val="00293606"/>
    <w:rsid w:val="00294C70"/>
    <w:rsid w:val="002950B8"/>
    <w:rsid w:val="00295714"/>
    <w:rsid w:val="00296697"/>
    <w:rsid w:val="002A6B5A"/>
    <w:rsid w:val="002A6BBE"/>
    <w:rsid w:val="002B0472"/>
    <w:rsid w:val="002B34D3"/>
    <w:rsid w:val="002B519A"/>
    <w:rsid w:val="002B5719"/>
    <w:rsid w:val="002B68A7"/>
    <w:rsid w:val="002B6B12"/>
    <w:rsid w:val="002B776D"/>
    <w:rsid w:val="002C1744"/>
    <w:rsid w:val="002C1896"/>
    <w:rsid w:val="002C7363"/>
    <w:rsid w:val="002D23A4"/>
    <w:rsid w:val="002D563D"/>
    <w:rsid w:val="002D6ABF"/>
    <w:rsid w:val="002D7BD2"/>
    <w:rsid w:val="002E1DB1"/>
    <w:rsid w:val="002E3889"/>
    <w:rsid w:val="002E3C75"/>
    <w:rsid w:val="002E4972"/>
    <w:rsid w:val="002E5E1B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7BEC"/>
    <w:rsid w:val="0032288C"/>
    <w:rsid w:val="00322AEF"/>
    <w:rsid w:val="00322EDD"/>
    <w:rsid w:val="00324BB4"/>
    <w:rsid w:val="003256D6"/>
    <w:rsid w:val="003277F1"/>
    <w:rsid w:val="00327C12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2FBA"/>
    <w:rsid w:val="00353039"/>
    <w:rsid w:val="00355BF9"/>
    <w:rsid w:val="003572EB"/>
    <w:rsid w:val="00357611"/>
    <w:rsid w:val="00361A98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5FCE"/>
    <w:rsid w:val="00397D18"/>
    <w:rsid w:val="003A0744"/>
    <w:rsid w:val="003A0F2C"/>
    <w:rsid w:val="003A1B36"/>
    <w:rsid w:val="003A2381"/>
    <w:rsid w:val="003A7EF6"/>
    <w:rsid w:val="003B1454"/>
    <w:rsid w:val="003B1AC9"/>
    <w:rsid w:val="003B61EA"/>
    <w:rsid w:val="003B6336"/>
    <w:rsid w:val="003B6FE1"/>
    <w:rsid w:val="003C1A52"/>
    <w:rsid w:val="003C4B9E"/>
    <w:rsid w:val="003C59E0"/>
    <w:rsid w:val="003C6C8D"/>
    <w:rsid w:val="003C7053"/>
    <w:rsid w:val="003D1259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11FC"/>
    <w:rsid w:val="003F4C97"/>
    <w:rsid w:val="003F5D6C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BF8"/>
    <w:rsid w:val="004307EB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2582"/>
    <w:rsid w:val="00462E49"/>
    <w:rsid w:val="00463E39"/>
    <w:rsid w:val="00465448"/>
    <w:rsid w:val="004657FC"/>
    <w:rsid w:val="00466436"/>
    <w:rsid w:val="004723E7"/>
    <w:rsid w:val="004733F6"/>
    <w:rsid w:val="004737E3"/>
    <w:rsid w:val="00474E69"/>
    <w:rsid w:val="0048353A"/>
    <w:rsid w:val="004856A4"/>
    <w:rsid w:val="00487448"/>
    <w:rsid w:val="00487ABD"/>
    <w:rsid w:val="004911BC"/>
    <w:rsid w:val="00491933"/>
    <w:rsid w:val="00491A75"/>
    <w:rsid w:val="0049621B"/>
    <w:rsid w:val="004A1806"/>
    <w:rsid w:val="004B1E9D"/>
    <w:rsid w:val="004B55B6"/>
    <w:rsid w:val="004B6BAB"/>
    <w:rsid w:val="004C1895"/>
    <w:rsid w:val="004C19A8"/>
    <w:rsid w:val="004C24DF"/>
    <w:rsid w:val="004C42CE"/>
    <w:rsid w:val="004C4790"/>
    <w:rsid w:val="004C4BC0"/>
    <w:rsid w:val="004C5E68"/>
    <w:rsid w:val="004C63F7"/>
    <w:rsid w:val="004C6D40"/>
    <w:rsid w:val="004D07B3"/>
    <w:rsid w:val="004D453A"/>
    <w:rsid w:val="004D7594"/>
    <w:rsid w:val="004E0F7F"/>
    <w:rsid w:val="004E514C"/>
    <w:rsid w:val="004E5702"/>
    <w:rsid w:val="004E6362"/>
    <w:rsid w:val="004F0C3C"/>
    <w:rsid w:val="004F2CFF"/>
    <w:rsid w:val="004F63FC"/>
    <w:rsid w:val="004F7147"/>
    <w:rsid w:val="005003A9"/>
    <w:rsid w:val="005008FB"/>
    <w:rsid w:val="005009C8"/>
    <w:rsid w:val="005039FF"/>
    <w:rsid w:val="00505A92"/>
    <w:rsid w:val="0051183A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30547"/>
    <w:rsid w:val="00533632"/>
    <w:rsid w:val="0053374E"/>
    <w:rsid w:val="00535396"/>
    <w:rsid w:val="00536109"/>
    <w:rsid w:val="0053725A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CF1"/>
    <w:rsid w:val="0055773E"/>
    <w:rsid w:val="005646E2"/>
    <w:rsid w:val="0056762A"/>
    <w:rsid w:val="005738DC"/>
    <w:rsid w:val="00574044"/>
    <w:rsid w:val="00574442"/>
    <w:rsid w:val="00575256"/>
    <w:rsid w:val="005762A7"/>
    <w:rsid w:val="00576963"/>
    <w:rsid w:val="00581575"/>
    <w:rsid w:val="00582049"/>
    <w:rsid w:val="00582A99"/>
    <w:rsid w:val="00582C9F"/>
    <w:rsid w:val="00583B4F"/>
    <w:rsid w:val="00586EAF"/>
    <w:rsid w:val="005916D7"/>
    <w:rsid w:val="00591821"/>
    <w:rsid w:val="00592146"/>
    <w:rsid w:val="00592523"/>
    <w:rsid w:val="005960BB"/>
    <w:rsid w:val="005A698C"/>
    <w:rsid w:val="005B4828"/>
    <w:rsid w:val="005C3773"/>
    <w:rsid w:val="005C37C0"/>
    <w:rsid w:val="005C3C97"/>
    <w:rsid w:val="005C4366"/>
    <w:rsid w:val="005D04EC"/>
    <w:rsid w:val="005D3548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1499"/>
    <w:rsid w:val="006032FD"/>
    <w:rsid w:val="006044FF"/>
    <w:rsid w:val="00606E24"/>
    <w:rsid w:val="00607940"/>
    <w:rsid w:val="00607CC5"/>
    <w:rsid w:val="006129CE"/>
    <w:rsid w:val="00613FC9"/>
    <w:rsid w:val="00614E38"/>
    <w:rsid w:val="0061519F"/>
    <w:rsid w:val="00616FBD"/>
    <w:rsid w:val="00620C47"/>
    <w:rsid w:val="00620E3F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433F3"/>
    <w:rsid w:val="00645ED4"/>
    <w:rsid w:val="00654E66"/>
    <w:rsid w:val="006611A0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5CCB"/>
    <w:rsid w:val="006863D3"/>
    <w:rsid w:val="00686659"/>
    <w:rsid w:val="00686A8C"/>
    <w:rsid w:val="00690085"/>
    <w:rsid w:val="0069050C"/>
    <w:rsid w:val="00693D09"/>
    <w:rsid w:val="00694AF0"/>
    <w:rsid w:val="00696ABE"/>
    <w:rsid w:val="006A1A28"/>
    <w:rsid w:val="006A1A67"/>
    <w:rsid w:val="006A20C0"/>
    <w:rsid w:val="006A561E"/>
    <w:rsid w:val="006A6AB5"/>
    <w:rsid w:val="006B0E9E"/>
    <w:rsid w:val="006B4730"/>
    <w:rsid w:val="006B591B"/>
    <w:rsid w:val="006B5AE4"/>
    <w:rsid w:val="006C2B09"/>
    <w:rsid w:val="006C2C34"/>
    <w:rsid w:val="006C4C28"/>
    <w:rsid w:val="006D0D0F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676C"/>
    <w:rsid w:val="006F6F19"/>
    <w:rsid w:val="00705796"/>
    <w:rsid w:val="007067DA"/>
    <w:rsid w:val="00710B81"/>
    <w:rsid w:val="0071293F"/>
    <w:rsid w:val="007149A9"/>
    <w:rsid w:val="00714CE6"/>
    <w:rsid w:val="007211B1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4048B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47A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C0366"/>
    <w:rsid w:val="007C044D"/>
    <w:rsid w:val="007C3305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62B4"/>
    <w:rsid w:val="007F0EB7"/>
    <w:rsid w:val="007F324B"/>
    <w:rsid w:val="0080553C"/>
    <w:rsid w:val="00805B46"/>
    <w:rsid w:val="00810F69"/>
    <w:rsid w:val="0081247C"/>
    <w:rsid w:val="00817288"/>
    <w:rsid w:val="00821B14"/>
    <w:rsid w:val="008226A0"/>
    <w:rsid w:val="00822FFD"/>
    <w:rsid w:val="00825DC2"/>
    <w:rsid w:val="00826188"/>
    <w:rsid w:val="00830E1F"/>
    <w:rsid w:val="00834AD3"/>
    <w:rsid w:val="00835628"/>
    <w:rsid w:val="00843287"/>
    <w:rsid w:val="00843795"/>
    <w:rsid w:val="0084425E"/>
    <w:rsid w:val="00844FE1"/>
    <w:rsid w:val="0084554C"/>
    <w:rsid w:val="008468E2"/>
    <w:rsid w:val="00847F0F"/>
    <w:rsid w:val="0085161D"/>
    <w:rsid w:val="00851CFA"/>
    <w:rsid w:val="00852448"/>
    <w:rsid w:val="0085490C"/>
    <w:rsid w:val="00860DB8"/>
    <w:rsid w:val="0086407B"/>
    <w:rsid w:val="00866902"/>
    <w:rsid w:val="00866929"/>
    <w:rsid w:val="008750F1"/>
    <w:rsid w:val="008806DA"/>
    <w:rsid w:val="0088146D"/>
    <w:rsid w:val="0088258A"/>
    <w:rsid w:val="00886332"/>
    <w:rsid w:val="008A0A3E"/>
    <w:rsid w:val="008A0ABF"/>
    <w:rsid w:val="008A1520"/>
    <w:rsid w:val="008A26D9"/>
    <w:rsid w:val="008A45EB"/>
    <w:rsid w:val="008A4E4E"/>
    <w:rsid w:val="008B0565"/>
    <w:rsid w:val="008B2647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D009F"/>
    <w:rsid w:val="008D05C6"/>
    <w:rsid w:val="008D18C7"/>
    <w:rsid w:val="008D25E1"/>
    <w:rsid w:val="008D3407"/>
    <w:rsid w:val="008D39DA"/>
    <w:rsid w:val="008E1991"/>
    <w:rsid w:val="008E5058"/>
    <w:rsid w:val="008E52C1"/>
    <w:rsid w:val="008E54A7"/>
    <w:rsid w:val="008E5D15"/>
    <w:rsid w:val="008E6B39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0C7A"/>
    <w:rsid w:val="009127BA"/>
    <w:rsid w:val="0091334C"/>
    <w:rsid w:val="009146AF"/>
    <w:rsid w:val="00916F28"/>
    <w:rsid w:val="009201F5"/>
    <w:rsid w:val="00920414"/>
    <w:rsid w:val="00922181"/>
    <w:rsid w:val="009227A6"/>
    <w:rsid w:val="00922CF5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587"/>
    <w:rsid w:val="00952587"/>
    <w:rsid w:val="00952A53"/>
    <w:rsid w:val="009530DB"/>
    <w:rsid w:val="00953676"/>
    <w:rsid w:val="00954DB9"/>
    <w:rsid w:val="00954ECC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1ED9"/>
    <w:rsid w:val="009F2359"/>
    <w:rsid w:val="009F6370"/>
    <w:rsid w:val="009F65D9"/>
    <w:rsid w:val="00A01131"/>
    <w:rsid w:val="00A033AC"/>
    <w:rsid w:val="00A03CE5"/>
    <w:rsid w:val="00A04979"/>
    <w:rsid w:val="00A078C5"/>
    <w:rsid w:val="00A12369"/>
    <w:rsid w:val="00A13062"/>
    <w:rsid w:val="00A139F5"/>
    <w:rsid w:val="00A158DA"/>
    <w:rsid w:val="00A17E5E"/>
    <w:rsid w:val="00A23F14"/>
    <w:rsid w:val="00A23F21"/>
    <w:rsid w:val="00A2617D"/>
    <w:rsid w:val="00A26D0E"/>
    <w:rsid w:val="00A304E0"/>
    <w:rsid w:val="00A35DA0"/>
    <w:rsid w:val="00A365F4"/>
    <w:rsid w:val="00A403C5"/>
    <w:rsid w:val="00A40B03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7230E"/>
    <w:rsid w:val="00A733D4"/>
    <w:rsid w:val="00A746AE"/>
    <w:rsid w:val="00A74826"/>
    <w:rsid w:val="00A77359"/>
    <w:rsid w:val="00A774E6"/>
    <w:rsid w:val="00A810F9"/>
    <w:rsid w:val="00A86882"/>
    <w:rsid w:val="00A86ECC"/>
    <w:rsid w:val="00A86EE5"/>
    <w:rsid w:val="00A86FCC"/>
    <w:rsid w:val="00A90CC1"/>
    <w:rsid w:val="00A923E0"/>
    <w:rsid w:val="00A95DA7"/>
    <w:rsid w:val="00AA2B3D"/>
    <w:rsid w:val="00AA2F7E"/>
    <w:rsid w:val="00AA710D"/>
    <w:rsid w:val="00AB0EA5"/>
    <w:rsid w:val="00AB1818"/>
    <w:rsid w:val="00AB2BB4"/>
    <w:rsid w:val="00AB6D25"/>
    <w:rsid w:val="00AC0BE4"/>
    <w:rsid w:val="00AC6DB5"/>
    <w:rsid w:val="00AC7562"/>
    <w:rsid w:val="00AC7A99"/>
    <w:rsid w:val="00AC7FD1"/>
    <w:rsid w:val="00AD18F9"/>
    <w:rsid w:val="00AD6DD9"/>
    <w:rsid w:val="00AD71F9"/>
    <w:rsid w:val="00AE0B00"/>
    <w:rsid w:val="00AE2923"/>
    <w:rsid w:val="00AE2D4B"/>
    <w:rsid w:val="00AE3EC4"/>
    <w:rsid w:val="00AE4F99"/>
    <w:rsid w:val="00AF1004"/>
    <w:rsid w:val="00AF4D88"/>
    <w:rsid w:val="00AF530E"/>
    <w:rsid w:val="00AF6A50"/>
    <w:rsid w:val="00B02D75"/>
    <w:rsid w:val="00B03AC3"/>
    <w:rsid w:val="00B043C2"/>
    <w:rsid w:val="00B050AA"/>
    <w:rsid w:val="00B06076"/>
    <w:rsid w:val="00B116DF"/>
    <w:rsid w:val="00B139B7"/>
    <w:rsid w:val="00B14952"/>
    <w:rsid w:val="00B14B8A"/>
    <w:rsid w:val="00B15FA9"/>
    <w:rsid w:val="00B1791E"/>
    <w:rsid w:val="00B25332"/>
    <w:rsid w:val="00B253EF"/>
    <w:rsid w:val="00B25636"/>
    <w:rsid w:val="00B26D0B"/>
    <w:rsid w:val="00B30BC2"/>
    <w:rsid w:val="00B31E5A"/>
    <w:rsid w:val="00B3240C"/>
    <w:rsid w:val="00B334AE"/>
    <w:rsid w:val="00B34B6E"/>
    <w:rsid w:val="00B44EA2"/>
    <w:rsid w:val="00B53268"/>
    <w:rsid w:val="00B56E8A"/>
    <w:rsid w:val="00B57C5D"/>
    <w:rsid w:val="00B62AE2"/>
    <w:rsid w:val="00B62D21"/>
    <w:rsid w:val="00B63830"/>
    <w:rsid w:val="00B64608"/>
    <w:rsid w:val="00B646D7"/>
    <w:rsid w:val="00B6471C"/>
    <w:rsid w:val="00B653AB"/>
    <w:rsid w:val="00B65525"/>
    <w:rsid w:val="00B65F9E"/>
    <w:rsid w:val="00B66B19"/>
    <w:rsid w:val="00B716A8"/>
    <w:rsid w:val="00B7176D"/>
    <w:rsid w:val="00B801D6"/>
    <w:rsid w:val="00B855B7"/>
    <w:rsid w:val="00B875EE"/>
    <w:rsid w:val="00B9128A"/>
    <w:rsid w:val="00B914E9"/>
    <w:rsid w:val="00B947BF"/>
    <w:rsid w:val="00B956EE"/>
    <w:rsid w:val="00B96ACB"/>
    <w:rsid w:val="00BA2BA1"/>
    <w:rsid w:val="00BA366D"/>
    <w:rsid w:val="00BA4DB3"/>
    <w:rsid w:val="00BA5703"/>
    <w:rsid w:val="00BA616E"/>
    <w:rsid w:val="00BA6AA2"/>
    <w:rsid w:val="00BA72E3"/>
    <w:rsid w:val="00BB06CC"/>
    <w:rsid w:val="00BB1E63"/>
    <w:rsid w:val="00BB2312"/>
    <w:rsid w:val="00BB264F"/>
    <w:rsid w:val="00BB4F09"/>
    <w:rsid w:val="00BB5B7D"/>
    <w:rsid w:val="00BD10FC"/>
    <w:rsid w:val="00BD1F9B"/>
    <w:rsid w:val="00BD4D47"/>
    <w:rsid w:val="00BD4E33"/>
    <w:rsid w:val="00BD58DB"/>
    <w:rsid w:val="00BD59F5"/>
    <w:rsid w:val="00BD7860"/>
    <w:rsid w:val="00BE039A"/>
    <w:rsid w:val="00BE0F8E"/>
    <w:rsid w:val="00BF01AE"/>
    <w:rsid w:val="00BF347F"/>
    <w:rsid w:val="00BF37C0"/>
    <w:rsid w:val="00BF49E9"/>
    <w:rsid w:val="00BF5F94"/>
    <w:rsid w:val="00C030DE"/>
    <w:rsid w:val="00C04BC7"/>
    <w:rsid w:val="00C04E8D"/>
    <w:rsid w:val="00C069C9"/>
    <w:rsid w:val="00C10012"/>
    <w:rsid w:val="00C11430"/>
    <w:rsid w:val="00C1271C"/>
    <w:rsid w:val="00C13BFF"/>
    <w:rsid w:val="00C16EA5"/>
    <w:rsid w:val="00C20241"/>
    <w:rsid w:val="00C22105"/>
    <w:rsid w:val="00C244B6"/>
    <w:rsid w:val="00C2579D"/>
    <w:rsid w:val="00C27ECF"/>
    <w:rsid w:val="00C3702F"/>
    <w:rsid w:val="00C424B8"/>
    <w:rsid w:val="00C43A7A"/>
    <w:rsid w:val="00C468F0"/>
    <w:rsid w:val="00C50BAE"/>
    <w:rsid w:val="00C51DAA"/>
    <w:rsid w:val="00C549E4"/>
    <w:rsid w:val="00C55B8A"/>
    <w:rsid w:val="00C60255"/>
    <w:rsid w:val="00C64A37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4AE0"/>
    <w:rsid w:val="00C864AE"/>
    <w:rsid w:val="00C91687"/>
    <w:rsid w:val="00C924A8"/>
    <w:rsid w:val="00C93413"/>
    <w:rsid w:val="00C9433B"/>
    <w:rsid w:val="00C945FE"/>
    <w:rsid w:val="00C95A53"/>
    <w:rsid w:val="00C9660B"/>
    <w:rsid w:val="00C96FAA"/>
    <w:rsid w:val="00C97A04"/>
    <w:rsid w:val="00CA0EAA"/>
    <w:rsid w:val="00CA107B"/>
    <w:rsid w:val="00CA353E"/>
    <w:rsid w:val="00CA3684"/>
    <w:rsid w:val="00CA484D"/>
    <w:rsid w:val="00CB015D"/>
    <w:rsid w:val="00CB047F"/>
    <w:rsid w:val="00CB26D1"/>
    <w:rsid w:val="00CB5B77"/>
    <w:rsid w:val="00CC177B"/>
    <w:rsid w:val="00CC183C"/>
    <w:rsid w:val="00CC44C5"/>
    <w:rsid w:val="00CC739E"/>
    <w:rsid w:val="00CC75C3"/>
    <w:rsid w:val="00CD16F8"/>
    <w:rsid w:val="00CD1C0D"/>
    <w:rsid w:val="00CD3429"/>
    <w:rsid w:val="00CD3A61"/>
    <w:rsid w:val="00CD3B93"/>
    <w:rsid w:val="00CD4B1C"/>
    <w:rsid w:val="00CD58B7"/>
    <w:rsid w:val="00CD5A25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2766"/>
    <w:rsid w:val="00D14B9F"/>
    <w:rsid w:val="00D16BE7"/>
    <w:rsid w:val="00D16EB8"/>
    <w:rsid w:val="00D1791C"/>
    <w:rsid w:val="00D22584"/>
    <w:rsid w:val="00D261A2"/>
    <w:rsid w:val="00D34BF1"/>
    <w:rsid w:val="00D350AE"/>
    <w:rsid w:val="00D36A60"/>
    <w:rsid w:val="00D37979"/>
    <w:rsid w:val="00D40738"/>
    <w:rsid w:val="00D434EF"/>
    <w:rsid w:val="00D4361F"/>
    <w:rsid w:val="00D46AF7"/>
    <w:rsid w:val="00D50BF0"/>
    <w:rsid w:val="00D51022"/>
    <w:rsid w:val="00D616D2"/>
    <w:rsid w:val="00D62D6E"/>
    <w:rsid w:val="00D63B5F"/>
    <w:rsid w:val="00D6450A"/>
    <w:rsid w:val="00D653A7"/>
    <w:rsid w:val="00D67AE8"/>
    <w:rsid w:val="00D70EF7"/>
    <w:rsid w:val="00D7204F"/>
    <w:rsid w:val="00D8397C"/>
    <w:rsid w:val="00D87CBC"/>
    <w:rsid w:val="00D915B3"/>
    <w:rsid w:val="00D93FDD"/>
    <w:rsid w:val="00D94DE7"/>
    <w:rsid w:val="00D94EED"/>
    <w:rsid w:val="00D95E98"/>
    <w:rsid w:val="00D96026"/>
    <w:rsid w:val="00D96472"/>
    <w:rsid w:val="00D96B20"/>
    <w:rsid w:val="00DA02F6"/>
    <w:rsid w:val="00DA0B1B"/>
    <w:rsid w:val="00DA29C0"/>
    <w:rsid w:val="00DA3317"/>
    <w:rsid w:val="00DA3EBD"/>
    <w:rsid w:val="00DA4377"/>
    <w:rsid w:val="00DA4F86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400B"/>
    <w:rsid w:val="00DD4442"/>
    <w:rsid w:val="00DD52EC"/>
    <w:rsid w:val="00DD670C"/>
    <w:rsid w:val="00DD6FCA"/>
    <w:rsid w:val="00DD794D"/>
    <w:rsid w:val="00DE25BB"/>
    <w:rsid w:val="00DE351C"/>
    <w:rsid w:val="00DE3A4A"/>
    <w:rsid w:val="00DE3C06"/>
    <w:rsid w:val="00DF17B7"/>
    <w:rsid w:val="00DF2B55"/>
    <w:rsid w:val="00DF3177"/>
    <w:rsid w:val="00DF45C5"/>
    <w:rsid w:val="00DF4C87"/>
    <w:rsid w:val="00E00EE5"/>
    <w:rsid w:val="00E01436"/>
    <w:rsid w:val="00E021BD"/>
    <w:rsid w:val="00E02330"/>
    <w:rsid w:val="00E045BD"/>
    <w:rsid w:val="00E05433"/>
    <w:rsid w:val="00E06481"/>
    <w:rsid w:val="00E10389"/>
    <w:rsid w:val="00E17B77"/>
    <w:rsid w:val="00E229EA"/>
    <w:rsid w:val="00E23337"/>
    <w:rsid w:val="00E24356"/>
    <w:rsid w:val="00E259EA"/>
    <w:rsid w:val="00E26991"/>
    <w:rsid w:val="00E27F7F"/>
    <w:rsid w:val="00E32061"/>
    <w:rsid w:val="00E353C5"/>
    <w:rsid w:val="00E36ED1"/>
    <w:rsid w:val="00E4147C"/>
    <w:rsid w:val="00E4295D"/>
    <w:rsid w:val="00E42FF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4C5"/>
    <w:rsid w:val="00E66A4F"/>
    <w:rsid w:val="00E671A2"/>
    <w:rsid w:val="00E678AC"/>
    <w:rsid w:val="00E71995"/>
    <w:rsid w:val="00E7242F"/>
    <w:rsid w:val="00E73672"/>
    <w:rsid w:val="00E75536"/>
    <w:rsid w:val="00E76D26"/>
    <w:rsid w:val="00E80378"/>
    <w:rsid w:val="00E81482"/>
    <w:rsid w:val="00E83224"/>
    <w:rsid w:val="00E86EA9"/>
    <w:rsid w:val="00EA0731"/>
    <w:rsid w:val="00EA34D5"/>
    <w:rsid w:val="00EA55C6"/>
    <w:rsid w:val="00EA738B"/>
    <w:rsid w:val="00EA75D4"/>
    <w:rsid w:val="00EA7777"/>
    <w:rsid w:val="00EB06B4"/>
    <w:rsid w:val="00EB1390"/>
    <w:rsid w:val="00EB1FCF"/>
    <w:rsid w:val="00EB2C71"/>
    <w:rsid w:val="00EB4340"/>
    <w:rsid w:val="00EB556D"/>
    <w:rsid w:val="00EB5A7D"/>
    <w:rsid w:val="00EB6683"/>
    <w:rsid w:val="00EC08F7"/>
    <w:rsid w:val="00EC2F3A"/>
    <w:rsid w:val="00EC354D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6219"/>
    <w:rsid w:val="00EE635E"/>
    <w:rsid w:val="00EE7644"/>
    <w:rsid w:val="00EE77D4"/>
    <w:rsid w:val="00EF20E2"/>
    <w:rsid w:val="00EF2A92"/>
    <w:rsid w:val="00EF5731"/>
    <w:rsid w:val="00EF6CB8"/>
    <w:rsid w:val="00EF6E00"/>
    <w:rsid w:val="00F012D5"/>
    <w:rsid w:val="00F01841"/>
    <w:rsid w:val="00F0330D"/>
    <w:rsid w:val="00F037A4"/>
    <w:rsid w:val="00F03D6E"/>
    <w:rsid w:val="00F041C3"/>
    <w:rsid w:val="00F10B10"/>
    <w:rsid w:val="00F1226F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32749"/>
    <w:rsid w:val="00F36549"/>
    <w:rsid w:val="00F37172"/>
    <w:rsid w:val="00F439F8"/>
    <w:rsid w:val="00F4477E"/>
    <w:rsid w:val="00F45513"/>
    <w:rsid w:val="00F45CCA"/>
    <w:rsid w:val="00F462FF"/>
    <w:rsid w:val="00F50A20"/>
    <w:rsid w:val="00F53C2E"/>
    <w:rsid w:val="00F554EF"/>
    <w:rsid w:val="00F60878"/>
    <w:rsid w:val="00F642C8"/>
    <w:rsid w:val="00F65F91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580C"/>
    <w:rsid w:val="00FC6644"/>
    <w:rsid w:val="00FD050E"/>
    <w:rsid w:val="00FD0AAC"/>
    <w:rsid w:val="00FD122C"/>
    <w:rsid w:val="00FD16FF"/>
    <w:rsid w:val="00FD1932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bdm.stat.gov.p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s://stat.gov.pl/obszary-tematyczne/inne-opracowania/informacje-o-sytuacji-spoleczno-gospodarczej/biuletyn-statystyczny-nr-112019,4,94.html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8.png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709,pojeci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stat.gov.pl/obszary-tematyczne/inne-opracowania/informacje-o-sytuacji-spoleczno-gospodarczej/biuletyn-statystyczny-nr-112019,4,9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metainformacje/slownik-pojec/pojecia-stosowane-w-statystyce-publicznej/709,pojecie.html" TargetMode="External"/><Relationship Id="rId35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Grudzie&#324;2019\Wykresy\WST12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Grudzie&#324;2019\Wykresy\WST12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Grudzie&#324;2019\Wykresy\WST12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Grudzie&#324;2019\Wykresy\WST12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4.1088950902334678E-2"/>
                  <c:y val="-6.4065373495842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2286555589989634E-2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462788516255102E-2"/>
                  <c:y val="-7.8819264629725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710595867393139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603147458929197E-2"/>
                  <c:y val="-5.37080456864175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5174117552895977E-2"/>
                  <c:y val="-5.3340238218539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8276569556733914E-2"/>
                  <c:y val="-4.4915326806313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966408298999906E-2"/>
                  <c:y val="-4.4915326806313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2030084655186047E-2"/>
                  <c:y val="-4.4915326806313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275009805289424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7959734858356539E-2"/>
                  <c:y val="-4.93118901307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2825285087783512E-2"/>
                  <c:y val="-4.93118901307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1'!$A$21:$B$44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1'!$C$21:$C$44</c:f>
              <c:numCache>
                <c:formatCode>0.0</c:formatCode>
                <c:ptCount val="24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  <c:pt idx="20" formatCode="General">
                  <c:v>0.2</c:v>
                </c:pt>
                <c:pt idx="21" formatCode="General">
                  <c:v>0.3</c:v>
                </c:pt>
                <c:pt idx="22" formatCode="General">
                  <c:v>0.2</c:v>
                </c:pt>
                <c:pt idx="23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65304"/>
        <c:axId val="156266088"/>
      </c:lineChart>
      <c:catAx>
        <c:axId val="15626530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6266088"/>
        <c:crosses val="autoZero"/>
        <c:auto val="0"/>
        <c:lblAlgn val="ctr"/>
        <c:lblOffset val="12"/>
        <c:noMultiLvlLbl val="0"/>
      </c:catAx>
      <c:valAx>
        <c:axId val="15626608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626530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4983108981961117E-2"/>
                  <c:y val="-5.00314854200332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078481496990267E-2"/>
                      <c:h val="8.2470159804027665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17883296245302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506839734749172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2'!$C$22:$C$45</c:f>
              <c:numCache>
                <c:formatCode>0.0</c:formatCode>
                <c:ptCount val="24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 formatCode="General">
                  <c:v>3.7</c:v>
                </c:pt>
                <c:pt idx="18" formatCode="General">
                  <c:v>3.5</c:v>
                </c:pt>
                <c:pt idx="19" formatCode="General">
                  <c:v>3.5</c:v>
                </c:pt>
                <c:pt idx="20" formatCode="General">
                  <c:v>3.3</c:v>
                </c:pt>
                <c:pt idx="21" formatCode="General">
                  <c:v>3.2</c:v>
                </c:pt>
                <c:pt idx="22">
                  <c:v>3</c:v>
                </c:pt>
                <c:pt idx="23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66872"/>
        <c:axId val="156264128"/>
      </c:lineChart>
      <c:catAx>
        <c:axId val="1562668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6264128"/>
        <c:crossesAt val="0"/>
        <c:auto val="0"/>
        <c:lblAlgn val="ctr"/>
        <c:lblOffset val="12"/>
        <c:tickLblSkip val="1"/>
        <c:noMultiLvlLbl val="0"/>
      </c:catAx>
      <c:valAx>
        <c:axId val="15626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6266872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2410727458162022E-2"/>
                  <c:y val="-4.5669051074554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560215267577086E-2"/>
                  <c:y val="-4.1235162620714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0495897985234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548543791630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3267518439137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557754883427274E-2"/>
                  <c:y val="-3.6801274166874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87354083642082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219300407864816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65277885957300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864076833627632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38959197942274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9.4476918664373362E-3"/>
                  <c:y val="-4.1235162620714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Wykres3!$C$22:$C$45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  <c:pt idx="20">
                  <c:v>5.9</c:v>
                </c:pt>
                <c:pt idx="21">
                  <c:v>6.2</c:v>
                </c:pt>
                <c:pt idx="22">
                  <c:v>6.4</c:v>
                </c:pt>
                <c:pt idx="23">
                  <c:v>6.6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6264912"/>
        <c:axId val="156264520"/>
      </c:lineChart>
      <c:catAx>
        <c:axId val="1562649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6264520"/>
        <c:crossesAt val="0"/>
        <c:auto val="0"/>
        <c:lblAlgn val="ctr"/>
        <c:lblOffset val="12"/>
        <c:tickLblSkip val="1"/>
        <c:noMultiLvlLbl val="0"/>
      </c:catAx>
      <c:valAx>
        <c:axId val="156264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626491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3"/>
              <c:layout>
                <c:manualLayout>
                  <c:x val="5.2312864015835694E-2"/>
                  <c:y val="3.6725123612209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wyk4_bud!$A$18:$B$41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wyk4_bud!$C$18:$C$41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  <c:pt idx="20" formatCode="General">
                  <c:v>5.9</c:v>
                </c:pt>
                <c:pt idx="21" formatCode="General">
                  <c:v>6.2</c:v>
                </c:pt>
                <c:pt idx="22" formatCode="General">
                  <c:v>6.4</c:v>
                </c:pt>
                <c:pt idx="23" formatCode="General">
                  <c:v>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4176608"/>
        <c:axId val="514177784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1.5920211535476812E-2"/>
                  <c:y val="-9.2549745488199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wyk4_bud!$D$18:$D$41</c:f>
              <c:numCache>
                <c:formatCode>0.0</c:formatCode>
                <c:ptCount val="24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6.6</c:v>
                </c:pt>
                <c:pt idx="21">
                  <c:v>6.9</c:v>
                </c:pt>
                <c:pt idx="22">
                  <c:v>7.1</c:v>
                </c:pt>
                <c:pt idx="23">
                  <c:v>7.3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1.5920211535476812E-2"/>
                  <c:y val="-4.62748727440999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wyk4_bud!$E$18:$E$41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  <c:pt idx="20">
                  <c:v>5.5</c:v>
                </c:pt>
                <c:pt idx="21">
                  <c:v>5.7</c:v>
                </c:pt>
                <c:pt idx="22">
                  <c:v>5.9</c:v>
                </c:pt>
                <c:pt idx="23">
                  <c:v>6.1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1.5920211535476812E-2"/>
                  <c:y val="-1.4331000156678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wyk4_bud!$F$18:$F$41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4.2</c:v>
                </c:pt>
                <c:pt idx="20">
                  <c:v>4.4000000000000004</c:v>
                </c:pt>
                <c:pt idx="21">
                  <c:v>4.8</c:v>
                </c:pt>
                <c:pt idx="22">
                  <c:v>5</c:v>
                </c:pt>
                <c:pt idx="23">
                  <c:v>5.0999999999999996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4176608"/>
        <c:axId val="514177784"/>
      </c:lineChart>
      <c:catAx>
        <c:axId val="51417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4177784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1417778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4176608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80489894223657021"/>
          <c:w val="0.98242189051521933"/>
          <c:h val="0.1901784315368723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0.04352</cdr:y>
    </cdr:from>
    <cdr:to>
      <cdr:x>0.05475</cdr:x>
      <cdr:y>0.16534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0673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0.01116</cdr:x>
      <cdr:y>0.04575</cdr:y>
    </cdr:from>
    <cdr:to>
      <cdr:x>0.06591</cdr:x>
      <cdr:y>0.15173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7150" y="128961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0.01735</cdr:x>
      <cdr:y>0.04206</cdr:y>
    </cdr:from>
    <cdr:to>
      <cdr:x>0.0721</cdr:x>
      <cdr:y>0.15317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88900" y="11308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0.06716</cdr:x>
      <cdr:y>0.04995</cdr:y>
    </cdr:from>
    <cdr:to>
      <cdr:x>0.08954</cdr:x>
      <cdr:y>0.11399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4006" y="137090"/>
          <a:ext cx="114643" cy="1757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7A359C-234B-405E-BFD7-4BBC4B5A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301</Words>
  <Characters>1812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grudniu 2019 r.</dc:title>
  <dc:subject/>
  <dc:creator>Główny Urząd Statystyczny</dc:creator>
  <cp:keywords/>
  <dc:description/>
  <cp:lastPrinted>2019-09-17T10:49:00Z</cp:lastPrinted>
  <dcterms:created xsi:type="dcterms:W3CDTF">2019-11-21T10:19:00Z</dcterms:created>
  <dcterms:modified xsi:type="dcterms:W3CDTF">2020-01-21T11:39:00Z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