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156CC3F3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E83C71">
        <w:t>w</w:t>
      </w:r>
      <w:r w:rsidR="008F75C2" w:rsidRPr="00E83C71">
        <w:t xml:space="preserve"> </w:t>
      </w:r>
      <w:r w:rsidR="008A4E4E" w:rsidRPr="00E83C71">
        <w:t xml:space="preserve"> </w:t>
      </w:r>
      <w:r w:rsidR="001C6FFB" w:rsidRPr="00E83C71">
        <w:t>styczniu</w:t>
      </w:r>
      <w:r w:rsidRPr="00E83C71">
        <w:rPr>
          <w:shd w:val="clear" w:color="auto" w:fill="FFFFFF"/>
        </w:rPr>
        <w:t xml:space="preserve"> 20</w:t>
      </w:r>
      <w:r w:rsidR="001C6FFB" w:rsidRPr="00E83C71">
        <w:rPr>
          <w:shd w:val="clear" w:color="auto" w:fill="FFFFFF"/>
        </w:rPr>
        <w:t>20</w:t>
      </w:r>
      <w:r w:rsidRPr="00E83C71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1B331FEC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58BF7737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B3A3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6B3A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23369" w:rsidRPr="006B3A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6B3A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23369" w:rsidRPr="006B3A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0348F6" w:rsidRPr="006B3A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79C85590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</w:t>
                            </w:r>
                            <w:r w:rsidR="006B3A3D">
                              <w:t xml:space="preserve">e styczniem </w:t>
                            </w:r>
                            <w:r w:rsidR="00C549E4">
                              <w:t xml:space="preserve"> 201</w:t>
                            </w:r>
                            <w:r w:rsidR="001C6FFB">
                              <w:t>9</w:t>
                            </w:r>
                            <w:r w:rsidR="00C549E4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58BF7737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B3A3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6B3A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23369" w:rsidRPr="006B3A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6B3A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23369" w:rsidRPr="006B3A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0348F6" w:rsidRPr="006B3A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79C85590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>w porównaniu z</w:t>
                      </w:r>
                      <w:r w:rsidR="006B3A3D">
                        <w:t xml:space="preserve">e styczniem </w:t>
                      </w:r>
                      <w:r w:rsidR="00C549E4">
                        <w:t xml:space="preserve"> 201</w:t>
                      </w:r>
                      <w:r w:rsidR="001C6FFB">
                        <w:t>9</w:t>
                      </w:r>
                      <w:r w:rsidR="00C549E4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danych </w:t>
      </w:r>
      <w:r w:rsidR="00954DB9" w:rsidRPr="00E83C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A4E4E" w:rsidRPr="00E83C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E83C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styczniu</w:t>
      </w:r>
      <w:r w:rsidR="00954DB9" w:rsidRPr="00E83C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20</w:t>
      </w:r>
      <w:r w:rsidR="001C6FFB" w:rsidRPr="00E83C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E83C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ceny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roku wzrosły o </w:t>
      </w:r>
      <w:r w:rsidR="006359CF" w:rsidRPr="00E83C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2,9%</w:t>
      </w:r>
      <w:r w:rsidR="006359CF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359CF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4B55B6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grudniem 201</w:t>
      </w:r>
      <w:r w:rsidR="00E83C7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1C6FF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DD710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0,2%.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00680052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AA2F7E">
        <w:rPr>
          <w:shd w:val="clear" w:color="auto" w:fill="FFFFFF"/>
        </w:rPr>
        <w:t>budynków</w:t>
      </w:r>
      <w:r w:rsidR="001C1787">
        <w:rPr>
          <w:shd w:val="clear" w:color="auto" w:fill="FFFFFF"/>
        </w:rPr>
        <w:t xml:space="preserve"> oraz</w:t>
      </w:r>
      <w:r w:rsidR="00FB3726" w:rsidRPr="00AA2F7E">
        <w:rPr>
          <w:shd w:val="clear" w:color="auto" w:fill="FFFFFF"/>
        </w:rPr>
        <w:t xml:space="preserve"> </w:t>
      </w:r>
      <w:r w:rsidR="0010783E">
        <w:rPr>
          <w:shd w:val="clear" w:color="auto" w:fill="FFFFFF"/>
        </w:rPr>
        <w:t xml:space="preserve">    </w:t>
      </w:r>
      <w:r w:rsidR="001C1787" w:rsidRPr="0001550D">
        <w:rPr>
          <w:shd w:val="clear" w:color="auto" w:fill="FFFFFF"/>
        </w:rPr>
        <w:t>budowy</w:t>
      </w:r>
      <w:r w:rsidR="001C1787" w:rsidRPr="009B7A1C">
        <w:rPr>
          <w:shd w:val="clear" w:color="auto" w:fill="FFFFFF"/>
        </w:rPr>
        <w:t xml:space="preserve"> obiektów inżynierii lądowej</w:t>
      </w:r>
      <w:r w:rsidR="001C1787">
        <w:rPr>
          <w:shd w:val="clear" w:color="auto" w:fill="FFFFFF"/>
        </w:rPr>
        <w:t xml:space="preserve"> </w:t>
      </w:r>
      <w:r w:rsidR="001C1787" w:rsidRPr="009B7A1C">
        <w:rPr>
          <w:shd w:val="clear" w:color="auto" w:fill="FFFFFF"/>
        </w:rPr>
        <w:t>i</w:t>
      </w:r>
      <w:r w:rsidR="001C1787">
        <w:rPr>
          <w:shd w:val="clear" w:color="auto" w:fill="FFFFFF"/>
        </w:rPr>
        <w:t> </w:t>
      </w:r>
      <w:r w:rsidR="001C1787" w:rsidRPr="00EE44C3">
        <w:rPr>
          <w:shd w:val="clear" w:color="auto" w:fill="FFFFFF"/>
        </w:rPr>
        <w:t xml:space="preserve">wodnej </w:t>
      </w:r>
      <w:r w:rsidR="00FB3726" w:rsidRPr="00EE44C3">
        <w:rPr>
          <w:shd w:val="clear" w:color="auto" w:fill="FFFFFF"/>
        </w:rPr>
        <w:t>(</w:t>
      </w:r>
      <w:r w:rsidR="00DF17B7" w:rsidRPr="00EE44C3">
        <w:rPr>
          <w:shd w:val="clear" w:color="auto" w:fill="FFFFFF"/>
        </w:rPr>
        <w:t>p</w:t>
      </w:r>
      <w:r w:rsidR="00FB3726" w:rsidRPr="00EE44C3">
        <w:rPr>
          <w:shd w:val="clear" w:color="auto" w:fill="FFFFFF"/>
        </w:rPr>
        <w:t>o 0,</w:t>
      </w:r>
      <w:r w:rsidR="00AA2F7E" w:rsidRPr="00EE44C3">
        <w:rPr>
          <w:shd w:val="clear" w:color="auto" w:fill="FFFFFF"/>
        </w:rPr>
        <w:t>2</w:t>
      </w:r>
      <w:r w:rsidR="00FB3726" w:rsidRPr="00EE44C3">
        <w:rPr>
          <w:shd w:val="clear" w:color="auto" w:fill="FFFFFF"/>
        </w:rPr>
        <w:t>%)</w:t>
      </w:r>
      <w:r w:rsidR="00036A05" w:rsidRPr="00EE44C3">
        <w:rPr>
          <w:shd w:val="clear" w:color="auto" w:fill="FFFFFF"/>
        </w:rPr>
        <w:t>.</w:t>
      </w:r>
      <w:r w:rsidR="00036A05">
        <w:rPr>
          <w:shd w:val="clear" w:color="auto" w:fill="FFFFFF"/>
        </w:rPr>
        <w:t xml:space="preserve"> Ceny</w:t>
      </w:r>
      <w:r w:rsidR="007D20B4" w:rsidRPr="007D20B4">
        <w:rPr>
          <w:shd w:val="clear" w:color="auto" w:fill="FFFFFF"/>
        </w:rPr>
        <w:t xml:space="preserve"> </w:t>
      </w:r>
      <w:r w:rsidR="007D20B4">
        <w:rPr>
          <w:shd w:val="clear" w:color="auto" w:fill="FFFFFF"/>
        </w:rPr>
        <w:t xml:space="preserve">robót </w:t>
      </w:r>
      <w:r w:rsidR="007D20B4" w:rsidRPr="009B7A1C">
        <w:rPr>
          <w:shd w:val="clear" w:color="auto" w:fill="FFFFFF"/>
        </w:rPr>
        <w:t xml:space="preserve">budowlanych </w:t>
      </w:r>
      <w:r w:rsidR="007D20B4" w:rsidRPr="007D20B4">
        <w:rPr>
          <w:shd w:val="clear" w:color="auto" w:fill="FFFFFF"/>
        </w:rPr>
        <w:t>specjalistycznych</w:t>
      </w:r>
      <w:r w:rsidR="00AC7562">
        <w:rPr>
          <w:shd w:val="clear" w:color="auto" w:fill="FFFFFF"/>
        </w:rPr>
        <w:t xml:space="preserve"> </w:t>
      </w:r>
      <w:r w:rsidR="00AC7562" w:rsidRPr="00EE44C3">
        <w:rPr>
          <w:shd w:val="clear" w:color="auto" w:fill="FFFFFF"/>
        </w:rPr>
        <w:t xml:space="preserve">wzrosły </w:t>
      </w:r>
      <w:r w:rsidR="007D20B4" w:rsidRPr="00EE44C3">
        <w:rPr>
          <w:shd w:val="clear" w:color="auto" w:fill="FFFFFF"/>
        </w:rPr>
        <w:t>(o 0,1%)</w:t>
      </w:r>
      <w:r w:rsidR="00322AEF" w:rsidRPr="00EE44C3">
        <w:rPr>
          <w:shd w:val="clear" w:color="auto" w:fill="FFFFFF"/>
        </w:rPr>
        <w:t>.</w:t>
      </w:r>
    </w:p>
    <w:p w14:paraId="5C4C4BCD" w14:textId="40EA72B7" w:rsidR="00705796" w:rsidRDefault="00620C47" w:rsidP="001973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D6450A">
        <w:rPr>
          <w:shd w:val="clear" w:color="auto" w:fill="FFFFFF"/>
        </w:rPr>
        <w:t xml:space="preserve">porównaniu </w:t>
      </w:r>
      <w:r w:rsidR="00535396" w:rsidRPr="00245302">
        <w:rPr>
          <w:shd w:val="clear" w:color="auto" w:fill="FFFFFF"/>
        </w:rPr>
        <w:t>z</w:t>
      </w:r>
      <w:r w:rsidR="007C5579" w:rsidRPr="00245302">
        <w:rPr>
          <w:shd w:val="clear" w:color="auto" w:fill="FFFFFF"/>
        </w:rPr>
        <w:t>e styczniem</w:t>
      </w:r>
      <w:r w:rsidR="008A4E4E" w:rsidRPr="00245302">
        <w:rPr>
          <w:shd w:val="clear" w:color="auto" w:fill="FFFFFF"/>
        </w:rPr>
        <w:t xml:space="preserve"> </w:t>
      </w:r>
      <w:r w:rsidR="00535396" w:rsidRPr="00245302">
        <w:rPr>
          <w:shd w:val="clear" w:color="auto" w:fill="FFFFFF"/>
        </w:rPr>
        <w:t>201</w:t>
      </w:r>
      <w:r w:rsidR="007C5579" w:rsidRPr="00245302">
        <w:rPr>
          <w:shd w:val="clear" w:color="auto" w:fill="FFFFFF"/>
        </w:rPr>
        <w:t>9</w:t>
      </w:r>
      <w:r w:rsidR="008A1520" w:rsidRPr="00245302">
        <w:rPr>
          <w:shd w:val="clear" w:color="auto" w:fill="FFFFFF"/>
        </w:rPr>
        <w:t xml:space="preserve"> </w:t>
      </w:r>
      <w:r w:rsidR="00535396" w:rsidRPr="00245302">
        <w:rPr>
          <w:shd w:val="clear" w:color="auto" w:fill="FFFFFF"/>
        </w:rPr>
        <w:t>r</w:t>
      </w:r>
      <w:r w:rsidR="00535396" w:rsidRPr="00DD6FCA">
        <w:rPr>
          <w:shd w:val="clear" w:color="auto" w:fill="FFFFFF"/>
        </w:rPr>
        <w:t>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856B0D">
        <w:rPr>
          <w:shd w:val="clear" w:color="auto" w:fill="FFFFFF"/>
        </w:rPr>
        <w:t xml:space="preserve">(o </w:t>
      </w:r>
      <w:r w:rsidR="00DD6FCA" w:rsidRPr="00856B0D">
        <w:rPr>
          <w:shd w:val="clear" w:color="auto" w:fill="FFFFFF"/>
        </w:rPr>
        <w:t>3</w:t>
      </w:r>
      <w:r w:rsidR="00705796" w:rsidRPr="00856B0D">
        <w:rPr>
          <w:shd w:val="clear" w:color="auto" w:fill="FFFFFF"/>
        </w:rPr>
        <w:t>,</w:t>
      </w:r>
      <w:r w:rsidR="00D6450A" w:rsidRPr="00856B0D">
        <w:rPr>
          <w:shd w:val="clear" w:color="auto" w:fill="FFFFFF"/>
        </w:rPr>
        <w:t>4</w:t>
      </w:r>
      <w:r w:rsidR="00705796" w:rsidRPr="00856B0D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DD6FCA">
        <w:rPr>
          <w:shd w:val="clear" w:color="auto" w:fill="FFFFFF"/>
        </w:rPr>
        <w:t xml:space="preserve">wodnej </w:t>
      </w:r>
      <w:r w:rsidR="00705796" w:rsidRPr="00245302">
        <w:rPr>
          <w:shd w:val="clear" w:color="auto" w:fill="FFFFFF"/>
        </w:rPr>
        <w:t xml:space="preserve">(o </w:t>
      </w:r>
      <w:r w:rsidR="00322AEF" w:rsidRPr="00245302">
        <w:rPr>
          <w:shd w:val="clear" w:color="auto" w:fill="FFFFFF"/>
        </w:rPr>
        <w:t>2</w:t>
      </w:r>
      <w:r w:rsidR="00705796" w:rsidRPr="00245302">
        <w:rPr>
          <w:shd w:val="clear" w:color="auto" w:fill="FFFFFF"/>
        </w:rPr>
        <w:t>,</w:t>
      </w:r>
      <w:r w:rsidR="00856B0D" w:rsidRPr="00245302">
        <w:rPr>
          <w:shd w:val="clear" w:color="auto" w:fill="FFFFFF"/>
        </w:rPr>
        <w:t>7</w:t>
      </w:r>
      <w:r w:rsidR="00705796" w:rsidRPr="00245302">
        <w:rPr>
          <w:shd w:val="clear" w:color="auto" w:fill="FFFFFF"/>
        </w:rPr>
        <w:t>%)</w:t>
      </w:r>
      <w:r w:rsidR="00705796" w:rsidRPr="00574044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B3240C">
        <w:rPr>
          <w:shd w:val="clear" w:color="auto" w:fill="FFFFFF"/>
        </w:rPr>
        <w:t xml:space="preserve"> </w:t>
      </w:r>
      <w:r w:rsidR="0085161D">
        <w:rPr>
          <w:shd w:val="clear" w:color="auto" w:fill="FFFFFF"/>
        </w:rPr>
        <w:t xml:space="preserve">           </w:t>
      </w:r>
      <w:r w:rsidR="00705796" w:rsidRPr="00245302">
        <w:rPr>
          <w:shd w:val="clear" w:color="auto" w:fill="FFFFFF"/>
        </w:rPr>
        <w:t xml:space="preserve">(o </w:t>
      </w:r>
      <w:r w:rsidR="00B3240C" w:rsidRPr="00245302">
        <w:rPr>
          <w:shd w:val="clear" w:color="auto" w:fill="FFFFFF"/>
        </w:rPr>
        <w:t>2</w:t>
      </w:r>
      <w:r w:rsidR="00705796" w:rsidRPr="00245302">
        <w:rPr>
          <w:shd w:val="clear" w:color="auto" w:fill="FFFFFF"/>
        </w:rPr>
        <w:t>,</w:t>
      </w:r>
      <w:r w:rsidR="00245302" w:rsidRPr="00245302">
        <w:rPr>
          <w:shd w:val="clear" w:color="auto" w:fill="FFFFFF"/>
        </w:rPr>
        <w:t>4</w:t>
      </w:r>
      <w:r w:rsidR="00705796" w:rsidRPr="00245302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6988EDC2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AF1004">
        <w:rPr>
          <w:b/>
          <w:shd w:val="clear" w:color="auto" w:fill="FFFFFF"/>
        </w:rPr>
        <w:t xml:space="preserve">montażowej  </w:t>
      </w:r>
      <w:r w:rsidRPr="00DA4492">
        <w:rPr>
          <w:b/>
          <w:shd w:val="clear" w:color="auto" w:fill="FFFFFF"/>
        </w:rPr>
        <w:t>w</w:t>
      </w:r>
      <w:r w:rsidR="003A0744" w:rsidRPr="00DA4492">
        <w:rPr>
          <w:b/>
          <w:shd w:val="clear" w:color="auto" w:fill="FFFFFF"/>
        </w:rPr>
        <w:t xml:space="preserve"> </w:t>
      </w:r>
      <w:r w:rsidR="007C5579" w:rsidRPr="00DA4492">
        <w:rPr>
          <w:b/>
          <w:shd w:val="clear" w:color="auto" w:fill="FFFFFF"/>
        </w:rPr>
        <w:t>styczniu</w:t>
      </w:r>
      <w:r w:rsidR="00156B43" w:rsidRPr="00DA4492">
        <w:rPr>
          <w:b/>
          <w:shd w:val="clear" w:color="auto" w:fill="FFFFFF"/>
        </w:rPr>
        <w:t xml:space="preserve"> </w:t>
      </w:r>
      <w:r w:rsidR="00666826" w:rsidRPr="00DA4492">
        <w:rPr>
          <w:b/>
          <w:shd w:val="clear" w:color="auto" w:fill="FFFFFF"/>
        </w:rPr>
        <w:t xml:space="preserve"> </w:t>
      </w:r>
      <w:r w:rsidRPr="00DA4492">
        <w:rPr>
          <w:b/>
          <w:shd w:val="clear" w:color="auto" w:fill="FFFFFF"/>
        </w:rPr>
        <w:t>20</w:t>
      </w:r>
      <w:r w:rsidR="007C5579" w:rsidRPr="00DA4492">
        <w:rPr>
          <w:b/>
          <w:shd w:val="clear" w:color="auto" w:fill="FFFFFF"/>
        </w:rPr>
        <w:t>20</w:t>
      </w:r>
      <w:r w:rsidRPr="00DA4492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34"/>
        <w:gridCol w:w="1134"/>
        <w:gridCol w:w="1134"/>
        <w:gridCol w:w="1134"/>
      </w:tblGrid>
      <w:tr w:rsidR="007C5579" w14:paraId="28418B20" w14:textId="77777777" w:rsidTr="001666FB">
        <w:tc>
          <w:tcPr>
            <w:tcW w:w="2268" w:type="dxa"/>
          </w:tcPr>
          <w:p w14:paraId="698542A5" w14:textId="77777777" w:rsidR="007C5579" w:rsidRDefault="007C5579" w:rsidP="00407685">
            <w:pPr>
              <w:rPr>
                <w:shd w:val="clear" w:color="auto" w:fill="FFFFFF"/>
              </w:rPr>
            </w:pPr>
          </w:p>
        </w:tc>
        <w:tc>
          <w:tcPr>
            <w:tcW w:w="2410" w:type="dxa"/>
            <w:gridSpan w:val="2"/>
          </w:tcPr>
          <w:p w14:paraId="385AA95B" w14:textId="45162323" w:rsidR="007C5579" w:rsidRPr="00491933" w:rsidRDefault="007C5579" w:rsidP="00155DBD">
            <w:pPr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XI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491933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  <w:tc>
          <w:tcPr>
            <w:tcW w:w="1134" w:type="dxa"/>
          </w:tcPr>
          <w:p w14:paraId="66B9A7FC" w14:textId="53F326F4" w:rsidR="007C5579" w:rsidRPr="00491933" w:rsidRDefault="007C5579" w:rsidP="00AE3EC4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91933">
              <w:rPr>
                <w:color w:val="000000" w:themeColor="text1"/>
                <w:sz w:val="16"/>
                <w:szCs w:val="16"/>
              </w:rPr>
              <w:t>XII 2019</w:t>
            </w:r>
          </w:p>
        </w:tc>
        <w:tc>
          <w:tcPr>
            <w:tcW w:w="2268" w:type="dxa"/>
            <w:gridSpan w:val="2"/>
          </w:tcPr>
          <w:p w14:paraId="250ABEAC" w14:textId="207230ED" w:rsidR="007C5579" w:rsidRPr="00491933" w:rsidRDefault="007C5579" w:rsidP="007C55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275389" w14:paraId="7C2DEADD" w14:textId="77777777" w:rsidTr="001666FB">
        <w:tc>
          <w:tcPr>
            <w:tcW w:w="2268" w:type="dxa"/>
            <w:tcBorders>
              <w:bottom w:val="single" w:sz="12" w:space="0" w:color="001D77"/>
            </w:tcBorders>
          </w:tcPr>
          <w:p w14:paraId="75831EC4" w14:textId="77777777" w:rsidR="00275389" w:rsidRDefault="00275389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1276" w:type="dxa"/>
            <w:tcBorders>
              <w:bottom w:val="single" w:sz="12" w:space="0" w:color="001D77"/>
            </w:tcBorders>
          </w:tcPr>
          <w:p w14:paraId="424044BB" w14:textId="7D4ED29F" w:rsidR="00275389" w:rsidRPr="00491933" w:rsidRDefault="00275389" w:rsidP="000B5C5B">
            <w:pPr>
              <w:jc w:val="center"/>
              <w:rPr>
                <w:spacing w:val="-12"/>
                <w:shd w:val="clear" w:color="auto" w:fill="FFFFFF"/>
              </w:rPr>
            </w:pP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7C5579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2268" w:type="dxa"/>
            <w:gridSpan w:val="2"/>
            <w:tcBorders>
              <w:bottom w:val="single" w:sz="12" w:space="0" w:color="001D77"/>
            </w:tcBorders>
          </w:tcPr>
          <w:p w14:paraId="369999C5" w14:textId="0A57F5FA" w:rsidR="00275389" w:rsidRPr="00491933" w:rsidRDefault="00275389" w:rsidP="00500ED7">
            <w:pPr>
              <w:spacing w:after="0"/>
              <w:jc w:val="center"/>
              <w:rPr>
                <w:shd w:val="clear" w:color="auto" w:fill="FFFFFF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analogiczny okres</w:t>
            </w:r>
            <w:r w:rsidR="00174CC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91933"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3DACDA42" w14:textId="6B841FD4" w:rsidR="00275389" w:rsidRPr="00491933" w:rsidRDefault="00275389" w:rsidP="00726690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500ED7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491933">
              <w:rPr>
                <w:color w:val="000000" w:themeColor="text1"/>
                <w:spacing w:val="-12"/>
                <w:sz w:val="16"/>
                <w:szCs w:val="16"/>
              </w:rPr>
              <w:t>2019=100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7EAADEAF" w14:textId="1063E2FA" w:rsidR="00275389" w:rsidRPr="00491933" w:rsidRDefault="00275389" w:rsidP="007C55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91933">
              <w:rPr>
                <w:color w:val="000000" w:themeColor="text1"/>
                <w:sz w:val="16"/>
                <w:szCs w:val="16"/>
              </w:rPr>
              <w:t>XII 201</w:t>
            </w:r>
            <w:r w:rsidR="007C5579">
              <w:rPr>
                <w:color w:val="000000" w:themeColor="text1"/>
                <w:sz w:val="16"/>
                <w:szCs w:val="16"/>
              </w:rPr>
              <w:t>9</w:t>
            </w:r>
            <w:r w:rsidRPr="00491933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275389" w14:paraId="5BEE1FA3" w14:textId="77777777" w:rsidTr="001666FB">
        <w:tc>
          <w:tcPr>
            <w:tcW w:w="2268" w:type="dxa"/>
          </w:tcPr>
          <w:p w14:paraId="3552BA42" w14:textId="77777777" w:rsidR="00275389" w:rsidRDefault="00275389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vAlign w:val="center"/>
          </w:tcPr>
          <w:p w14:paraId="41C04DDE" w14:textId="51642456" w:rsidR="00275389" w:rsidRPr="00BF0ED9" w:rsidRDefault="00275389" w:rsidP="00554D6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A4492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34" w:type="dxa"/>
            <w:vAlign w:val="center"/>
          </w:tcPr>
          <w:p w14:paraId="097819F7" w14:textId="48A8DE31" w:rsidR="00275389" w:rsidRPr="00BF0ED9" w:rsidRDefault="00275389" w:rsidP="00DA4492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DA4492"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DA4492"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5F88C3D0" w14:textId="0BFDB97D" w:rsidR="00275389" w:rsidRPr="00BF0ED9" w:rsidRDefault="00275389" w:rsidP="008C333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C333E"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8C333E"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1CCCED6A" w14:textId="3D8D7BEB" w:rsidR="00275389" w:rsidRPr="00BF0ED9" w:rsidRDefault="00275389" w:rsidP="000A1BA9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A1BA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A1BA9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6DAE89EC" w14:textId="1E9A4EBF" w:rsidR="00275389" w:rsidRPr="00BF0ED9" w:rsidRDefault="00275389" w:rsidP="00BD22F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22F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D22F4" w:rsidRPr="00BD22F4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BD22F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BD22F4" w:rsidRPr="00BD22F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275389" w14:paraId="7CD16B2D" w14:textId="77777777" w:rsidTr="001666FB">
        <w:tc>
          <w:tcPr>
            <w:tcW w:w="2268" w:type="dxa"/>
          </w:tcPr>
          <w:p w14:paraId="5940A8A0" w14:textId="77777777" w:rsidR="00275389" w:rsidRDefault="00275389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vAlign w:val="center"/>
          </w:tcPr>
          <w:p w14:paraId="2091D7FF" w14:textId="61CD43F7" w:rsidR="00275389" w:rsidRPr="00BF0ED9" w:rsidRDefault="00275389" w:rsidP="008054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542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34" w:type="dxa"/>
            <w:vAlign w:val="center"/>
          </w:tcPr>
          <w:p w14:paraId="16180B42" w14:textId="3993DE53" w:rsidR="00275389" w:rsidRPr="00BF0ED9" w:rsidRDefault="00275389" w:rsidP="008054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542C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80542C" w:rsidRPr="0080542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374B09A" w14:textId="1A5EFDF2" w:rsidR="00275389" w:rsidRPr="00BF0ED9" w:rsidRDefault="00275389" w:rsidP="00A80A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80A6E" w:rsidRPr="00A80A6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80A6E" w:rsidRPr="00A80A6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1EA7E4AE" w14:textId="5AA2E13D" w:rsidR="00275389" w:rsidRPr="00BF0ED9" w:rsidRDefault="00275389" w:rsidP="00A80A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80A6E" w:rsidRPr="00A80A6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80A6E" w:rsidRPr="00A80A6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5DA422A1" w14:textId="32485414" w:rsidR="00275389" w:rsidRPr="00BF0ED9" w:rsidRDefault="00275389" w:rsidP="00A80A6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80A6E" w:rsidRPr="00A80A6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80A6E" w:rsidRPr="00A80A6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275389" w14:paraId="0BCE35C0" w14:textId="77777777" w:rsidTr="001666FB">
        <w:tc>
          <w:tcPr>
            <w:tcW w:w="2268" w:type="dxa"/>
          </w:tcPr>
          <w:p w14:paraId="0909A4BF" w14:textId="3FF3D0F8" w:rsidR="00275389" w:rsidRDefault="00275389" w:rsidP="0041575A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 xml:space="preserve">Budowa obiektów  inżynierii 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201EF8E" w14:textId="0A2CD16F" w:rsidR="00275389" w:rsidRPr="00BF0ED9" w:rsidRDefault="00275389" w:rsidP="00642D1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2D14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FEEF5" w14:textId="56657F4E" w:rsidR="00275389" w:rsidRPr="00BF0ED9" w:rsidRDefault="00275389" w:rsidP="00EF48C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F48C7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EF48C7" w:rsidRPr="00EF48C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EF4B6" w14:textId="4577A123" w:rsidR="00275389" w:rsidRPr="00BF0ED9" w:rsidRDefault="00275389" w:rsidP="002C1D9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1D9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C1D91" w:rsidRPr="002C1D9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2C1D9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C1D91" w:rsidRPr="002C1D9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EBD71" w14:textId="059235E0" w:rsidR="00275389" w:rsidRPr="00BF0ED9" w:rsidRDefault="00275389" w:rsidP="003547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47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54721" w:rsidRPr="003547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547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54721" w:rsidRPr="0035472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54CC1" w14:textId="6AFB95EB" w:rsidR="00275389" w:rsidRPr="00BF0ED9" w:rsidRDefault="00275389" w:rsidP="00870C6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70C6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70C6F" w:rsidRPr="00870C6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870C6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70C6F" w:rsidRPr="00870C6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275389" w14:paraId="2C4DED67" w14:textId="77777777" w:rsidTr="001666FB">
        <w:tc>
          <w:tcPr>
            <w:tcW w:w="2268" w:type="dxa"/>
          </w:tcPr>
          <w:p w14:paraId="00F0AB9E" w14:textId="77777777" w:rsidR="00275389" w:rsidRPr="00D97063" w:rsidRDefault="00275389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1276" w:type="dxa"/>
            <w:vAlign w:val="center"/>
          </w:tcPr>
          <w:p w14:paraId="2BF48DF6" w14:textId="6DCE5A3F" w:rsidR="00275389" w:rsidRPr="00BF0ED9" w:rsidRDefault="00275389" w:rsidP="00910C7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54B06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  <w:r w:rsidR="00DF20A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5FF6EDBC" w14:textId="20692018" w:rsidR="00275389" w:rsidRPr="00BF0ED9" w:rsidRDefault="00275389" w:rsidP="009F31D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F31D8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9F31D8" w:rsidRPr="009F31D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DF20A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34" w:type="dxa"/>
            <w:vAlign w:val="center"/>
          </w:tcPr>
          <w:p w14:paraId="1F0B22B3" w14:textId="1AB9E27D" w:rsidR="00275389" w:rsidRPr="00BF0ED9" w:rsidRDefault="00275389" w:rsidP="009F31D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F31D8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9F31D8" w:rsidRPr="009F31D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093EDD49" w14:textId="47C3DB55" w:rsidR="00275389" w:rsidRPr="00BF0ED9" w:rsidRDefault="00275389" w:rsidP="00A12A9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2A9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12A9B" w:rsidRPr="00A12A9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12A9B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12A9B" w:rsidRPr="00A12A9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035D45DD" w14:textId="03025D9E" w:rsidR="00275389" w:rsidRPr="00BF0ED9" w:rsidRDefault="00275389" w:rsidP="00910C9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0C9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10C93" w:rsidRPr="00910C9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910C9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10C93" w:rsidRPr="00910C9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1443F05" w14:textId="77777777" w:rsidR="009B10F2" w:rsidRDefault="009B10F2" w:rsidP="00920414">
      <w:pPr>
        <w:pStyle w:val="tytuwykresu"/>
        <w:rPr>
          <w:noProof/>
          <w:lang w:eastAsia="pl-PL"/>
        </w:rPr>
      </w:pPr>
    </w:p>
    <w:p w14:paraId="4FC3944D" w14:textId="085243E0" w:rsidR="007E45BB" w:rsidRDefault="00407685" w:rsidP="00E75536">
      <w:pPr>
        <w:pStyle w:val="tytuwykresu"/>
        <w:ind w:left="794" w:hanging="794"/>
        <w:rPr>
          <w:shd w:val="clear" w:color="auto" w:fill="FFFFFF"/>
        </w:rPr>
      </w:pPr>
      <w:r w:rsidRPr="00633014">
        <w:rPr>
          <w:b w:val="0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1CE7CBED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48DC4D23" w:rsidR="00C424B8" w:rsidRPr="00D616D2" w:rsidRDefault="00DD61DD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W styczniu 2020</w:t>
                            </w:r>
                            <w:r w:rsidR="00E2623E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 xml:space="preserve">r., </w:t>
                            </w:r>
                            <w:r w:rsidR="00A748FF">
                              <w:rPr>
                                <w:bCs w:val="0"/>
                              </w:rPr>
                              <w:t>podobnie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jak w</w:t>
                            </w:r>
                            <w:r>
                              <w:rPr>
                                <w:bCs w:val="0"/>
                              </w:rPr>
                              <w:t xml:space="preserve"> listopadzie i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grudniu </w:t>
                            </w:r>
                            <w:r w:rsidR="003A7123">
                              <w:rPr>
                                <w:bCs w:val="0"/>
                              </w:rPr>
                              <w:t xml:space="preserve">poprzedniego </w:t>
                            </w:r>
                            <w:r w:rsidR="00FD0C67">
                              <w:rPr>
                                <w:bCs w:val="0"/>
                              </w:rPr>
                              <w:t>roku</w:t>
                            </w:r>
                            <w:r>
                              <w:rPr>
                                <w:bCs w:val="0"/>
                              </w:rPr>
                              <w:t>,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ceny produkcji budowlano-montażowej był</w:t>
                            </w:r>
                            <w:r w:rsidR="00BA12D3">
                              <w:rPr>
                                <w:bCs w:val="0"/>
                              </w:rPr>
                              <w:t xml:space="preserve">y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wyższe</w:t>
                            </w:r>
                            <w:r w:rsidR="00FD0C67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w stosunku do poprzedniego miesiąca</w:t>
                            </w:r>
                            <w:r w:rsidR="0086693E">
                              <w:rPr>
                                <w:bCs w:val="0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>
                              <w:rPr>
                                <w:bCs w:val="0"/>
                              </w:rPr>
                              <w:t>o 0,2%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48DC4D23" w:rsidR="00C424B8" w:rsidRPr="00D616D2" w:rsidRDefault="00DD61DD" w:rsidP="00127824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W styczniu 2020</w:t>
                      </w:r>
                      <w:r w:rsidR="00E2623E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 xml:space="preserve">r., </w:t>
                      </w:r>
                      <w:r w:rsidR="00A748FF">
                        <w:rPr>
                          <w:bCs w:val="0"/>
                        </w:rPr>
                        <w:t>podobnie</w:t>
                      </w:r>
                      <w:r w:rsidR="005910F0">
                        <w:rPr>
                          <w:bCs w:val="0"/>
                        </w:rPr>
                        <w:t xml:space="preserve"> jak w</w:t>
                      </w:r>
                      <w:r>
                        <w:rPr>
                          <w:bCs w:val="0"/>
                        </w:rPr>
                        <w:t xml:space="preserve"> listopadzie i</w:t>
                      </w:r>
                      <w:r w:rsidR="005910F0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 xml:space="preserve">w </w:t>
                      </w:r>
                      <w:r w:rsidR="005910F0">
                        <w:rPr>
                          <w:bCs w:val="0"/>
                        </w:rPr>
                        <w:t xml:space="preserve">grudniu </w:t>
                      </w:r>
                      <w:r w:rsidR="003A7123">
                        <w:rPr>
                          <w:bCs w:val="0"/>
                        </w:rPr>
                        <w:t xml:space="preserve">poprzedniego </w:t>
                      </w:r>
                      <w:r w:rsidR="00FD0C67">
                        <w:rPr>
                          <w:bCs w:val="0"/>
                        </w:rPr>
                        <w:t>roku</w:t>
                      </w:r>
                      <w:r>
                        <w:rPr>
                          <w:bCs w:val="0"/>
                        </w:rPr>
                        <w:t>,</w:t>
                      </w:r>
                      <w:r w:rsidR="005910F0">
                        <w:rPr>
                          <w:bCs w:val="0"/>
                        </w:rPr>
                        <w:t xml:space="preserve"> ceny produkcji budowlano-montażowej był</w:t>
                      </w:r>
                      <w:r w:rsidR="00BA12D3">
                        <w:rPr>
                          <w:bCs w:val="0"/>
                        </w:rPr>
                        <w:t xml:space="preserve">y </w:t>
                      </w:r>
                      <w:r w:rsidR="005910F0">
                        <w:rPr>
                          <w:bCs w:val="0"/>
                        </w:rPr>
                        <w:t xml:space="preserve"> wyższe</w:t>
                      </w:r>
                      <w:r w:rsidR="00FD0C67">
                        <w:rPr>
                          <w:bCs w:val="0"/>
                        </w:rPr>
                        <w:t xml:space="preserve"> </w:t>
                      </w:r>
                      <w:r w:rsidR="005910F0">
                        <w:rPr>
                          <w:bCs w:val="0"/>
                        </w:rPr>
                        <w:t xml:space="preserve"> w stosunku do poprzedniego miesiąca</w:t>
                      </w:r>
                      <w:r w:rsidR="0086693E">
                        <w:rPr>
                          <w:bCs w:val="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bCs w:val="0"/>
                        </w:rPr>
                        <w:t>o 0,2%</w:t>
                      </w:r>
                      <w:r w:rsidR="005910F0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2B7503" w:rsidRPr="00DA5624">
        <w:rPr>
          <w:bCs/>
          <w:shd w:val="clear" w:color="auto" w:fill="FFFFFF"/>
        </w:rPr>
        <w:t>8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A0265A">
        <w:rPr>
          <w:shd w:val="clear" w:color="auto" w:fill="FFFFFF"/>
        </w:rPr>
        <w:t>o (w %)</w:t>
      </w:r>
    </w:p>
    <w:p w14:paraId="5E0B3306" w14:textId="0D427542" w:rsidR="005003E0" w:rsidRDefault="00A0265A" w:rsidP="00E75536">
      <w:pPr>
        <w:pStyle w:val="tytuwykresu"/>
        <w:ind w:left="794" w:hanging="794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70208" behindDoc="0" locked="0" layoutInCell="1" allowOverlap="1" wp14:anchorId="4EFD8AE4" wp14:editId="36E6BD31">
            <wp:simplePos x="0" y="0"/>
            <wp:positionH relativeFrom="column">
              <wp:posOffset>0</wp:posOffset>
            </wp:positionH>
            <wp:positionV relativeFrom="paragraph">
              <wp:posOffset>43295</wp:posOffset>
            </wp:positionV>
            <wp:extent cx="5119370" cy="2195830"/>
            <wp:effectExtent l="0" t="0" r="508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2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10F2">
        <w:rPr>
          <w:noProof/>
          <w:lang w:eastAsia="pl-PL"/>
        </w:rPr>
        <w:drawing>
          <wp:anchor distT="0" distB="0" distL="114300" distR="114300" simplePos="0" relativeHeight="251845632" behindDoc="0" locked="0" layoutInCell="1" allowOverlap="1" wp14:anchorId="610670B2" wp14:editId="3E28F479">
            <wp:simplePos x="0" y="0"/>
            <wp:positionH relativeFrom="column">
              <wp:posOffset>-12700</wp:posOffset>
            </wp:positionH>
            <wp:positionV relativeFrom="paragraph">
              <wp:posOffset>221161</wp:posOffset>
            </wp:positionV>
            <wp:extent cx="231435" cy="246653"/>
            <wp:effectExtent l="0" t="0" r="0" b="0"/>
            <wp:wrapNone/>
            <wp:docPr id="22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35" cy="246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A4AE1" w14:textId="4F83C5A7" w:rsidR="00DD61DD" w:rsidRDefault="00DD61DD" w:rsidP="00E75536">
      <w:pPr>
        <w:pStyle w:val="tytuwykresu"/>
        <w:ind w:left="794" w:hanging="794"/>
        <w:rPr>
          <w:shd w:val="clear" w:color="auto" w:fill="FFFFFF"/>
        </w:rPr>
      </w:pPr>
    </w:p>
    <w:p w14:paraId="6D60B016" w14:textId="12697792" w:rsidR="00DD61DD" w:rsidRDefault="00DD61DD" w:rsidP="00E75536">
      <w:pPr>
        <w:pStyle w:val="tytuwykresu"/>
        <w:ind w:left="794" w:hanging="794"/>
        <w:rPr>
          <w:shd w:val="clear" w:color="auto" w:fill="FFFFFF"/>
        </w:rPr>
      </w:pPr>
    </w:p>
    <w:p w14:paraId="4066A824" w14:textId="32AD54D0" w:rsidR="00582C9F" w:rsidRDefault="00582C9F" w:rsidP="00E75536">
      <w:pPr>
        <w:pStyle w:val="tytuwykresu"/>
        <w:ind w:left="794" w:hanging="794"/>
        <w:rPr>
          <w:shd w:val="clear" w:color="auto" w:fill="FFFFFF"/>
        </w:rPr>
      </w:pPr>
    </w:p>
    <w:p w14:paraId="276C8AA9" w14:textId="3CF1B08D" w:rsidR="00361A98" w:rsidRDefault="00361A98" w:rsidP="00E75536">
      <w:pPr>
        <w:pStyle w:val="tytuwykresu"/>
        <w:ind w:left="794" w:hanging="794"/>
        <w:rPr>
          <w:shd w:val="clear" w:color="auto" w:fill="FFFFFF"/>
        </w:rPr>
      </w:pPr>
    </w:p>
    <w:p w14:paraId="65C823B8" w14:textId="746AAE0D" w:rsidR="00BA5703" w:rsidRDefault="00BA5703" w:rsidP="00E75536">
      <w:pPr>
        <w:pStyle w:val="tytuwykresu"/>
        <w:ind w:left="794" w:hanging="794"/>
        <w:rPr>
          <w:shd w:val="clear" w:color="auto" w:fill="FFFFFF"/>
        </w:rPr>
      </w:pPr>
    </w:p>
    <w:p w14:paraId="09290F01" w14:textId="6A2118E7" w:rsidR="00ED04B9" w:rsidRDefault="00ED04B9" w:rsidP="00920414">
      <w:pPr>
        <w:pStyle w:val="tytuwykresu"/>
        <w:rPr>
          <w:shd w:val="clear" w:color="auto" w:fill="FFFFFF"/>
        </w:rPr>
      </w:pPr>
    </w:p>
    <w:p w14:paraId="60CD543F" w14:textId="2EE59281" w:rsidR="00FA79BF" w:rsidRDefault="00FA79BF" w:rsidP="00920414">
      <w:pPr>
        <w:pStyle w:val="tytuwykresu"/>
        <w:rPr>
          <w:shd w:val="clear" w:color="auto" w:fill="FFFFFF"/>
        </w:rPr>
      </w:pPr>
    </w:p>
    <w:p w14:paraId="0641D1DB" w14:textId="024E2C46" w:rsidR="00BB1E63" w:rsidRDefault="00BB1E63" w:rsidP="00920414">
      <w:pPr>
        <w:pStyle w:val="tytuwykresu"/>
        <w:rPr>
          <w:shd w:val="clear" w:color="auto" w:fill="FFFFFF"/>
        </w:rPr>
      </w:pPr>
    </w:p>
    <w:p w14:paraId="41F53DBF" w14:textId="0B985B77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2981F33B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7BB9801D">
                <wp:simplePos x="0" y="0"/>
                <wp:positionH relativeFrom="column">
                  <wp:posOffset>5362575</wp:posOffset>
                </wp:positionH>
                <wp:positionV relativeFrom="paragraph">
                  <wp:posOffset>263525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AA25" w14:textId="21CE6134" w:rsidR="003A7123" w:rsidRPr="00D616D2" w:rsidRDefault="003A7123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drugim z </w:t>
                            </w:r>
                            <w:r w:rsidR="00DC0007">
                              <w:rPr>
                                <w:bCs w:val="0"/>
                              </w:rPr>
                              <w:t xml:space="preserve">kolei </w:t>
                            </w:r>
                            <w:r>
                              <w:rPr>
                                <w:bCs w:val="0"/>
                              </w:rPr>
                              <w:t>miesiącu</w:t>
                            </w:r>
                            <w:r w:rsidR="004D1497">
                              <w:rPr>
                                <w:bCs w:val="0"/>
                              </w:rPr>
                              <w:t xml:space="preserve"> ceny produkcji budowlano-montażowej w skali  roku wzrosły o 2,9%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25pt;margin-top:20.75pt;width:126.75pt;height:149.2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" filled="f" stroked="f">
                <v:textbox>
                  <w:txbxContent>
                    <w:p w14:paraId="6539AA25" w14:textId="21CE6134" w:rsidR="003A7123" w:rsidRPr="00D616D2" w:rsidRDefault="003A7123" w:rsidP="003A7123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drugim z </w:t>
                      </w:r>
                      <w:r w:rsidR="00DC0007">
                        <w:rPr>
                          <w:bCs w:val="0"/>
                        </w:rPr>
                        <w:t xml:space="preserve">kolei </w:t>
                      </w:r>
                      <w:r>
                        <w:rPr>
                          <w:bCs w:val="0"/>
                        </w:rPr>
                        <w:t>miesiącu</w:t>
                      </w:r>
                      <w:r w:rsidR="004D1497">
                        <w:rPr>
                          <w:bCs w:val="0"/>
                        </w:rPr>
                        <w:t xml:space="preserve"> ceny produkcji budowlano-montażowej w skali  roku wzrosły o 2,9%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370EBB36" w:rsidR="000F1C91" w:rsidRDefault="00A0265A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871232" behindDoc="0" locked="0" layoutInCell="1" allowOverlap="1" wp14:anchorId="126B212D" wp14:editId="2C43D41C">
            <wp:simplePos x="0" y="0"/>
            <wp:positionH relativeFrom="column">
              <wp:posOffset>-13335</wp:posOffset>
            </wp:positionH>
            <wp:positionV relativeFrom="paragraph">
              <wp:posOffset>367665</wp:posOffset>
            </wp:positionV>
            <wp:extent cx="5119370" cy="2424430"/>
            <wp:effectExtent l="0" t="0" r="508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24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F06F4F" w:rsidRPr="006F5A2F">
        <w:rPr>
          <w:bCs/>
          <w:shd w:val="clear" w:color="auto" w:fill="FFFFFF"/>
        </w:rPr>
        <w:t>8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  <w:r>
        <w:rPr>
          <w:shd w:val="clear" w:color="auto" w:fill="FFFFFF"/>
        </w:rPr>
        <w:t xml:space="preserve"> (w %)</w:t>
      </w:r>
    </w:p>
    <w:p w14:paraId="332B1041" w14:textId="3007D1F7" w:rsidR="004A3420" w:rsidRDefault="0083251A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0992" behindDoc="0" locked="0" layoutInCell="1" allowOverlap="1" wp14:anchorId="5C1FB445" wp14:editId="042C46E4">
            <wp:simplePos x="0" y="0"/>
            <wp:positionH relativeFrom="column">
              <wp:posOffset>57604</wp:posOffset>
            </wp:positionH>
            <wp:positionV relativeFrom="paragraph">
              <wp:posOffset>197485</wp:posOffset>
            </wp:positionV>
            <wp:extent cx="190500" cy="203200"/>
            <wp:effectExtent l="0" t="0" r="0" b="0"/>
            <wp:wrapNone/>
            <wp:docPr id="12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41388" w14:textId="52CF7A22" w:rsidR="00B139B7" w:rsidRDefault="00B139B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4210256A" w14:textId="1C52C93D" w:rsidR="00592523" w:rsidRDefault="0059252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A395933" w14:textId="356E6966" w:rsidR="00B855B7" w:rsidRDefault="00B855B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4C45D74A" w14:textId="0A7619A4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23D4F150" w14:textId="30A56565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B3A50B8" w14:textId="47659BC1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473787B2" w14:textId="6C1AE0C8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85DA43C" w14:textId="3FF4ECC4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B727333" w14:textId="35935DFB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9DF9C78" w14:textId="466EA648" w:rsidR="00FC23DD" w:rsidRDefault="00FC23DD" w:rsidP="00D46AF7">
      <w:pPr>
        <w:rPr>
          <w:noProof/>
          <w:lang w:eastAsia="pl-PL"/>
        </w:rPr>
      </w:pPr>
    </w:p>
    <w:p w14:paraId="62971D30" w14:textId="77427C8E" w:rsidR="00D46AF7" w:rsidRDefault="00D46AF7" w:rsidP="002263EA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>
        <w:rPr>
          <w:b/>
          <w:bCs/>
          <w:spacing w:val="-2"/>
          <w:sz w:val="18"/>
          <w:shd w:val="clear" w:color="auto" w:fill="FFFFFF"/>
        </w:rPr>
        <w:t>3</w:t>
      </w:r>
      <w:r w:rsidRPr="00667717">
        <w:rPr>
          <w:b/>
          <w:spacing w:val="-2"/>
          <w:sz w:val="18"/>
          <w:shd w:val="clear" w:color="auto" w:fill="FFFFFF"/>
        </w:rPr>
        <w:t>.</w:t>
      </w:r>
      <w:r w:rsidR="00964B8F">
        <w:rPr>
          <w:b/>
          <w:spacing w:val="-2"/>
          <w:sz w:val="18"/>
          <w:shd w:val="clear" w:color="auto" w:fill="FFFFFF"/>
        </w:rPr>
        <w:t xml:space="preserve"> </w:t>
      </w:r>
      <w:r w:rsidR="00BD4D47">
        <w:rPr>
          <w:b/>
          <w:spacing w:val="-2"/>
          <w:sz w:val="18"/>
          <w:shd w:val="clear" w:color="auto" w:fill="FFFFFF"/>
        </w:rPr>
        <w:t>Zmiany c</w:t>
      </w:r>
      <w:r w:rsidRPr="00667717">
        <w:rPr>
          <w:b/>
          <w:spacing w:val="-2"/>
          <w:sz w:val="18"/>
          <w:shd w:val="clear" w:color="auto" w:fill="FFFFFF"/>
        </w:rPr>
        <w:t>en</w:t>
      </w:r>
      <w:r>
        <w:rPr>
          <w:b/>
          <w:spacing w:val="-2"/>
          <w:sz w:val="18"/>
          <w:shd w:val="clear" w:color="auto" w:fill="FFFFFF"/>
        </w:rPr>
        <w:t xml:space="preserve"> </w:t>
      </w:r>
      <w:r w:rsidRPr="00667717">
        <w:rPr>
          <w:b/>
          <w:spacing w:val="-2"/>
          <w:sz w:val="18"/>
          <w:shd w:val="clear" w:color="auto" w:fill="FFFFFF"/>
        </w:rPr>
        <w:t xml:space="preserve"> produkcji budowlano-montażowej </w:t>
      </w:r>
      <w:r w:rsidRPr="006948A9">
        <w:rPr>
          <w:b/>
          <w:spacing w:val="-2"/>
          <w:sz w:val="18"/>
          <w:shd w:val="clear" w:color="auto" w:fill="FFFFFF"/>
        </w:rPr>
        <w:t>w latach 201</w:t>
      </w:r>
      <w:r w:rsidR="0036558D" w:rsidRPr="006948A9">
        <w:rPr>
          <w:b/>
          <w:spacing w:val="-2"/>
          <w:sz w:val="18"/>
          <w:shd w:val="clear" w:color="auto" w:fill="FFFFFF"/>
        </w:rPr>
        <w:t>8</w:t>
      </w:r>
      <w:r w:rsidRPr="006948A9">
        <w:rPr>
          <w:b/>
          <w:spacing w:val="-2"/>
          <w:sz w:val="18"/>
          <w:shd w:val="clear" w:color="auto" w:fill="FFFFFF"/>
        </w:rPr>
        <w:t>-</w:t>
      </w:r>
      <w:r w:rsidRPr="006948A9">
        <w:rPr>
          <w:b/>
          <w:spacing w:val="-2"/>
          <w:sz w:val="18"/>
          <w:szCs w:val="18"/>
          <w:shd w:val="clear" w:color="auto" w:fill="FFFFFF"/>
        </w:rPr>
        <w:t>20</w:t>
      </w:r>
      <w:r w:rsidR="002B2926" w:rsidRPr="006948A9">
        <w:rPr>
          <w:b/>
          <w:spacing w:val="-2"/>
          <w:sz w:val="18"/>
          <w:szCs w:val="18"/>
          <w:shd w:val="clear" w:color="auto" w:fill="FFFFFF"/>
        </w:rPr>
        <w:t>20</w:t>
      </w:r>
      <w:r w:rsidR="00964B8F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2263EA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BD4D47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845E7" w:rsidRPr="006948A9">
        <w:rPr>
          <w:b/>
          <w:spacing w:val="-2"/>
          <w:sz w:val="18"/>
          <w:szCs w:val="18"/>
          <w:shd w:val="clear" w:color="auto" w:fill="FFFFFF"/>
        </w:rPr>
        <w:t xml:space="preserve">do </w:t>
      </w:r>
      <w:r w:rsidRPr="006948A9">
        <w:rPr>
          <w:b/>
          <w:spacing w:val="-2"/>
          <w:sz w:val="18"/>
          <w:szCs w:val="18"/>
          <w:shd w:val="clear" w:color="auto" w:fill="FFFFFF"/>
        </w:rPr>
        <w:t>XII 201</w:t>
      </w:r>
      <w:r w:rsidR="0036558D" w:rsidRPr="006948A9">
        <w:rPr>
          <w:b/>
          <w:spacing w:val="-2"/>
          <w:sz w:val="18"/>
          <w:szCs w:val="18"/>
          <w:shd w:val="clear" w:color="auto" w:fill="FFFFFF"/>
        </w:rPr>
        <w:t>7</w:t>
      </w:r>
      <w:r w:rsidR="002D563D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1E2F783B" w14:textId="39934B8A" w:rsidR="006D1C4A" w:rsidRDefault="00A0265A" w:rsidP="002263EA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7"/>
          <w:szCs w:val="17"/>
          <w:shd w:val="clear" w:color="auto" w:fill="FFFFFF"/>
          <w:lang w:eastAsia="pl-PL"/>
        </w:rPr>
        <w:drawing>
          <wp:anchor distT="0" distB="0" distL="114300" distR="114300" simplePos="0" relativeHeight="251872256" behindDoc="0" locked="0" layoutInCell="1" allowOverlap="1" wp14:anchorId="2D4E5103" wp14:editId="31350AF6">
            <wp:simplePos x="0" y="0"/>
            <wp:positionH relativeFrom="column">
              <wp:posOffset>0</wp:posOffset>
            </wp:positionH>
            <wp:positionV relativeFrom="paragraph">
              <wp:posOffset>50107</wp:posOffset>
            </wp:positionV>
            <wp:extent cx="5119370" cy="2126615"/>
            <wp:effectExtent l="0" t="0" r="5080" b="6985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23F164" w14:textId="4EDE19DE" w:rsidR="006D1C4A" w:rsidRDefault="006D1C4A" w:rsidP="002263EA">
      <w:pPr>
        <w:ind w:left="794" w:hanging="794"/>
        <w:rPr>
          <w:b/>
          <w:spacing w:val="-2"/>
          <w:sz w:val="17"/>
          <w:szCs w:val="17"/>
          <w:shd w:val="clear" w:color="auto" w:fill="FFFFFF"/>
        </w:rPr>
      </w:pPr>
    </w:p>
    <w:p w14:paraId="1282B0F1" w14:textId="7BDFBD30" w:rsidR="00FC23DD" w:rsidRDefault="00FC23DD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73C517C1" w14:textId="0AAA3B2D" w:rsidR="00FC23DD" w:rsidRDefault="00FC23DD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0A3D3532" w14:textId="79B338AE" w:rsidR="00DA4F86" w:rsidRDefault="00DA4F86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44E1598" w14:textId="016C39B1" w:rsidR="00C13BFF" w:rsidRPr="00964B8F" w:rsidRDefault="00C13BF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7DF91C86" w14:textId="639228A2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55962B3A" w:rsidR="00D46AF7" w:rsidRDefault="00D46AF7" w:rsidP="00D46AF7">
      <w:pPr>
        <w:rPr>
          <w:sz w:val="18"/>
        </w:rPr>
      </w:pPr>
    </w:p>
    <w:p w14:paraId="3E4B0B17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C122CAF" w14:textId="77777777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048F7D1" w14:textId="77777777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A57AFEC" w14:textId="77777777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1049D8B" w14:textId="77777777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72A5EF9F" w:rsidR="003306A4" w:rsidRDefault="003306A4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 w:rsidRPr="00667717">
        <w:rPr>
          <w:b/>
          <w:bCs/>
          <w:spacing w:val="-2"/>
          <w:sz w:val="18"/>
          <w:shd w:val="clear" w:color="auto" w:fill="FFFFFF"/>
        </w:rPr>
        <w:lastRenderedPageBreak/>
        <w:t xml:space="preserve">Wykres </w:t>
      </w:r>
      <w:r>
        <w:rPr>
          <w:b/>
          <w:bCs/>
          <w:spacing w:val="-2"/>
          <w:sz w:val="18"/>
          <w:shd w:val="clear" w:color="auto" w:fill="FFFFFF"/>
        </w:rPr>
        <w:t>4</w:t>
      </w:r>
      <w:r w:rsidRPr="00667717">
        <w:rPr>
          <w:b/>
          <w:spacing w:val="-2"/>
          <w:sz w:val="18"/>
          <w:shd w:val="clear" w:color="auto" w:fill="FFFFFF"/>
        </w:rPr>
        <w:t>.</w:t>
      </w:r>
      <w:r>
        <w:rPr>
          <w:b/>
          <w:spacing w:val="-2"/>
          <w:sz w:val="18"/>
          <w:shd w:val="clear" w:color="auto" w:fill="FFFFFF"/>
        </w:rPr>
        <w:t xml:space="preserve"> Zmiany c</w:t>
      </w:r>
      <w:r w:rsidRPr="00667717">
        <w:rPr>
          <w:b/>
          <w:spacing w:val="-2"/>
          <w:sz w:val="18"/>
          <w:shd w:val="clear" w:color="auto" w:fill="FFFFFF"/>
        </w:rPr>
        <w:t>en</w:t>
      </w:r>
      <w:r>
        <w:rPr>
          <w:b/>
          <w:spacing w:val="-2"/>
          <w:sz w:val="18"/>
          <w:shd w:val="clear" w:color="auto" w:fill="FFFFFF"/>
        </w:rPr>
        <w:t xml:space="preserve"> </w:t>
      </w:r>
      <w:r w:rsidRPr="00667717">
        <w:rPr>
          <w:b/>
          <w:spacing w:val="-2"/>
          <w:sz w:val="18"/>
          <w:shd w:val="clear" w:color="auto" w:fill="FFFFFF"/>
        </w:rPr>
        <w:t xml:space="preserve"> produkcji budowlano-montażowej </w:t>
      </w:r>
      <w:r w:rsidRPr="006948A9">
        <w:rPr>
          <w:b/>
          <w:spacing w:val="-2"/>
          <w:sz w:val="18"/>
          <w:shd w:val="clear" w:color="auto" w:fill="FFFFFF"/>
        </w:rPr>
        <w:t>w</w:t>
      </w:r>
      <w:r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Pr="006948A9">
        <w:rPr>
          <w:b/>
          <w:spacing w:val="-2"/>
          <w:sz w:val="18"/>
          <w:shd w:val="clear" w:color="auto" w:fill="FFFFFF"/>
        </w:rPr>
        <w:t>2018-</w:t>
      </w:r>
      <w:r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Pr="006948A9">
        <w:rPr>
          <w:b/>
          <w:spacing w:val="-2"/>
          <w:sz w:val="18"/>
          <w:szCs w:val="18"/>
          <w:shd w:val="clear" w:color="auto" w:fill="FFFFFF"/>
        </w:rPr>
        <w:t>do XII 2017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338EC42F" w14:textId="62E6A90F" w:rsidR="003306A4" w:rsidRDefault="008C62D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hd w:val="clear" w:color="auto" w:fill="FFFFFF"/>
          <w:lang w:eastAsia="pl-PL"/>
        </w:rPr>
        <w:drawing>
          <wp:anchor distT="0" distB="0" distL="114300" distR="114300" simplePos="0" relativeHeight="251873280" behindDoc="0" locked="0" layoutInCell="1" allowOverlap="1" wp14:anchorId="73060282" wp14:editId="6B13DDE2">
            <wp:simplePos x="0" y="0"/>
            <wp:positionH relativeFrom="column">
              <wp:posOffset>3998</wp:posOffset>
            </wp:positionH>
            <wp:positionV relativeFrom="paragraph">
              <wp:posOffset>-1372</wp:posOffset>
            </wp:positionV>
            <wp:extent cx="5156835" cy="2720774"/>
            <wp:effectExtent l="0" t="0" r="5715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272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3C19744" w14:textId="53DE38B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4D4BAFC" w14:textId="5445A3E3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13272BA5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4BEE741D" w14:textId="64A4FB5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5E95C26" w14:textId="11D39A86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480C897" w14:textId="769E81A6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7FEE24C8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E061BFE" w14:textId="27569599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7A0E7F87" w14:textId="77777777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EDEAC7" w14:textId="2683D1C9" w:rsidR="00EB32BB" w:rsidRDefault="00EB32BB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368E1064" w14:textId="5E91071B" w:rsidR="00EB32BB" w:rsidRDefault="00EB32BB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1C5897C" w14:textId="5EC1333E" w:rsidR="0010360C" w:rsidRDefault="0010360C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245D9E9F" w14:textId="3D612D0D" w:rsidR="00466436" w:rsidRDefault="00466436" w:rsidP="00AF4D88">
      <w:pPr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2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32FBF806" w:rsidR="00A86EE5" w:rsidRDefault="00E81B94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A86EE5" w:rsidRPr="00C9708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E81B94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E81B9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E81B9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E81B9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E81B94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yOdRSD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32FBF806" w:rsidR="00A86EE5" w:rsidRDefault="00895E2E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A86EE5" w:rsidRPr="00C9708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895E2E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895E2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895E2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895E2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895E2E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303E5" w14:textId="77777777" w:rsidR="00E81B94" w:rsidRDefault="00E81B94" w:rsidP="000662E2">
      <w:pPr>
        <w:spacing w:after="0" w:line="240" w:lineRule="auto"/>
      </w:pPr>
      <w:r>
        <w:separator/>
      </w:r>
    </w:p>
  </w:endnote>
  <w:endnote w:type="continuationSeparator" w:id="0">
    <w:p w14:paraId="0F9ADD5C" w14:textId="77777777" w:rsidR="00E81B94" w:rsidRDefault="00E81B9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93E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93E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0A8AA" w14:textId="77777777" w:rsidR="00E81B94" w:rsidRDefault="00E81B94" w:rsidP="000662E2">
      <w:pPr>
        <w:spacing w:after="0" w:line="240" w:lineRule="auto"/>
      </w:pPr>
      <w:r>
        <w:separator/>
      </w:r>
    </w:p>
  </w:footnote>
  <w:footnote w:type="continuationSeparator" w:id="0">
    <w:p w14:paraId="3B0A0007" w14:textId="77777777" w:rsidR="00E81B94" w:rsidRDefault="00E81B9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39567A1" w:rsidR="00F37172" w:rsidRPr="00C97596" w:rsidRDefault="00156B4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6FFB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1C6FFB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39567A1" w:rsidR="00F37172" w:rsidRPr="00C97596" w:rsidRDefault="00156B4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6FFB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1C6FFB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9" type="#_x0000_t75" style="width:122.45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5DFC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24334"/>
    <w:rsid w:val="00026077"/>
    <w:rsid w:val="00030C63"/>
    <w:rsid w:val="00030EF4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489B"/>
    <w:rsid w:val="00057748"/>
    <w:rsid w:val="00057CA1"/>
    <w:rsid w:val="000601E5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3C7C"/>
    <w:rsid w:val="00094A75"/>
    <w:rsid w:val="000965D2"/>
    <w:rsid w:val="000A1BA9"/>
    <w:rsid w:val="000A560F"/>
    <w:rsid w:val="000A679B"/>
    <w:rsid w:val="000A6E7C"/>
    <w:rsid w:val="000A6F6A"/>
    <w:rsid w:val="000B0727"/>
    <w:rsid w:val="000B350C"/>
    <w:rsid w:val="000B4E38"/>
    <w:rsid w:val="000B5C5B"/>
    <w:rsid w:val="000B6975"/>
    <w:rsid w:val="000B7243"/>
    <w:rsid w:val="000C135D"/>
    <w:rsid w:val="000C2321"/>
    <w:rsid w:val="000C31CC"/>
    <w:rsid w:val="000C5D21"/>
    <w:rsid w:val="000C61D2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F1ADD"/>
    <w:rsid w:val="000F1C91"/>
    <w:rsid w:val="000F4C7F"/>
    <w:rsid w:val="0010064B"/>
    <w:rsid w:val="00100977"/>
    <w:rsid w:val="001011C3"/>
    <w:rsid w:val="00101CE3"/>
    <w:rsid w:val="0010360C"/>
    <w:rsid w:val="0010783E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415D"/>
    <w:rsid w:val="00136013"/>
    <w:rsid w:val="00136991"/>
    <w:rsid w:val="0013710F"/>
    <w:rsid w:val="00140355"/>
    <w:rsid w:val="001423B6"/>
    <w:rsid w:val="00142EE9"/>
    <w:rsid w:val="001430B0"/>
    <w:rsid w:val="001448A7"/>
    <w:rsid w:val="0014523A"/>
    <w:rsid w:val="001454E4"/>
    <w:rsid w:val="00145D3D"/>
    <w:rsid w:val="00146621"/>
    <w:rsid w:val="00147181"/>
    <w:rsid w:val="00150866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5288"/>
    <w:rsid w:val="0019027D"/>
    <w:rsid w:val="00192219"/>
    <w:rsid w:val="0019280B"/>
    <w:rsid w:val="001951DA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5598"/>
    <w:rsid w:val="00205CB3"/>
    <w:rsid w:val="00205D33"/>
    <w:rsid w:val="0021357F"/>
    <w:rsid w:val="0022042A"/>
    <w:rsid w:val="00220D80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243A"/>
    <w:rsid w:val="00243063"/>
    <w:rsid w:val="00245302"/>
    <w:rsid w:val="00247CBD"/>
    <w:rsid w:val="00250625"/>
    <w:rsid w:val="00252E43"/>
    <w:rsid w:val="00255143"/>
    <w:rsid w:val="002574F9"/>
    <w:rsid w:val="002603B5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52C5"/>
    <w:rsid w:val="00285BE1"/>
    <w:rsid w:val="002866A4"/>
    <w:rsid w:val="00286779"/>
    <w:rsid w:val="00291478"/>
    <w:rsid w:val="002915CD"/>
    <w:rsid w:val="002926DF"/>
    <w:rsid w:val="00293606"/>
    <w:rsid w:val="00294C70"/>
    <w:rsid w:val="002950B8"/>
    <w:rsid w:val="00295714"/>
    <w:rsid w:val="00296697"/>
    <w:rsid w:val="002A51E3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7503"/>
    <w:rsid w:val="002B776D"/>
    <w:rsid w:val="002C1744"/>
    <w:rsid w:val="002C1896"/>
    <w:rsid w:val="002C1D91"/>
    <w:rsid w:val="002C7363"/>
    <w:rsid w:val="002D23A4"/>
    <w:rsid w:val="002D563D"/>
    <w:rsid w:val="002D6ABF"/>
    <w:rsid w:val="002D7BD2"/>
    <w:rsid w:val="002E1DB1"/>
    <w:rsid w:val="002E3889"/>
    <w:rsid w:val="002E3C75"/>
    <w:rsid w:val="002E4972"/>
    <w:rsid w:val="002E57F4"/>
    <w:rsid w:val="002E5E1B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968"/>
    <w:rsid w:val="00306C7C"/>
    <w:rsid w:val="003072A5"/>
    <w:rsid w:val="003114FB"/>
    <w:rsid w:val="0031299A"/>
    <w:rsid w:val="00317BEC"/>
    <w:rsid w:val="0032288C"/>
    <w:rsid w:val="00322AEF"/>
    <w:rsid w:val="00322EDD"/>
    <w:rsid w:val="00324BB4"/>
    <w:rsid w:val="003256D6"/>
    <w:rsid w:val="003277F1"/>
    <w:rsid w:val="00327C12"/>
    <w:rsid w:val="003306A4"/>
    <w:rsid w:val="00332320"/>
    <w:rsid w:val="00334189"/>
    <w:rsid w:val="003349DB"/>
    <w:rsid w:val="00336933"/>
    <w:rsid w:val="00340560"/>
    <w:rsid w:val="00345571"/>
    <w:rsid w:val="00345CE6"/>
    <w:rsid w:val="00346C61"/>
    <w:rsid w:val="00347D72"/>
    <w:rsid w:val="00352FBA"/>
    <w:rsid w:val="00353039"/>
    <w:rsid w:val="00354721"/>
    <w:rsid w:val="00355BF9"/>
    <w:rsid w:val="003572EB"/>
    <w:rsid w:val="00357611"/>
    <w:rsid w:val="00361A98"/>
    <w:rsid w:val="00362AF6"/>
    <w:rsid w:val="0036558D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5FCE"/>
    <w:rsid w:val="00397D18"/>
    <w:rsid w:val="003A0744"/>
    <w:rsid w:val="003A0F2C"/>
    <w:rsid w:val="003A1B36"/>
    <w:rsid w:val="003A2381"/>
    <w:rsid w:val="003A7123"/>
    <w:rsid w:val="003A7EF6"/>
    <w:rsid w:val="003B1454"/>
    <w:rsid w:val="003B1AC9"/>
    <w:rsid w:val="003B61EA"/>
    <w:rsid w:val="003B6336"/>
    <w:rsid w:val="003B6FE1"/>
    <w:rsid w:val="003C1A52"/>
    <w:rsid w:val="003C4B9E"/>
    <w:rsid w:val="003C59E0"/>
    <w:rsid w:val="003C6C8D"/>
    <w:rsid w:val="003C7053"/>
    <w:rsid w:val="003D1259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11FC"/>
    <w:rsid w:val="003F4C97"/>
    <w:rsid w:val="003F5D6C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BF8"/>
    <w:rsid w:val="004307EB"/>
    <w:rsid w:val="00431C02"/>
    <w:rsid w:val="00432A29"/>
    <w:rsid w:val="00435A8A"/>
    <w:rsid w:val="004360B5"/>
    <w:rsid w:val="00436815"/>
    <w:rsid w:val="00437395"/>
    <w:rsid w:val="004437ED"/>
    <w:rsid w:val="00445047"/>
    <w:rsid w:val="00451C94"/>
    <w:rsid w:val="00454766"/>
    <w:rsid w:val="004572C5"/>
    <w:rsid w:val="0046113A"/>
    <w:rsid w:val="00462582"/>
    <w:rsid w:val="00462E49"/>
    <w:rsid w:val="00463E39"/>
    <w:rsid w:val="0046489E"/>
    <w:rsid w:val="00465448"/>
    <w:rsid w:val="004657FC"/>
    <w:rsid w:val="00466436"/>
    <w:rsid w:val="004723E7"/>
    <w:rsid w:val="004733F6"/>
    <w:rsid w:val="004737E3"/>
    <w:rsid w:val="00474E69"/>
    <w:rsid w:val="0048353A"/>
    <w:rsid w:val="004856A4"/>
    <w:rsid w:val="00487448"/>
    <w:rsid w:val="00487ABD"/>
    <w:rsid w:val="004911BC"/>
    <w:rsid w:val="00491933"/>
    <w:rsid w:val="00491A75"/>
    <w:rsid w:val="0049621B"/>
    <w:rsid w:val="004A1806"/>
    <w:rsid w:val="004A3420"/>
    <w:rsid w:val="004A43E5"/>
    <w:rsid w:val="004B1E9D"/>
    <w:rsid w:val="004B55B6"/>
    <w:rsid w:val="004B6BAB"/>
    <w:rsid w:val="004C1895"/>
    <w:rsid w:val="004C19A8"/>
    <w:rsid w:val="004C24DF"/>
    <w:rsid w:val="004C42CE"/>
    <w:rsid w:val="004C4790"/>
    <w:rsid w:val="004C4BC0"/>
    <w:rsid w:val="004C5E68"/>
    <w:rsid w:val="004C63F7"/>
    <w:rsid w:val="004C6D40"/>
    <w:rsid w:val="004D07B3"/>
    <w:rsid w:val="004D1497"/>
    <w:rsid w:val="004D453A"/>
    <w:rsid w:val="004D7594"/>
    <w:rsid w:val="004E0F7F"/>
    <w:rsid w:val="004E514C"/>
    <w:rsid w:val="004E5702"/>
    <w:rsid w:val="004E6362"/>
    <w:rsid w:val="004F0C3C"/>
    <w:rsid w:val="004F2CFF"/>
    <w:rsid w:val="004F63FC"/>
    <w:rsid w:val="004F7147"/>
    <w:rsid w:val="005003A9"/>
    <w:rsid w:val="005003E0"/>
    <w:rsid w:val="005008FB"/>
    <w:rsid w:val="005009C8"/>
    <w:rsid w:val="00500ED7"/>
    <w:rsid w:val="005039FF"/>
    <w:rsid w:val="00505A92"/>
    <w:rsid w:val="0051183A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6109"/>
    <w:rsid w:val="0053725A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6974"/>
    <w:rsid w:val="00556CF1"/>
    <w:rsid w:val="0055773E"/>
    <w:rsid w:val="005646E2"/>
    <w:rsid w:val="0056762A"/>
    <w:rsid w:val="005738DC"/>
    <w:rsid w:val="00574044"/>
    <w:rsid w:val="00574442"/>
    <w:rsid w:val="00575256"/>
    <w:rsid w:val="005762A7"/>
    <w:rsid w:val="00576963"/>
    <w:rsid w:val="00581575"/>
    <w:rsid w:val="00582049"/>
    <w:rsid w:val="00582A99"/>
    <w:rsid w:val="00582C9F"/>
    <w:rsid w:val="00583B4F"/>
    <w:rsid w:val="00586EAF"/>
    <w:rsid w:val="005910F0"/>
    <w:rsid w:val="005916D7"/>
    <w:rsid w:val="00591821"/>
    <w:rsid w:val="00592146"/>
    <w:rsid w:val="00592523"/>
    <w:rsid w:val="005960BB"/>
    <w:rsid w:val="005A698C"/>
    <w:rsid w:val="005B4828"/>
    <w:rsid w:val="005C0B12"/>
    <w:rsid w:val="005C3773"/>
    <w:rsid w:val="005C37C0"/>
    <w:rsid w:val="005C3C97"/>
    <w:rsid w:val="005C4366"/>
    <w:rsid w:val="005D04EC"/>
    <w:rsid w:val="005D3548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0918"/>
    <w:rsid w:val="00601499"/>
    <w:rsid w:val="006032FD"/>
    <w:rsid w:val="006044FF"/>
    <w:rsid w:val="00606E24"/>
    <w:rsid w:val="00607940"/>
    <w:rsid w:val="00607CC5"/>
    <w:rsid w:val="006129CE"/>
    <w:rsid w:val="00613FC9"/>
    <w:rsid w:val="00614A7E"/>
    <w:rsid w:val="00614E38"/>
    <w:rsid w:val="0061519F"/>
    <w:rsid w:val="00616FBD"/>
    <w:rsid w:val="00620C47"/>
    <w:rsid w:val="00620E3F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59CF"/>
    <w:rsid w:val="00642D14"/>
    <w:rsid w:val="006433F3"/>
    <w:rsid w:val="00645ED4"/>
    <w:rsid w:val="00646AD0"/>
    <w:rsid w:val="00654E66"/>
    <w:rsid w:val="006611A0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490E"/>
    <w:rsid w:val="00685CCB"/>
    <w:rsid w:val="006863D3"/>
    <w:rsid w:val="00686659"/>
    <w:rsid w:val="00686A8C"/>
    <w:rsid w:val="00690085"/>
    <w:rsid w:val="0069050C"/>
    <w:rsid w:val="00693D09"/>
    <w:rsid w:val="006948A9"/>
    <w:rsid w:val="00694AF0"/>
    <w:rsid w:val="00696ABE"/>
    <w:rsid w:val="006A1A28"/>
    <w:rsid w:val="006A1A67"/>
    <w:rsid w:val="006A20C0"/>
    <w:rsid w:val="006A561E"/>
    <w:rsid w:val="006A6AB5"/>
    <w:rsid w:val="006B0E9E"/>
    <w:rsid w:val="006B3A3D"/>
    <w:rsid w:val="006B4730"/>
    <w:rsid w:val="006B591B"/>
    <w:rsid w:val="006B5AE4"/>
    <w:rsid w:val="006C2B09"/>
    <w:rsid w:val="006C2C34"/>
    <w:rsid w:val="006C4C28"/>
    <w:rsid w:val="006D0504"/>
    <w:rsid w:val="006D0D0F"/>
    <w:rsid w:val="006D1C4A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5A2F"/>
    <w:rsid w:val="006F676C"/>
    <w:rsid w:val="006F6F19"/>
    <w:rsid w:val="00705796"/>
    <w:rsid w:val="007067DA"/>
    <w:rsid w:val="00710B81"/>
    <w:rsid w:val="0071293F"/>
    <w:rsid w:val="00712C5D"/>
    <w:rsid w:val="007149A9"/>
    <w:rsid w:val="00714CE6"/>
    <w:rsid w:val="007211B1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2E54"/>
    <w:rsid w:val="00734271"/>
    <w:rsid w:val="0074048B"/>
    <w:rsid w:val="00745D56"/>
    <w:rsid w:val="00746187"/>
    <w:rsid w:val="00747112"/>
    <w:rsid w:val="00750B3D"/>
    <w:rsid w:val="00751C3B"/>
    <w:rsid w:val="00752273"/>
    <w:rsid w:val="00755520"/>
    <w:rsid w:val="00755A85"/>
    <w:rsid w:val="007571AC"/>
    <w:rsid w:val="00761614"/>
    <w:rsid w:val="00761645"/>
    <w:rsid w:val="0076254F"/>
    <w:rsid w:val="0076547A"/>
    <w:rsid w:val="00765BA3"/>
    <w:rsid w:val="00767ADB"/>
    <w:rsid w:val="007721D0"/>
    <w:rsid w:val="0077705D"/>
    <w:rsid w:val="00777463"/>
    <w:rsid w:val="007801F5"/>
    <w:rsid w:val="00783CA4"/>
    <w:rsid w:val="00784120"/>
    <w:rsid w:val="007842FB"/>
    <w:rsid w:val="007844B8"/>
    <w:rsid w:val="00786124"/>
    <w:rsid w:val="007909F7"/>
    <w:rsid w:val="007936B6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C0366"/>
    <w:rsid w:val="007C044D"/>
    <w:rsid w:val="007C3305"/>
    <w:rsid w:val="007C5579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62B4"/>
    <w:rsid w:val="007F0EB7"/>
    <w:rsid w:val="007F2194"/>
    <w:rsid w:val="007F324B"/>
    <w:rsid w:val="0080542C"/>
    <w:rsid w:val="0080553C"/>
    <w:rsid w:val="00805B46"/>
    <w:rsid w:val="00810F69"/>
    <w:rsid w:val="0081247C"/>
    <w:rsid w:val="00815BBC"/>
    <w:rsid w:val="00817288"/>
    <w:rsid w:val="00821B14"/>
    <w:rsid w:val="008226A0"/>
    <w:rsid w:val="00822FFD"/>
    <w:rsid w:val="00825DC2"/>
    <w:rsid w:val="00826188"/>
    <w:rsid w:val="00830E1F"/>
    <w:rsid w:val="0083251A"/>
    <w:rsid w:val="00834AD3"/>
    <w:rsid w:val="00835628"/>
    <w:rsid w:val="00843287"/>
    <w:rsid w:val="00843795"/>
    <w:rsid w:val="0084425E"/>
    <w:rsid w:val="00844FE1"/>
    <w:rsid w:val="0084554C"/>
    <w:rsid w:val="008468E2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130"/>
    <w:rsid w:val="00866902"/>
    <w:rsid w:val="00866929"/>
    <w:rsid w:val="0086693E"/>
    <w:rsid w:val="00870C6F"/>
    <w:rsid w:val="008750F1"/>
    <w:rsid w:val="008806DA"/>
    <w:rsid w:val="0088146D"/>
    <w:rsid w:val="0088258A"/>
    <w:rsid w:val="00886332"/>
    <w:rsid w:val="00895E2E"/>
    <w:rsid w:val="008A0A3E"/>
    <w:rsid w:val="008A0ABF"/>
    <w:rsid w:val="008A1520"/>
    <w:rsid w:val="008A26D9"/>
    <w:rsid w:val="008A27F4"/>
    <w:rsid w:val="008A45EB"/>
    <w:rsid w:val="008A4E4E"/>
    <w:rsid w:val="008B0565"/>
    <w:rsid w:val="008B2647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C7"/>
    <w:rsid w:val="008D25E1"/>
    <w:rsid w:val="008D3407"/>
    <w:rsid w:val="008D39DA"/>
    <w:rsid w:val="008E1991"/>
    <w:rsid w:val="008E5058"/>
    <w:rsid w:val="008E52C1"/>
    <w:rsid w:val="008E54A7"/>
    <w:rsid w:val="008E5D15"/>
    <w:rsid w:val="008E6B39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5C2"/>
    <w:rsid w:val="008F76CA"/>
    <w:rsid w:val="00903A98"/>
    <w:rsid w:val="00910C7A"/>
    <w:rsid w:val="00910C93"/>
    <w:rsid w:val="009127BA"/>
    <w:rsid w:val="0091334C"/>
    <w:rsid w:val="009146AF"/>
    <w:rsid w:val="00916F28"/>
    <w:rsid w:val="009201F5"/>
    <w:rsid w:val="00920414"/>
    <w:rsid w:val="0092187A"/>
    <w:rsid w:val="00922181"/>
    <w:rsid w:val="009227A6"/>
    <w:rsid w:val="00922CF5"/>
    <w:rsid w:val="00926AD9"/>
    <w:rsid w:val="00930AA6"/>
    <w:rsid w:val="00933EC1"/>
    <w:rsid w:val="0094069B"/>
    <w:rsid w:val="00940A74"/>
    <w:rsid w:val="00943110"/>
    <w:rsid w:val="0094373E"/>
    <w:rsid w:val="00943F94"/>
    <w:rsid w:val="00945005"/>
    <w:rsid w:val="00945E5B"/>
    <w:rsid w:val="00950489"/>
    <w:rsid w:val="00950587"/>
    <w:rsid w:val="00952587"/>
    <w:rsid w:val="00952A53"/>
    <w:rsid w:val="00952D6C"/>
    <w:rsid w:val="009530DB"/>
    <w:rsid w:val="00953676"/>
    <w:rsid w:val="00954DB9"/>
    <w:rsid w:val="00954ECC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10F2"/>
    <w:rsid w:val="009B7A1C"/>
    <w:rsid w:val="009C1335"/>
    <w:rsid w:val="009C1AB2"/>
    <w:rsid w:val="009C2930"/>
    <w:rsid w:val="009C7251"/>
    <w:rsid w:val="009D6273"/>
    <w:rsid w:val="009D6BB2"/>
    <w:rsid w:val="009E2E91"/>
    <w:rsid w:val="009E54FD"/>
    <w:rsid w:val="009E5D8D"/>
    <w:rsid w:val="009F130E"/>
    <w:rsid w:val="009F1ED9"/>
    <w:rsid w:val="009F2359"/>
    <w:rsid w:val="009F31D8"/>
    <w:rsid w:val="009F6370"/>
    <w:rsid w:val="009F65D9"/>
    <w:rsid w:val="009F7484"/>
    <w:rsid w:val="00A01131"/>
    <w:rsid w:val="00A0265A"/>
    <w:rsid w:val="00A033AC"/>
    <w:rsid w:val="00A03CE5"/>
    <w:rsid w:val="00A04979"/>
    <w:rsid w:val="00A078C5"/>
    <w:rsid w:val="00A12369"/>
    <w:rsid w:val="00A12A9B"/>
    <w:rsid w:val="00A13062"/>
    <w:rsid w:val="00A138E3"/>
    <w:rsid w:val="00A139F5"/>
    <w:rsid w:val="00A15865"/>
    <w:rsid w:val="00A158DA"/>
    <w:rsid w:val="00A17E5E"/>
    <w:rsid w:val="00A23F14"/>
    <w:rsid w:val="00A23F21"/>
    <w:rsid w:val="00A2617D"/>
    <w:rsid w:val="00A26D0E"/>
    <w:rsid w:val="00A304E0"/>
    <w:rsid w:val="00A35DA0"/>
    <w:rsid w:val="00A365F4"/>
    <w:rsid w:val="00A403C5"/>
    <w:rsid w:val="00A40B03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4861"/>
    <w:rsid w:val="00A86882"/>
    <w:rsid w:val="00A86ECC"/>
    <w:rsid w:val="00A86EE5"/>
    <w:rsid w:val="00A86FCC"/>
    <w:rsid w:val="00A90CC1"/>
    <w:rsid w:val="00A915FB"/>
    <w:rsid w:val="00A923E0"/>
    <w:rsid w:val="00A947FD"/>
    <w:rsid w:val="00A95DA7"/>
    <w:rsid w:val="00AA2B3D"/>
    <w:rsid w:val="00AA2F7E"/>
    <w:rsid w:val="00AA710D"/>
    <w:rsid w:val="00AB0EA5"/>
    <w:rsid w:val="00AB1818"/>
    <w:rsid w:val="00AB2BB4"/>
    <w:rsid w:val="00AB6D25"/>
    <w:rsid w:val="00AB71B9"/>
    <w:rsid w:val="00AC0BE4"/>
    <w:rsid w:val="00AC6DB5"/>
    <w:rsid w:val="00AC7562"/>
    <w:rsid w:val="00AC7A99"/>
    <w:rsid w:val="00AC7FD1"/>
    <w:rsid w:val="00AD18F9"/>
    <w:rsid w:val="00AD6DD9"/>
    <w:rsid w:val="00AD71F9"/>
    <w:rsid w:val="00AE0B00"/>
    <w:rsid w:val="00AE2923"/>
    <w:rsid w:val="00AE2D4B"/>
    <w:rsid w:val="00AE3EC4"/>
    <w:rsid w:val="00AE4F99"/>
    <w:rsid w:val="00AF1004"/>
    <w:rsid w:val="00AF4D88"/>
    <w:rsid w:val="00AF530E"/>
    <w:rsid w:val="00AF6A50"/>
    <w:rsid w:val="00B02D75"/>
    <w:rsid w:val="00B03AC3"/>
    <w:rsid w:val="00B043C2"/>
    <w:rsid w:val="00B050AA"/>
    <w:rsid w:val="00B06076"/>
    <w:rsid w:val="00B116DF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34AE"/>
    <w:rsid w:val="00B34B6E"/>
    <w:rsid w:val="00B41FF0"/>
    <w:rsid w:val="00B44EA2"/>
    <w:rsid w:val="00B53268"/>
    <w:rsid w:val="00B56E8A"/>
    <w:rsid w:val="00B57C5D"/>
    <w:rsid w:val="00B62AE2"/>
    <w:rsid w:val="00B62D21"/>
    <w:rsid w:val="00B63383"/>
    <w:rsid w:val="00B63830"/>
    <w:rsid w:val="00B64608"/>
    <w:rsid w:val="00B646D7"/>
    <w:rsid w:val="00B6471C"/>
    <w:rsid w:val="00B653AB"/>
    <w:rsid w:val="00B65525"/>
    <w:rsid w:val="00B65F9E"/>
    <w:rsid w:val="00B66B19"/>
    <w:rsid w:val="00B716A8"/>
    <w:rsid w:val="00B7176D"/>
    <w:rsid w:val="00B801D6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2BA1"/>
    <w:rsid w:val="00BA366D"/>
    <w:rsid w:val="00BA44E4"/>
    <w:rsid w:val="00BA4DB3"/>
    <w:rsid w:val="00BA5703"/>
    <w:rsid w:val="00BA616E"/>
    <w:rsid w:val="00BA6AA2"/>
    <w:rsid w:val="00BA72E3"/>
    <w:rsid w:val="00BB06CC"/>
    <w:rsid w:val="00BB1E63"/>
    <w:rsid w:val="00BB2312"/>
    <w:rsid w:val="00BB264F"/>
    <w:rsid w:val="00BB4F09"/>
    <w:rsid w:val="00BB5B7D"/>
    <w:rsid w:val="00BD10FC"/>
    <w:rsid w:val="00BD1F9B"/>
    <w:rsid w:val="00BD22F4"/>
    <w:rsid w:val="00BD4D47"/>
    <w:rsid w:val="00BD4E33"/>
    <w:rsid w:val="00BD58DB"/>
    <w:rsid w:val="00BD59F5"/>
    <w:rsid w:val="00BD7860"/>
    <w:rsid w:val="00BE039A"/>
    <w:rsid w:val="00BE0F8E"/>
    <w:rsid w:val="00BF01AE"/>
    <w:rsid w:val="00BF0ED9"/>
    <w:rsid w:val="00BF347F"/>
    <w:rsid w:val="00BF37C0"/>
    <w:rsid w:val="00BF49E9"/>
    <w:rsid w:val="00BF5F94"/>
    <w:rsid w:val="00C015D9"/>
    <w:rsid w:val="00C030DE"/>
    <w:rsid w:val="00C04BC7"/>
    <w:rsid w:val="00C04E8D"/>
    <w:rsid w:val="00C069C9"/>
    <w:rsid w:val="00C10012"/>
    <w:rsid w:val="00C11396"/>
    <w:rsid w:val="00C11430"/>
    <w:rsid w:val="00C1271C"/>
    <w:rsid w:val="00C13BFF"/>
    <w:rsid w:val="00C16EA5"/>
    <w:rsid w:val="00C20241"/>
    <w:rsid w:val="00C22105"/>
    <w:rsid w:val="00C244B6"/>
    <w:rsid w:val="00C2579D"/>
    <w:rsid w:val="00C25932"/>
    <w:rsid w:val="00C27ECF"/>
    <w:rsid w:val="00C3702F"/>
    <w:rsid w:val="00C424B8"/>
    <w:rsid w:val="00C43A7A"/>
    <w:rsid w:val="00C468F0"/>
    <w:rsid w:val="00C50BAE"/>
    <w:rsid w:val="00C51DAA"/>
    <w:rsid w:val="00C549E4"/>
    <w:rsid w:val="00C55B8A"/>
    <w:rsid w:val="00C60255"/>
    <w:rsid w:val="00C64A37"/>
    <w:rsid w:val="00C655A9"/>
    <w:rsid w:val="00C659E2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4AE0"/>
    <w:rsid w:val="00C864AE"/>
    <w:rsid w:val="00C91687"/>
    <w:rsid w:val="00C924A8"/>
    <w:rsid w:val="00C93413"/>
    <w:rsid w:val="00C9433B"/>
    <w:rsid w:val="00C945FE"/>
    <w:rsid w:val="00C95A53"/>
    <w:rsid w:val="00C9660B"/>
    <w:rsid w:val="00C96FAA"/>
    <w:rsid w:val="00C97083"/>
    <w:rsid w:val="00C97A04"/>
    <w:rsid w:val="00CA0EAA"/>
    <w:rsid w:val="00CA107B"/>
    <w:rsid w:val="00CA353E"/>
    <w:rsid w:val="00CA3684"/>
    <w:rsid w:val="00CA484D"/>
    <w:rsid w:val="00CB015D"/>
    <w:rsid w:val="00CB047F"/>
    <w:rsid w:val="00CB26D1"/>
    <w:rsid w:val="00CB5B77"/>
    <w:rsid w:val="00CC177B"/>
    <w:rsid w:val="00CC183C"/>
    <w:rsid w:val="00CC44C5"/>
    <w:rsid w:val="00CC739E"/>
    <w:rsid w:val="00CC75C3"/>
    <w:rsid w:val="00CD16F8"/>
    <w:rsid w:val="00CD1C0D"/>
    <w:rsid w:val="00CD3429"/>
    <w:rsid w:val="00CD3A61"/>
    <w:rsid w:val="00CD3B93"/>
    <w:rsid w:val="00CD4B1C"/>
    <w:rsid w:val="00CD58B7"/>
    <w:rsid w:val="00CD5A25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2766"/>
    <w:rsid w:val="00D14B9F"/>
    <w:rsid w:val="00D16BE7"/>
    <w:rsid w:val="00D16EB8"/>
    <w:rsid w:val="00D1791C"/>
    <w:rsid w:val="00D22584"/>
    <w:rsid w:val="00D261A2"/>
    <w:rsid w:val="00D34BF1"/>
    <w:rsid w:val="00D350AE"/>
    <w:rsid w:val="00D36A60"/>
    <w:rsid w:val="00D37979"/>
    <w:rsid w:val="00D37BCE"/>
    <w:rsid w:val="00D40738"/>
    <w:rsid w:val="00D434EF"/>
    <w:rsid w:val="00D4361F"/>
    <w:rsid w:val="00D46AF7"/>
    <w:rsid w:val="00D50BF0"/>
    <w:rsid w:val="00D51022"/>
    <w:rsid w:val="00D54B06"/>
    <w:rsid w:val="00D616D2"/>
    <w:rsid w:val="00D62D6E"/>
    <w:rsid w:val="00D63B5F"/>
    <w:rsid w:val="00D6450A"/>
    <w:rsid w:val="00D653A7"/>
    <w:rsid w:val="00D67AE8"/>
    <w:rsid w:val="00D70EF7"/>
    <w:rsid w:val="00D7204F"/>
    <w:rsid w:val="00D8397C"/>
    <w:rsid w:val="00D87CBC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7F78"/>
    <w:rsid w:val="00DC0007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17B7"/>
    <w:rsid w:val="00DF20A1"/>
    <w:rsid w:val="00DF2B55"/>
    <w:rsid w:val="00DF3177"/>
    <w:rsid w:val="00DF45C5"/>
    <w:rsid w:val="00DF4C87"/>
    <w:rsid w:val="00E00EE5"/>
    <w:rsid w:val="00E01436"/>
    <w:rsid w:val="00E021BD"/>
    <w:rsid w:val="00E02330"/>
    <w:rsid w:val="00E045BD"/>
    <w:rsid w:val="00E05433"/>
    <w:rsid w:val="00E06481"/>
    <w:rsid w:val="00E06DE1"/>
    <w:rsid w:val="00E10389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47C"/>
    <w:rsid w:val="00E4295D"/>
    <w:rsid w:val="00E42FF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1995"/>
    <w:rsid w:val="00E7242F"/>
    <w:rsid w:val="00E73672"/>
    <w:rsid w:val="00E75536"/>
    <w:rsid w:val="00E76D26"/>
    <w:rsid w:val="00E80378"/>
    <w:rsid w:val="00E81482"/>
    <w:rsid w:val="00E81B94"/>
    <w:rsid w:val="00E83224"/>
    <w:rsid w:val="00E83C71"/>
    <w:rsid w:val="00E86EA9"/>
    <w:rsid w:val="00EA0731"/>
    <w:rsid w:val="00EA34D5"/>
    <w:rsid w:val="00EA55C6"/>
    <w:rsid w:val="00EA738B"/>
    <w:rsid w:val="00EA75D4"/>
    <w:rsid w:val="00EA7777"/>
    <w:rsid w:val="00EB06B4"/>
    <w:rsid w:val="00EB1390"/>
    <w:rsid w:val="00EB1FCF"/>
    <w:rsid w:val="00EB2C71"/>
    <w:rsid w:val="00EB32BB"/>
    <w:rsid w:val="00EB4340"/>
    <w:rsid w:val="00EB556D"/>
    <w:rsid w:val="00EB5A7D"/>
    <w:rsid w:val="00EB6683"/>
    <w:rsid w:val="00EC08F7"/>
    <w:rsid w:val="00EC2F3A"/>
    <w:rsid w:val="00EC354D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48C7"/>
    <w:rsid w:val="00EF5731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5F99"/>
    <w:rsid w:val="00F15FE8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549"/>
    <w:rsid w:val="00F37172"/>
    <w:rsid w:val="00F439F8"/>
    <w:rsid w:val="00F4477E"/>
    <w:rsid w:val="00F45513"/>
    <w:rsid w:val="00F45CCA"/>
    <w:rsid w:val="00F462FF"/>
    <w:rsid w:val="00F50A20"/>
    <w:rsid w:val="00F53C2E"/>
    <w:rsid w:val="00F554EF"/>
    <w:rsid w:val="00F60878"/>
    <w:rsid w:val="00F642C8"/>
    <w:rsid w:val="00F65F91"/>
    <w:rsid w:val="00F6648C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580C"/>
    <w:rsid w:val="00FC6644"/>
    <w:rsid w:val="00FD050E"/>
    <w:rsid w:val="00FD0AAC"/>
    <w:rsid w:val="00FD0C67"/>
    <w:rsid w:val="00FD122C"/>
    <w:rsid w:val="00FD16FF"/>
    <w:rsid w:val="00FD1932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hyperlink" Target="https://stat.gov.pl/obszary-tematyczne/inne-opracowania/informacje-o-sytuacji-spoleczno-gospodarczej/biuletyn-statystyczny-nr-122019,4,95.html" TargetMode="External"/><Relationship Id="rId39" Type="http://schemas.openxmlformats.org/officeDocument/2006/relationships/fontTable" Target="fontTable.xml"/><Relationship Id="rId21" Type="http://schemas.openxmlformats.org/officeDocument/2006/relationships/footer" Target="footer2.xml"/><Relationship Id="rId34" Type="http://schemas.openxmlformats.org/officeDocument/2006/relationships/hyperlink" Target="http://swaid.stat.gov.pl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hyperlink" Target="http://stat.gov.pl/sygnalne/informacje-sygnalne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1.png"/><Relationship Id="rId32" Type="http://schemas.openxmlformats.org/officeDocument/2006/relationships/hyperlink" Target="https://stat.gov.pl/obszary-tematyczne/inne-opracowania/informacje-o-sytuacji-spoleczno-gospodarczej/biuletyn-statystyczny-nr-122019,4,95.html" TargetMode="External"/><Relationship Id="rId37" Type="http://schemas.openxmlformats.org/officeDocument/2006/relationships/hyperlink" Target="http://stat.gov.pl/metainformacje/slownik-pojec/pojecia-stosowane-w-statystyce-publicznej/70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709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065D75-9349-41E8-8C9C-46C6B31A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4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produkcji budowlano-montażowej w styczniu 2020 roku</dc:title>
  <dc:subject/>
  <cp:keywords/>
  <dc:description/>
  <cp:lastPrinted>2020-02-19T09:18:00Z</cp:lastPrinted>
  <dcterms:created xsi:type="dcterms:W3CDTF">2019-11-21T10:19:00Z</dcterms:created>
  <dcterms:modified xsi:type="dcterms:W3CDTF">2020-02-20T07:47:00Z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