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5B030E8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947B1">
        <w:t>w</w:t>
      </w:r>
      <w:r w:rsidR="00677859" w:rsidRPr="00C947B1">
        <w:t xml:space="preserve"> </w:t>
      </w:r>
      <w:r w:rsidR="00551CC6" w:rsidRPr="00C947B1">
        <w:t>listopadzie 2020 r</w:t>
      </w:r>
      <w:r w:rsidR="008870E8" w:rsidRPr="00C947B1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1D6BBA78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4E13C6B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CC21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CC21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060FF" w:rsidRPr="00CC21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0348F6" w:rsidRPr="00CC21A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3512F18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5F29D7">
                              <w:t>listopadem</w:t>
                            </w:r>
                            <w:r w:rsidR="00BD13FF">
                              <w:t xml:space="preserve"> 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24E13C6B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4" name="Obraz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CC21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CC21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060FF" w:rsidRPr="00CC21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0348F6" w:rsidRPr="00CC21A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3512F18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5F29D7">
                        <w:t>listopadem</w:t>
                      </w:r>
                      <w:r w:rsidR="00BD13FF">
                        <w:t xml:space="preserve"> 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7785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70E8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listopadzie</w:t>
      </w:r>
      <w:r w:rsidR="00954DB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BF3793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F2B86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6359CF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83A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październikiem</w:t>
      </w:r>
      <w:r w:rsidR="00C54E3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2F2B86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2F2B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00212432" w:rsidR="00620C47" w:rsidRPr="009B7A1C" w:rsidRDefault="00620C47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</w:t>
      </w:r>
      <w:r w:rsidR="00CC21AC">
        <w:rPr>
          <w:shd w:val="clear" w:color="auto" w:fill="FFFFFF"/>
        </w:rPr>
        <w:t xml:space="preserve"> budowy </w:t>
      </w:r>
      <w:r w:rsidR="00CC21AC" w:rsidRPr="009B7A1C">
        <w:rPr>
          <w:shd w:val="clear" w:color="auto" w:fill="FFFFFF"/>
        </w:rPr>
        <w:t>obiektów inżynierii lądowej</w:t>
      </w:r>
      <w:r w:rsidR="00CC21AC">
        <w:rPr>
          <w:shd w:val="clear" w:color="auto" w:fill="FFFFFF"/>
        </w:rPr>
        <w:t xml:space="preserve"> </w:t>
      </w:r>
      <w:r w:rsidR="00CC21AC" w:rsidRPr="00C264A5">
        <w:rPr>
          <w:shd w:val="clear" w:color="auto" w:fill="FFFFFF"/>
        </w:rPr>
        <w:t>i </w:t>
      </w:r>
      <w:r w:rsidR="00CC21AC" w:rsidRPr="000607AB">
        <w:rPr>
          <w:shd w:val="clear" w:color="auto" w:fill="FFFFFF"/>
        </w:rPr>
        <w:t>wodnej</w:t>
      </w:r>
      <w:r w:rsidR="00CC21AC">
        <w:rPr>
          <w:shd w:val="clear" w:color="auto" w:fill="FFFFFF"/>
        </w:rPr>
        <w:t xml:space="preserve"> </w:t>
      </w:r>
      <w:r w:rsidR="00CC21AC" w:rsidRPr="00CC21AC">
        <w:rPr>
          <w:shd w:val="clear" w:color="auto" w:fill="FFFFFF"/>
        </w:rPr>
        <w:t>o 0,2%</w:t>
      </w:r>
      <w:r w:rsidR="002C236A">
        <w:rPr>
          <w:shd w:val="clear" w:color="auto" w:fill="FFFFFF"/>
        </w:rPr>
        <w:t>, a także</w:t>
      </w:r>
      <w:r w:rsidR="0049514E" w:rsidRPr="0049514E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budowy </w:t>
      </w:r>
      <w:r w:rsidR="0049514E" w:rsidRPr="00AA2F7E">
        <w:rPr>
          <w:shd w:val="clear" w:color="auto" w:fill="FFFFFF"/>
        </w:rPr>
        <w:t>budynków</w:t>
      </w:r>
      <w:r w:rsidR="002C236A">
        <w:rPr>
          <w:shd w:val="clear" w:color="auto" w:fill="FFFFFF"/>
        </w:rPr>
        <w:t xml:space="preserve"> i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>
        <w:rPr>
          <w:shd w:val="clear" w:color="auto" w:fill="FFFFFF"/>
        </w:rPr>
        <w:t>-</w:t>
      </w:r>
      <w:r w:rsidR="00E44F2E" w:rsidRPr="00E44F2E">
        <w:rPr>
          <w:shd w:val="clear" w:color="auto" w:fill="FFFFFF"/>
        </w:rPr>
        <w:t xml:space="preserve"> po 0,1%</w:t>
      </w:r>
      <w:r w:rsidR="0049514E" w:rsidRPr="00E44F2E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7573BC4B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1D2F4B">
        <w:rPr>
          <w:shd w:val="clear" w:color="auto" w:fill="FFFFFF"/>
        </w:rPr>
        <w:t>z</w:t>
      </w:r>
      <w:r w:rsidR="00135B7C" w:rsidRPr="001D2F4B">
        <w:rPr>
          <w:shd w:val="clear" w:color="auto" w:fill="FFFFFF"/>
        </w:rPr>
        <w:t xml:space="preserve"> </w:t>
      </w:r>
      <w:r w:rsidR="007678ED" w:rsidRPr="001D2F4B">
        <w:rPr>
          <w:shd w:val="clear" w:color="auto" w:fill="FFFFFF"/>
        </w:rPr>
        <w:t>listopadem</w:t>
      </w:r>
      <w:r w:rsidR="00547906" w:rsidRPr="001D2F4B">
        <w:rPr>
          <w:shd w:val="clear" w:color="auto" w:fill="FFFFFF"/>
        </w:rPr>
        <w:t xml:space="preserve"> </w:t>
      </w:r>
      <w:r w:rsidR="00535396" w:rsidRPr="001D2F4B">
        <w:rPr>
          <w:shd w:val="clear" w:color="auto" w:fill="FFFFFF"/>
        </w:rPr>
        <w:t>201</w:t>
      </w:r>
      <w:r w:rsidR="007C5579" w:rsidRPr="001D2F4B">
        <w:rPr>
          <w:shd w:val="clear" w:color="auto" w:fill="FFFFFF"/>
        </w:rPr>
        <w:t>9</w:t>
      </w:r>
      <w:r w:rsidR="00B65B8C" w:rsidRPr="001D2F4B">
        <w:rPr>
          <w:shd w:val="clear" w:color="auto" w:fill="FFFFFF"/>
        </w:rPr>
        <w:t xml:space="preserve"> </w:t>
      </w:r>
      <w:r w:rsidR="00535396" w:rsidRPr="001D2F4B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 xml:space="preserve">budynków </w:t>
      </w:r>
      <w:r w:rsidR="005B707B">
        <w:rPr>
          <w:shd w:val="clear" w:color="auto" w:fill="FFFFFF"/>
        </w:rPr>
        <w:t xml:space="preserve">oraz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C1213F" w:rsidRPr="00947EA8">
        <w:rPr>
          <w:shd w:val="clear" w:color="auto" w:fill="FFFFFF"/>
        </w:rPr>
        <w:t xml:space="preserve"> </w:t>
      </w:r>
      <w:r w:rsidR="005B707B" w:rsidRPr="005B707B">
        <w:rPr>
          <w:shd w:val="clear" w:color="auto" w:fill="FFFFFF"/>
        </w:rPr>
        <w:t>p</w:t>
      </w:r>
      <w:r w:rsidR="00C1213F" w:rsidRPr="005B707B">
        <w:rPr>
          <w:shd w:val="clear" w:color="auto" w:fill="FFFFFF"/>
        </w:rPr>
        <w:t>o 2</w:t>
      </w:r>
      <w:r w:rsidR="005B707B" w:rsidRPr="005B707B">
        <w:rPr>
          <w:shd w:val="clear" w:color="auto" w:fill="FFFFFF"/>
        </w:rPr>
        <w:t>,5</w:t>
      </w:r>
      <w:r w:rsidR="007635E7" w:rsidRPr="005B707B">
        <w:rPr>
          <w:shd w:val="clear" w:color="auto" w:fill="FFFFFF"/>
        </w:rPr>
        <w:t>%</w:t>
      </w:r>
      <w:r w:rsidR="00175FA9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F12C5A">
        <w:rPr>
          <w:shd w:val="clear" w:color="auto" w:fill="FFFFFF"/>
        </w:rPr>
        <w:t xml:space="preserve"> </w:t>
      </w:r>
      <w:r w:rsidR="004B5E5B">
        <w:rPr>
          <w:shd w:val="clear" w:color="auto" w:fill="FFFFFF"/>
        </w:rPr>
        <w:t>-</w:t>
      </w:r>
      <w:r w:rsidR="008515F1">
        <w:rPr>
          <w:shd w:val="clear" w:color="auto" w:fill="FFFFFF"/>
        </w:rPr>
        <w:t xml:space="preserve"> </w:t>
      </w:r>
      <w:r w:rsidR="00705796" w:rsidRPr="004B5E5B">
        <w:rPr>
          <w:shd w:val="clear" w:color="auto" w:fill="FFFFFF"/>
        </w:rPr>
        <w:t xml:space="preserve">o </w:t>
      </w:r>
      <w:r w:rsidR="00322AEF" w:rsidRPr="004B5E5B">
        <w:rPr>
          <w:shd w:val="clear" w:color="auto" w:fill="FFFFFF"/>
        </w:rPr>
        <w:t>2</w:t>
      </w:r>
      <w:r w:rsidR="00705796" w:rsidRPr="004B5E5B">
        <w:rPr>
          <w:shd w:val="clear" w:color="auto" w:fill="FFFFFF"/>
        </w:rPr>
        <w:t>,</w:t>
      </w:r>
      <w:r w:rsidR="004B5E5B" w:rsidRPr="004B5E5B">
        <w:rPr>
          <w:shd w:val="clear" w:color="auto" w:fill="FFFFFF"/>
        </w:rPr>
        <w:t>0</w:t>
      </w:r>
      <w:r w:rsidR="00F12C5A" w:rsidRPr="004B5E5B">
        <w:rPr>
          <w:shd w:val="clear" w:color="auto" w:fill="FFFFFF"/>
        </w:rPr>
        <w:t>%</w:t>
      </w:r>
      <w:r w:rsidR="00B50F19" w:rsidRPr="004B5E5B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7317E142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524189">
        <w:rPr>
          <w:b/>
          <w:shd w:val="clear" w:color="auto" w:fill="FFFFFF"/>
        </w:rPr>
        <w:t>w</w:t>
      </w:r>
      <w:r w:rsidR="00BD13FF" w:rsidRPr="00524189">
        <w:rPr>
          <w:b/>
          <w:shd w:val="clear" w:color="auto" w:fill="FFFFFF"/>
        </w:rPr>
        <w:t xml:space="preserve"> </w:t>
      </w:r>
      <w:r w:rsidR="002F548C" w:rsidRPr="00524189">
        <w:rPr>
          <w:b/>
          <w:shd w:val="clear" w:color="auto" w:fill="FFFFFF"/>
        </w:rPr>
        <w:t xml:space="preserve"> </w:t>
      </w:r>
      <w:r w:rsidR="007678ED" w:rsidRPr="00524189">
        <w:rPr>
          <w:b/>
          <w:shd w:val="clear" w:color="auto" w:fill="FFFFFF"/>
        </w:rPr>
        <w:t>listopadzie</w:t>
      </w:r>
      <w:r w:rsidR="00BD13FF" w:rsidRPr="00524189">
        <w:rPr>
          <w:b/>
          <w:shd w:val="clear" w:color="auto" w:fill="FFFFFF"/>
        </w:rPr>
        <w:t xml:space="preserve"> </w:t>
      </w:r>
      <w:r w:rsidR="002A6624" w:rsidRPr="00524189">
        <w:rPr>
          <w:b/>
          <w:shd w:val="clear" w:color="auto" w:fill="FFFFFF"/>
        </w:rPr>
        <w:t xml:space="preserve"> </w:t>
      </w:r>
      <w:r w:rsidRPr="00524189">
        <w:rPr>
          <w:b/>
          <w:shd w:val="clear" w:color="auto" w:fill="FFFFFF"/>
        </w:rPr>
        <w:t>20</w:t>
      </w:r>
      <w:r w:rsidR="007C5579" w:rsidRPr="00524189">
        <w:rPr>
          <w:b/>
          <w:shd w:val="clear" w:color="auto" w:fill="FFFFFF"/>
        </w:rPr>
        <w:t>20</w:t>
      </w:r>
      <w:r w:rsidRPr="00524189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762999AF" w:rsidR="00B7285D" w:rsidRPr="00401A71" w:rsidRDefault="00BD13FF" w:rsidP="00BD13FF">
            <w:pPr>
              <w:jc w:val="center"/>
              <w:rPr>
                <w:shd w:val="clear" w:color="auto" w:fill="FFFFFF"/>
              </w:rPr>
            </w:pPr>
            <w:r w:rsidRPr="00401A71">
              <w:rPr>
                <w:color w:val="000000" w:themeColor="text1"/>
                <w:sz w:val="16"/>
                <w:szCs w:val="16"/>
              </w:rPr>
              <w:t>X</w:t>
            </w:r>
            <w:r w:rsidR="00B7285D" w:rsidRPr="00401A71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0059CBCC" w14:textId="504D46FC" w:rsidR="00B7285D" w:rsidRPr="00401A71" w:rsidRDefault="002F548C" w:rsidP="00EF5A2A">
            <w:pPr>
              <w:jc w:val="center"/>
              <w:rPr>
                <w:shd w:val="clear" w:color="auto" w:fill="FFFFFF"/>
              </w:rPr>
            </w:pPr>
            <w:r w:rsidRPr="00401A71">
              <w:rPr>
                <w:color w:val="000000" w:themeColor="text1"/>
                <w:sz w:val="16"/>
                <w:szCs w:val="16"/>
              </w:rPr>
              <w:t>X</w:t>
            </w:r>
            <w:r w:rsidR="007678ED" w:rsidRPr="00401A71">
              <w:rPr>
                <w:color w:val="000000" w:themeColor="text1"/>
                <w:sz w:val="16"/>
                <w:szCs w:val="16"/>
              </w:rPr>
              <w:t>I</w:t>
            </w:r>
            <w:r w:rsidR="00EF5A2A" w:rsidRPr="00401A71">
              <w:rPr>
                <w:color w:val="000000" w:themeColor="text1"/>
                <w:sz w:val="16"/>
                <w:szCs w:val="16"/>
              </w:rPr>
              <w:t xml:space="preserve"> </w:t>
            </w:r>
            <w:r w:rsidR="00B7285D" w:rsidRPr="00401A71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53" w:type="dxa"/>
          </w:tcPr>
          <w:p w14:paraId="0FEC03C4" w14:textId="0839BE09" w:rsidR="00B7285D" w:rsidRPr="00401A71" w:rsidRDefault="00B7285D" w:rsidP="00BD13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01A71">
              <w:rPr>
                <w:color w:val="000000" w:themeColor="text1"/>
                <w:sz w:val="16"/>
                <w:szCs w:val="16"/>
              </w:rPr>
              <w:t>I-</w:t>
            </w:r>
            <w:r w:rsidR="0089084A" w:rsidRPr="00401A71">
              <w:rPr>
                <w:color w:val="000000" w:themeColor="text1"/>
                <w:sz w:val="16"/>
                <w:szCs w:val="16"/>
              </w:rPr>
              <w:t>X</w:t>
            </w:r>
            <w:r w:rsidR="00985589" w:rsidRPr="00401A71">
              <w:rPr>
                <w:color w:val="000000" w:themeColor="text1"/>
                <w:sz w:val="16"/>
                <w:szCs w:val="16"/>
              </w:rPr>
              <w:t>I</w:t>
            </w:r>
            <w:r w:rsidRPr="00401A71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6C5692DE" w:rsidR="00B7285D" w:rsidRPr="00401A71" w:rsidRDefault="007678ED" w:rsidP="00C75936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401A71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B357FE" w:rsidRPr="00401A71">
              <w:rPr>
                <w:color w:val="000000" w:themeColor="text1"/>
                <w:spacing w:val="-12"/>
                <w:sz w:val="16"/>
                <w:szCs w:val="16"/>
              </w:rPr>
              <w:t>2020</w:t>
            </w:r>
            <w:r w:rsidR="00B7285D" w:rsidRPr="00401A71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401A71" w:rsidRDefault="00B7285D" w:rsidP="00B2504D">
            <w:pPr>
              <w:jc w:val="center"/>
              <w:rPr>
                <w:shd w:val="clear" w:color="auto" w:fill="FFFFFF"/>
              </w:rPr>
            </w:pPr>
            <w:r w:rsidRPr="00401A71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3E9228F3" w:rsidR="00B7285D" w:rsidRPr="00401A71" w:rsidRDefault="00BD13FF" w:rsidP="00BD13F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401A71">
              <w:rPr>
                <w:color w:val="000000" w:themeColor="text1"/>
                <w:spacing w:val="-12"/>
                <w:sz w:val="16"/>
                <w:szCs w:val="16"/>
              </w:rPr>
              <w:t xml:space="preserve">X </w:t>
            </w:r>
            <w:r w:rsidR="00B7285D" w:rsidRPr="00401A71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401A71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401A71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2A3C04E3" w:rsidR="00B7285D" w:rsidRPr="00401A71" w:rsidRDefault="00B7285D" w:rsidP="00BD13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01A71">
              <w:rPr>
                <w:color w:val="000000" w:themeColor="text1"/>
                <w:sz w:val="16"/>
                <w:szCs w:val="16"/>
              </w:rPr>
              <w:t>I-</w:t>
            </w:r>
            <w:r w:rsidR="0089084A" w:rsidRPr="00401A71">
              <w:rPr>
                <w:color w:val="000000" w:themeColor="text1"/>
                <w:sz w:val="16"/>
                <w:szCs w:val="16"/>
              </w:rPr>
              <w:t>X</w:t>
            </w:r>
            <w:r w:rsidR="00985589" w:rsidRPr="00401A71">
              <w:rPr>
                <w:color w:val="000000" w:themeColor="text1"/>
                <w:sz w:val="16"/>
                <w:szCs w:val="16"/>
              </w:rPr>
              <w:t>I</w:t>
            </w:r>
            <w:r w:rsidR="001005C0" w:rsidRPr="00401A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01A71"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864080" w14:paraId="4AC4B298" w14:textId="77777777" w:rsidTr="005C0046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38503418" w:rsidR="00864080" w:rsidRPr="00985589" w:rsidRDefault="00864080" w:rsidP="002B089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2B089E"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,2</w:t>
            </w:r>
            <w:r w:rsidR="001D7CD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8F00FD" w14:textId="74B4E7BD" w:rsidR="00864080" w:rsidRPr="00985589" w:rsidRDefault="00864080" w:rsidP="002B089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07AB"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B089E"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1D7CDB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B25C5FF" w14:textId="223A0E9B" w:rsidR="00864080" w:rsidRPr="00985589" w:rsidRDefault="00864080" w:rsidP="002B089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295986"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B089E"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329AA8C" w14:textId="7D3F45EF" w:rsidR="00864080" w:rsidRPr="00985589" w:rsidRDefault="00864080" w:rsidP="002B089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2B089E"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0806757" w14:textId="5E30FB6E" w:rsidR="00864080" w:rsidRPr="00985589" w:rsidRDefault="00864080" w:rsidP="00BC6E3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218C5"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C6E30"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9097470" w14:textId="656A509A" w:rsidR="00864080" w:rsidRPr="00985589" w:rsidRDefault="00864080" w:rsidP="00246B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246B5F"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77EB5B0D" w:rsidR="00864080" w:rsidRPr="00985589" w:rsidRDefault="00864080" w:rsidP="00E323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32374" w:rsidRPr="00E3237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1D7CD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F183E61" w14:textId="5B2B304D" w:rsidR="00864080" w:rsidRPr="00985589" w:rsidRDefault="00864080" w:rsidP="00E323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E3237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E11C92" w:rsidRPr="00E3237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32374" w:rsidRPr="00E3237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1D7CD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1DCBB5" w14:textId="7A2141FA" w:rsidR="00864080" w:rsidRPr="00985589" w:rsidRDefault="00864080" w:rsidP="00E323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050E6" w:rsidRPr="00E3237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32374" w:rsidRPr="00E3237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21CA8A3" w14:textId="68938E08" w:rsidR="00864080" w:rsidRPr="00985589" w:rsidRDefault="00864080" w:rsidP="00E323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32374" w:rsidRPr="00E3237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07E2C70" w14:textId="734239F5" w:rsidR="00864080" w:rsidRPr="00985589" w:rsidRDefault="00864080" w:rsidP="00B123C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38BA" w:rsidRPr="00E3237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123C8" w:rsidRPr="00E3237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37B9983" w14:textId="19EF2D4D" w:rsidR="00864080" w:rsidRPr="00985589" w:rsidRDefault="00864080" w:rsidP="007C0A3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C0A3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7718" w:rsidRPr="007C0A3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C0A3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C0A37" w:rsidRPr="007C0A3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57B84F5C" w:rsidR="00864080" w:rsidRPr="002929E3" w:rsidRDefault="00864080" w:rsidP="004F24AA">
            <w:pPr>
              <w:rPr>
                <w:shd w:val="clear" w:color="auto" w:fill="FFFFFF"/>
              </w:rPr>
            </w:pPr>
            <w:r w:rsidRPr="00684D1D">
              <w:rPr>
                <w:color w:val="000000" w:themeColor="text1"/>
                <w:sz w:val="16"/>
                <w:szCs w:val="16"/>
              </w:rPr>
              <w:t>Budowa</w:t>
            </w:r>
            <w:r w:rsidR="00E957A4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684D1D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684D1D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1B10F5DD" w:rsidR="00864080" w:rsidRPr="00985589" w:rsidRDefault="00864080" w:rsidP="00FC44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7E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E4F8A" w:rsidRPr="004747E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1D7CD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22E8D084" w:rsidR="00864080" w:rsidRPr="00985589" w:rsidRDefault="00864080" w:rsidP="00FC44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118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C8118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8118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2333" w:rsidRPr="00C8118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1D7CDB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54D2FF74" w:rsidR="00864080" w:rsidRPr="00985589" w:rsidRDefault="00864080" w:rsidP="00AA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AA5D6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A5D6A" w:rsidRPr="00AA5D6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1715E43B" w:rsidR="00864080" w:rsidRPr="00985589" w:rsidRDefault="00864080" w:rsidP="00AA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A5D6A" w:rsidRPr="00AA5D6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0D727ABF" w:rsidR="00864080" w:rsidRPr="00985589" w:rsidRDefault="00864080" w:rsidP="00AA5D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45FD2" w:rsidRPr="00AA5D6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A5D6A" w:rsidRPr="00AA5D6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7F2A6D1C" w:rsidR="00864080" w:rsidRPr="00985589" w:rsidRDefault="00864080" w:rsidP="008D181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138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FD138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D138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181A" w:rsidRPr="00FD138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5DC73BD6" w:rsidR="00864080" w:rsidRPr="00985589" w:rsidRDefault="00864080" w:rsidP="0058796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116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9400C" w:rsidRPr="002E116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97A89F2" w14:textId="74DDF3CE" w:rsidR="00864080" w:rsidRPr="00985589" w:rsidRDefault="00864080" w:rsidP="000156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60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01560D" w:rsidRPr="000156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D0AF93B" w14:textId="662DFD1F" w:rsidR="00864080" w:rsidRPr="00985589" w:rsidRDefault="00864080" w:rsidP="000156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60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01560D" w:rsidRPr="0001560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59083110" w14:textId="69F9A4F0" w:rsidR="00864080" w:rsidRPr="00985589" w:rsidRDefault="00864080" w:rsidP="00B75E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E7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75E72" w:rsidRPr="00B75E7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A4F0A8E" w14:textId="1B164182" w:rsidR="00864080" w:rsidRPr="00985589" w:rsidRDefault="00864080" w:rsidP="00B75E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E7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84BB7" w:rsidRPr="00B75E7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B75E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75E72" w:rsidRPr="00B75E7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554B7F6" w14:textId="7CB00071" w:rsidR="00864080" w:rsidRPr="00985589" w:rsidRDefault="00864080" w:rsidP="005B5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954F4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B59B2" w:rsidRPr="00B954F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442688F" w14:textId="77777777" w:rsidR="00D13BE2" w:rsidRPr="006F302E" w:rsidRDefault="00D13BE2" w:rsidP="00D13BE2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2B22B4EE" w:rsidR="00C97D68" w:rsidRDefault="00C40FE4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920384" behindDoc="0" locked="0" layoutInCell="1" allowOverlap="1" wp14:anchorId="587ABD29" wp14:editId="735A9E5B">
            <wp:simplePos x="0" y="0"/>
            <wp:positionH relativeFrom="column">
              <wp:posOffset>-390525</wp:posOffset>
            </wp:positionH>
            <wp:positionV relativeFrom="paragraph">
              <wp:posOffset>377825</wp:posOffset>
            </wp:positionV>
            <wp:extent cx="5600700" cy="35115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0B2EE84E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4E2A2B1C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C40FE4">
                              <w:rPr>
                                <w:bCs w:val="0"/>
                              </w:rPr>
                              <w:t>W</w:t>
                            </w:r>
                            <w:r w:rsidR="00BD13FF" w:rsidRPr="00C40FE4">
                              <w:rPr>
                                <w:bCs w:val="0"/>
                              </w:rPr>
                              <w:t xml:space="preserve"> </w:t>
                            </w:r>
                            <w:r w:rsidR="00F95FD5" w:rsidRPr="00C40FE4">
                              <w:rPr>
                                <w:bCs w:val="0"/>
                              </w:rPr>
                              <w:t>listopadzie</w:t>
                            </w:r>
                            <w:r w:rsidRPr="00C40FE4">
                              <w:rPr>
                                <w:bCs w:val="0"/>
                              </w:rPr>
                              <w:t xml:space="preserve"> 2020 r.</w:t>
                            </w:r>
                            <w:r w:rsidR="00B4448F" w:rsidRPr="00C40FE4">
                              <w:rPr>
                                <w:bCs w:val="0"/>
                              </w:rPr>
                              <w:t>, podobnie</w:t>
                            </w:r>
                            <w:r w:rsidR="00B4448F">
                              <w:rPr>
                                <w:bCs w:val="0"/>
                              </w:rPr>
                              <w:t xml:space="preserve"> jak w</w:t>
                            </w:r>
                            <w:r w:rsidR="00F95FD5">
                              <w:rPr>
                                <w:bCs w:val="0"/>
                              </w:rPr>
                              <w:t xml:space="preserve"> październiku </w:t>
                            </w:r>
                            <w:r w:rsidR="00B4448F">
                              <w:rPr>
                                <w:bCs w:val="0"/>
                              </w:rPr>
                              <w:t>br.,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061A50">
                              <w:rPr>
                                <w:bCs w:val="0"/>
                              </w:rPr>
                              <w:t xml:space="preserve"> cen</w:t>
                            </w:r>
                            <w:r w:rsidR="00B4448F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061A50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B4448F">
                              <w:rPr>
                                <w:bCs w:val="0"/>
                              </w:rPr>
                              <w:t xml:space="preserve"> wzrosły</w:t>
                            </w:r>
                            <w:r w:rsidR="00C664A9" w:rsidRPr="00061A50">
                              <w:rPr>
                                <w:bCs w:val="0"/>
                              </w:rPr>
                              <w:t xml:space="preserve"> w s</w:t>
                            </w:r>
                            <w:r w:rsidR="004A12A8">
                              <w:rPr>
                                <w:bCs w:val="0"/>
                              </w:rPr>
                              <w:t>tosunku do</w:t>
                            </w:r>
                            <w:r>
                              <w:rPr>
                                <w:bCs w:val="0"/>
                              </w:rPr>
                              <w:t xml:space="preserve"> poprzedniego </w:t>
                            </w:r>
                            <w:r w:rsidR="004A12A8">
                              <w:rPr>
                                <w:bCs w:val="0"/>
                              </w:rPr>
                              <w:t xml:space="preserve">miesiąca </w:t>
                            </w:r>
                            <w:r w:rsidR="00B4448F" w:rsidRPr="00C40FE4">
                              <w:rPr>
                                <w:bCs w:val="0"/>
                              </w:rPr>
                              <w:t xml:space="preserve">o </w:t>
                            </w:r>
                            <w:r w:rsidR="00C664A9" w:rsidRPr="00C40FE4">
                              <w:rPr>
                                <w:bCs w:val="0"/>
                              </w:rPr>
                              <w:t>0,</w:t>
                            </w:r>
                            <w:r w:rsidR="00C40FE4" w:rsidRPr="00C40FE4">
                              <w:rPr>
                                <w:bCs w:val="0"/>
                              </w:rPr>
                              <w:t>2</w:t>
                            </w:r>
                            <w:r w:rsidR="00C664A9" w:rsidRPr="00C40FE4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4E2A2B1C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C40FE4">
                        <w:rPr>
                          <w:bCs w:val="0"/>
                        </w:rPr>
                        <w:t>W</w:t>
                      </w:r>
                      <w:r w:rsidR="00BD13FF" w:rsidRPr="00C40FE4">
                        <w:rPr>
                          <w:bCs w:val="0"/>
                        </w:rPr>
                        <w:t xml:space="preserve"> </w:t>
                      </w:r>
                      <w:r w:rsidR="00F95FD5" w:rsidRPr="00C40FE4">
                        <w:rPr>
                          <w:bCs w:val="0"/>
                        </w:rPr>
                        <w:t>listopadzie</w:t>
                      </w:r>
                      <w:r w:rsidRPr="00C40FE4">
                        <w:rPr>
                          <w:bCs w:val="0"/>
                        </w:rPr>
                        <w:t xml:space="preserve"> 2020 r.</w:t>
                      </w:r>
                      <w:r w:rsidR="00B4448F" w:rsidRPr="00C40FE4">
                        <w:rPr>
                          <w:bCs w:val="0"/>
                        </w:rPr>
                        <w:t>, podobnie</w:t>
                      </w:r>
                      <w:r w:rsidR="00B4448F">
                        <w:rPr>
                          <w:bCs w:val="0"/>
                        </w:rPr>
                        <w:t xml:space="preserve"> jak w</w:t>
                      </w:r>
                      <w:r w:rsidR="00F95FD5">
                        <w:rPr>
                          <w:bCs w:val="0"/>
                        </w:rPr>
                        <w:t xml:space="preserve"> październiku </w:t>
                      </w:r>
                      <w:r w:rsidR="00B4448F">
                        <w:rPr>
                          <w:bCs w:val="0"/>
                        </w:rPr>
                        <w:t>br.,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  <w:r w:rsidR="00C664A9" w:rsidRPr="00061A50">
                        <w:rPr>
                          <w:bCs w:val="0"/>
                        </w:rPr>
                        <w:t xml:space="preserve"> cen</w:t>
                      </w:r>
                      <w:r w:rsidR="00B4448F">
                        <w:rPr>
                          <w:bCs w:val="0"/>
                        </w:rPr>
                        <w:t xml:space="preserve">y </w:t>
                      </w:r>
                      <w:r w:rsidR="00C664A9" w:rsidRPr="00061A50">
                        <w:rPr>
                          <w:bCs w:val="0"/>
                        </w:rPr>
                        <w:t>produkcji budowlano-montażowej</w:t>
                      </w:r>
                      <w:r w:rsidR="00B4448F">
                        <w:rPr>
                          <w:bCs w:val="0"/>
                        </w:rPr>
                        <w:t xml:space="preserve"> wzrosły</w:t>
                      </w:r>
                      <w:r w:rsidR="00C664A9" w:rsidRPr="00061A50">
                        <w:rPr>
                          <w:bCs w:val="0"/>
                        </w:rPr>
                        <w:t xml:space="preserve"> w s</w:t>
                      </w:r>
                      <w:r w:rsidR="004A12A8">
                        <w:rPr>
                          <w:bCs w:val="0"/>
                        </w:rPr>
                        <w:t>tosunku do</w:t>
                      </w:r>
                      <w:r>
                        <w:rPr>
                          <w:bCs w:val="0"/>
                        </w:rPr>
                        <w:t xml:space="preserve"> poprzedniego </w:t>
                      </w:r>
                      <w:r w:rsidR="004A12A8">
                        <w:rPr>
                          <w:bCs w:val="0"/>
                        </w:rPr>
                        <w:t xml:space="preserve">miesiąca </w:t>
                      </w:r>
                      <w:r w:rsidR="00B4448F" w:rsidRPr="00C40FE4">
                        <w:rPr>
                          <w:bCs w:val="0"/>
                        </w:rPr>
                        <w:t xml:space="preserve">o </w:t>
                      </w:r>
                      <w:r w:rsidR="00C664A9" w:rsidRPr="00C40FE4">
                        <w:rPr>
                          <w:bCs w:val="0"/>
                        </w:rPr>
                        <w:t>0,</w:t>
                      </w:r>
                      <w:r w:rsidR="00C40FE4" w:rsidRPr="00C40FE4">
                        <w:rPr>
                          <w:bCs w:val="0"/>
                        </w:rPr>
                        <w:t>2</w:t>
                      </w:r>
                      <w:r w:rsidR="00C664A9" w:rsidRPr="00C40FE4">
                        <w:rPr>
                          <w:bCs w:val="0"/>
                        </w:rPr>
                        <w:t>%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4EAEB8E0" w14:textId="62BA6053" w:rsidR="00317EBC" w:rsidRDefault="00317EBC" w:rsidP="00C97D68">
      <w:pPr>
        <w:pStyle w:val="tytuwykresu"/>
        <w:ind w:left="794" w:hanging="794"/>
        <w:rPr>
          <w:shd w:val="clear" w:color="auto" w:fill="FFFFFF"/>
        </w:rPr>
      </w:pPr>
    </w:p>
    <w:p w14:paraId="04877F0F" w14:textId="180652E4" w:rsidR="00222125" w:rsidRDefault="00222125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78EBC86F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15997BBA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5348DB16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481A7A">
                              <w:rPr>
                                <w:bCs w:val="0"/>
                              </w:rPr>
                              <w:t>W</w:t>
                            </w:r>
                            <w:r w:rsidR="00BD13FF" w:rsidRPr="00481A7A">
                              <w:rPr>
                                <w:bCs w:val="0"/>
                              </w:rPr>
                              <w:t xml:space="preserve"> </w:t>
                            </w:r>
                            <w:r w:rsidR="00543F24" w:rsidRPr="00481A7A">
                              <w:rPr>
                                <w:bCs w:val="0"/>
                              </w:rPr>
                              <w:t>listopadzie</w:t>
                            </w:r>
                            <w:r w:rsidRPr="00481A7A">
                              <w:rPr>
                                <w:bCs w:val="0"/>
                              </w:rPr>
                              <w:t xml:space="preserve"> 2020 r. wzrost cen produkcji budowlano-montażowej </w:t>
                            </w:r>
                            <w:r w:rsidR="00257FA3">
                              <w:rPr>
                                <w:bCs w:val="0"/>
                              </w:rPr>
                              <w:t xml:space="preserve">        </w:t>
                            </w:r>
                            <w:r w:rsidRPr="00481A7A">
                              <w:rPr>
                                <w:bCs w:val="0"/>
                              </w:rPr>
                              <w:t>w skali roku utrzymał się na poziomie obserwowanym w poprzedni</w:t>
                            </w:r>
                            <w:r w:rsidR="00481A7A" w:rsidRPr="00481A7A">
                              <w:rPr>
                                <w:bCs w:val="0"/>
                              </w:rPr>
                              <w:t>m</w:t>
                            </w:r>
                            <w:r w:rsidRPr="00481A7A">
                              <w:rPr>
                                <w:bCs w:val="0"/>
                              </w:rPr>
                              <w:t xml:space="preserve"> miesiąc</w:t>
                            </w:r>
                            <w:r w:rsidR="00481A7A" w:rsidRPr="00481A7A">
                              <w:rPr>
                                <w:bCs w:val="0"/>
                              </w:rPr>
                              <w:t>u</w:t>
                            </w:r>
                            <w:r w:rsidRPr="00481A7A">
                              <w:rPr>
                                <w:bCs w:val="0"/>
                              </w:rPr>
                              <w:t xml:space="preserve"> i wyniósł 2,</w:t>
                            </w:r>
                            <w:r w:rsidR="00481A7A" w:rsidRPr="00481A7A">
                              <w:rPr>
                                <w:bCs w:val="0"/>
                              </w:rPr>
                              <w:t>4</w:t>
                            </w:r>
                            <w:r w:rsidRPr="00481A7A">
                              <w:rPr>
                                <w:bCs w:val="0"/>
                              </w:rPr>
                              <w:t>%</w:t>
                            </w:r>
                            <w:r w:rsidRPr="00F12C5A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5348DB16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481A7A">
                        <w:rPr>
                          <w:bCs w:val="0"/>
                        </w:rPr>
                        <w:t>W</w:t>
                      </w:r>
                      <w:r w:rsidR="00BD13FF" w:rsidRPr="00481A7A">
                        <w:rPr>
                          <w:bCs w:val="0"/>
                        </w:rPr>
                        <w:t xml:space="preserve"> </w:t>
                      </w:r>
                      <w:r w:rsidR="00543F24" w:rsidRPr="00481A7A">
                        <w:rPr>
                          <w:bCs w:val="0"/>
                        </w:rPr>
                        <w:t>listopadzie</w:t>
                      </w:r>
                      <w:r w:rsidRPr="00481A7A">
                        <w:rPr>
                          <w:bCs w:val="0"/>
                        </w:rPr>
                        <w:t xml:space="preserve"> 2020 r. wzrost cen produkcji budowlano-montażowej </w:t>
                      </w:r>
                      <w:r w:rsidR="00257FA3">
                        <w:rPr>
                          <w:bCs w:val="0"/>
                        </w:rPr>
                        <w:t xml:space="preserve">        </w:t>
                      </w:r>
                      <w:r w:rsidRPr="00481A7A">
                        <w:rPr>
                          <w:bCs w:val="0"/>
                        </w:rPr>
                        <w:t xml:space="preserve">w skali roku utrzymał się na poziomie obserwowanym w </w:t>
                      </w:r>
                      <w:bookmarkStart w:id="1" w:name="_GoBack"/>
                      <w:bookmarkEnd w:id="1"/>
                      <w:r w:rsidRPr="00481A7A">
                        <w:rPr>
                          <w:bCs w:val="0"/>
                        </w:rPr>
                        <w:t>poprzedni</w:t>
                      </w:r>
                      <w:r w:rsidR="00481A7A" w:rsidRPr="00481A7A">
                        <w:rPr>
                          <w:bCs w:val="0"/>
                        </w:rPr>
                        <w:t>m</w:t>
                      </w:r>
                      <w:r w:rsidRPr="00481A7A">
                        <w:rPr>
                          <w:bCs w:val="0"/>
                        </w:rPr>
                        <w:t xml:space="preserve"> miesiąc</w:t>
                      </w:r>
                      <w:r w:rsidR="00481A7A" w:rsidRPr="00481A7A">
                        <w:rPr>
                          <w:bCs w:val="0"/>
                        </w:rPr>
                        <w:t>u</w:t>
                      </w:r>
                      <w:r w:rsidRPr="00481A7A">
                        <w:rPr>
                          <w:bCs w:val="0"/>
                        </w:rPr>
                        <w:t xml:space="preserve"> i wyniósł 2,</w:t>
                      </w:r>
                      <w:r w:rsidR="00481A7A" w:rsidRPr="00481A7A">
                        <w:rPr>
                          <w:bCs w:val="0"/>
                        </w:rPr>
                        <w:t>4</w:t>
                      </w:r>
                      <w:r w:rsidRPr="00481A7A">
                        <w:rPr>
                          <w:bCs w:val="0"/>
                        </w:rPr>
                        <w:t>%</w:t>
                      </w:r>
                      <w:r w:rsidRPr="00F12C5A">
                        <w:rPr>
                          <w:bCs w:val="0"/>
                        </w:rPr>
                        <w:t xml:space="preserve"> </w:t>
                      </w: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3FC8A858" w:rsidR="000F1C91" w:rsidRDefault="0023314A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23456" behindDoc="0" locked="0" layoutInCell="1" allowOverlap="1" wp14:anchorId="786B2C77" wp14:editId="69346589">
            <wp:simplePos x="0" y="0"/>
            <wp:positionH relativeFrom="column">
              <wp:posOffset>-388620</wp:posOffset>
            </wp:positionH>
            <wp:positionV relativeFrom="paragraph">
              <wp:posOffset>374590</wp:posOffset>
            </wp:positionV>
            <wp:extent cx="5528945" cy="339598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758988BC" w14:textId="660DF04D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A7C2C2A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323323B1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645E941D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7F60245E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3B7EB345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54C08DA9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483612E4" w:rsidR="003306A4" w:rsidRDefault="007476F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22432" behindDoc="0" locked="0" layoutInCell="1" allowOverlap="1" wp14:anchorId="7C3301E1" wp14:editId="12225A24">
            <wp:simplePos x="0" y="0"/>
            <wp:positionH relativeFrom="column">
              <wp:posOffset>-361950</wp:posOffset>
            </wp:positionH>
            <wp:positionV relativeFrom="paragraph">
              <wp:posOffset>311150</wp:posOffset>
            </wp:positionV>
            <wp:extent cx="5572125" cy="4124325"/>
            <wp:effectExtent l="0" t="0" r="9525" b="9525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2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49BB1598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C21A" w14:textId="28F9BF8D" w:rsidR="00C14DC3" w:rsidRPr="00C14DC3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136517">
                              <w:rPr>
                                <w:bCs w:val="0"/>
                              </w:rPr>
                              <w:t>Od stycznia 2019 r.</w:t>
                            </w:r>
                            <w:r>
                              <w:rPr>
                                <w:bCs w:val="0"/>
                              </w:rPr>
                              <w:t xml:space="preserve"> najbardziej rosną ceny budowy budynków.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3F45C21A" w14:textId="28F9BF8D" w:rsidR="00C14DC3" w:rsidRPr="00C14DC3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136517">
                        <w:rPr>
                          <w:bCs w:val="0"/>
                        </w:rPr>
                        <w:t>Od stycznia 2019 r.</w:t>
                      </w:r>
                      <w:r>
                        <w:rPr>
                          <w:bCs w:val="0"/>
                        </w:rPr>
                        <w:t xml:space="preserve"> najbardziej rosną ceny budowy budynków.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224B8269" w14:textId="3D78392C" w:rsidR="003A7128" w:rsidRDefault="003A712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31716B0" w14:textId="77777777" w:rsidR="003A7128" w:rsidRDefault="003A712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409A4B5" w14:textId="77777777" w:rsidR="003A7128" w:rsidRDefault="003A712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1007385" w14:textId="77777777" w:rsidR="003A7128" w:rsidRDefault="003A712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1453D52F" w14:textId="2202AE1F" w:rsidR="001A1C14" w:rsidRDefault="001A1C1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603BCFE" w14:textId="77777777" w:rsidR="001A1C14" w:rsidRDefault="001A1C1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2500EE0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4576BDB" w14:textId="77777777" w:rsidR="009D6AC7" w:rsidRDefault="009D6AC7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2C133BD0" w14:textId="77777777" w:rsidR="00AC7B73" w:rsidRDefault="00AC7B73" w:rsidP="00252780"/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20CF7D56" w:rsidR="00A86EE5" w:rsidRDefault="005C4A8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4F24A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5C4A8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5C4A8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5C4A8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5C4A8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5C4A8D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20CF7D56" w:rsidR="00A86EE5" w:rsidRDefault="00C147AB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4F24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</w:t>
                        </w:r>
                        <w:r w:rsidR="00A86EE5" w:rsidRPr="004F24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z</w:t>
                        </w:r>
                        <w:r w:rsidR="00A86EE5" w:rsidRPr="004F24A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C147AB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C147A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C147A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C147A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C147AB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BB543" w14:textId="77777777" w:rsidR="005C4A8D" w:rsidRDefault="005C4A8D" w:rsidP="000662E2">
      <w:pPr>
        <w:spacing w:after="0" w:line="240" w:lineRule="auto"/>
      </w:pPr>
      <w:r>
        <w:separator/>
      </w:r>
    </w:p>
  </w:endnote>
  <w:endnote w:type="continuationSeparator" w:id="0">
    <w:p w14:paraId="1A0664F2" w14:textId="77777777" w:rsidR="005C4A8D" w:rsidRDefault="005C4A8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35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35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ACEEA" w14:textId="77777777" w:rsidR="005C4A8D" w:rsidRDefault="005C4A8D" w:rsidP="000662E2">
      <w:pPr>
        <w:spacing w:after="0" w:line="240" w:lineRule="auto"/>
      </w:pPr>
      <w:r>
        <w:separator/>
      </w:r>
    </w:p>
  </w:footnote>
  <w:footnote w:type="continuationSeparator" w:id="0">
    <w:p w14:paraId="54D6F989" w14:textId="77777777" w:rsidR="005C4A8D" w:rsidRDefault="005C4A8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C327B51" w:rsidR="00F37172" w:rsidRPr="00C97596" w:rsidRDefault="008870E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C327B51" w:rsidR="00F37172" w:rsidRPr="00C97596" w:rsidRDefault="008870E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52F5"/>
    <w:rsid w:val="0001550D"/>
    <w:rsid w:val="000155EF"/>
    <w:rsid w:val="0001560D"/>
    <w:rsid w:val="0001614C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1FC3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23E4"/>
    <w:rsid w:val="000662E2"/>
    <w:rsid w:val="00066883"/>
    <w:rsid w:val="0006694D"/>
    <w:rsid w:val="000704E7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6BB"/>
    <w:rsid w:val="000D7A15"/>
    <w:rsid w:val="000E0918"/>
    <w:rsid w:val="000E3AD6"/>
    <w:rsid w:val="000E3B71"/>
    <w:rsid w:val="000E4EC8"/>
    <w:rsid w:val="000E6821"/>
    <w:rsid w:val="000E71F2"/>
    <w:rsid w:val="000F11A4"/>
    <w:rsid w:val="000F1ADD"/>
    <w:rsid w:val="000F1C91"/>
    <w:rsid w:val="000F4C7F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BFF"/>
    <w:rsid w:val="00114DB9"/>
    <w:rsid w:val="00116087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415D"/>
    <w:rsid w:val="00135B7C"/>
    <w:rsid w:val="00136010"/>
    <w:rsid w:val="00136013"/>
    <w:rsid w:val="00136517"/>
    <w:rsid w:val="00136991"/>
    <w:rsid w:val="0013710F"/>
    <w:rsid w:val="00140355"/>
    <w:rsid w:val="0014077E"/>
    <w:rsid w:val="00141FFD"/>
    <w:rsid w:val="001423B6"/>
    <w:rsid w:val="00142EE9"/>
    <w:rsid w:val="001430B0"/>
    <w:rsid w:val="00143C6E"/>
    <w:rsid w:val="001448A7"/>
    <w:rsid w:val="0014523A"/>
    <w:rsid w:val="001454E4"/>
    <w:rsid w:val="00145D3D"/>
    <w:rsid w:val="00146621"/>
    <w:rsid w:val="00147181"/>
    <w:rsid w:val="0014790E"/>
    <w:rsid w:val="00150866"/>
    <w:rsid w:val="0015113D"/>
    <w:rsid w:val="00151C47"/>
    <w:rsid w:val="00152273"/>
    <w:rsid w:val="0015283D"/>
    <w:rsid w:val="001528AF"/>
    <w:rsid w:val="00152D58"/>
    <w:rsid w:val="00152DBA"/>
    <w:rsid w:val="00153572"/>
    <w:rsid w:val="00155DBD"/>
    <w:rsid w:val="00156B43"/>
    <w:rsid w:val="00161F82"/>
    <w:rsid w:val="00162325"/>
    <w:rsid w:val="00164E66"/>
    <w:rsid w:val="00165030"/>
    <w:rsid w:val="00165BF0"/>
    <w:rsid w:val="00165FBF"/>
    <w:rsid w:val="001662FB"/>
    <w:rsid w:val="001666FB"/>
    <w:rsid w:val="0016738D"/>
    <w:rsid w:val="001717B6"/>
    <w:rsid w:val="00171894"/>
    <w:rsid w:val="00172895"/>
    <w:rsid w:val="00172C1F"/>
    <w:rsid w:val="00174B6B"/>
    <w:rsid w:val="00174CC2"/>
    <w:rsid w:val="00175FA9"/>
    <w:rsid w:val="001824E3"/>
    <w:rsid w:val="00182C96"/>
    <w:rsid w:val="00183A0A"/>
    <w:rsid w:val="00183A66"/>
    <w:rsid w:val="00185288"/>
    <w:rsid w:val="00187E13"/>
    <w:rsid w:val="0019027D"/>
    <w:rsid w:val="00192219"/>
    <w:rsid w:val="0019280B"/>
    <w:rsid w:val="001951DA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6FB"/>
    <w:rsid w:val="001C6827"/>
    <w:rsid w:val="001C6FFB"/>
    <w:rsid w:val="001D1DB4"/>
    <w:rsid w:val="001D2F4B"/>
    <w:rsid w:val="001D5A4B"/>
    <w:rsid w:val="001D63FD"/>
    <w:rsid w:val="001D7CDB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E60"/>
    <w:rsid w:val="00222125"/>
    <w:rsid w:val="002244C3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140"/>
    <w:rsid w:val="00252780"/>
    <w:rsid w:val="00252E43"/>
    <w:rsid w:val="00255143"/>
    <w:rsid w:val="002574F9"/>
    <w:rsid w:val="00257FA3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3644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A51E3"/>
    <w:rsid w:val="002A6624"/>
    <w:rsid w:val="002A69E5"/>
    <w:rsid w:val="002A6B5A"/>
    <w:rsid w:val="002A6BBE"/>
    <w:rsid w:val="002A7D4E"/>
    <w:rsid w:val="002B0472"/>
    <w:rsid w:val="002B089E"/>
    <w:rsid w:val="002B2283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7363"/>
    <w:rsid w:val="002D23A4"/>
    <w:rsid w:val="002D35B7"/>
    <w:rsid w:val="002D3B8C"/>
    <w:rsid w:val="002D563D"/>
    <w:rsid w:val="002D6ABF"/>
    <w:rsid w:val="002D7BD2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B6"/>
    <w:rsid w:val="002E78BE"/>
    <w:rsid w:val="002E7DCE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5756"/>
    <w:rsid w:val="00317BEC"/>
    <w:rsid w:val="00317EB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7077F"/>
    <w:rsid w:val="00373882"/>
    <w:rsid w:val="00374D81"/>
    <w:rsid w:val="00380964"/>
    <w:rsid w:val="00382813"/>
    <w:rsid w:val="00383EB3"/>
    <w:rsid w:val="003843DB"/>
    <w:rsid w:val="003845E7"/>
    <w:rsid w:val="003848A5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7123"/>
    <w:rsid w:val="003A7128"/>
    <w:rsid w:val="003A7EF6"/>
    <w:rsid w:val="003B0399"/>
    <w:rsid w:val="003B1454"/>
    <w:rsid w:val="003B1AC9"/>
    <w:rsid w:val="003B3C5B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239"/>
    <w:rsid w:val="003E6865"/>
    <w:rsid w:val="003E7486"/>
    <w:rsid w:val="003E7B2A"/>
    <w:rsid w:val="003F0E1A"/>
    <w:rsid w:val="003F11FC"/>
    <w:rsid w:val="003F4C97"/>
    <w:rsid w:val="003F5D6C"/>
    <w:rsid w:val="003F7FE6"/>
    <w:rsid w:val="00400193"/>
    <w:rsid w:val="00400F17"/>
    <w:rsid w:val="00401262"/>
    <w:rsid w:val="00401A71"/>
    <w:rsid w:val="00402519"/>
    <w:rsid w:val="004033D0"/>
    <w:rsid w:val="00403ECE"/>
    <w:rsid w:val="00405DC4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C94"/>
    <w:rsid w:val="00453E9E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70FCF"/>
    <w:rsid w:val="004723E7"/>
    <w:rsid w:val="004733F6"/>
    <w:rsid w:val="004737D4"/>
    <w:rsid w:val="004737E3"/>
    <w:rsid w:val="004747E0"/>
    <w:rsid w:val="00474E69"/>
    <w:rsid w:val="00481A7A"/>
    <w:rsid w:val="0048353A"/>
    <w:rsid w:val="004856A4"/>
    <w:rsid w:val="00486748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453A"/>
    <w:rsid w:val="004D4B8D"/>
    <w:rsid w:val="004D4F5D"/>
    <w:rsid w:val="004D5F73"/>
    <w:rsid w:val="004D7594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189"/>
    <w:rsid w:val="005244FD"/>
    <w:rsid w:val="00526065"/>
    <w:rsid w:val="00526293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1896"/>
    <w:rsid w:val="0054251F"/>
    <w:rsid w:val="00543F24"/>
    <w:rsid w:val="00545F08"/>
    <w:rsid w:val="00547906"/>
    <w:rsid w:val="00550618"/>
    <w:rsid w:val="00551CC6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4183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69A"/>
    <w:rsid w:val="00583B4F"/>
    <w:rsid w:val="0058599E"/>
    <w:rsid w:val="00586018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698C"/>
    <w:rsid w:val="005B4828"/>
    <w:rsid w:val="005B59B2"/>
    <w:rsid w:val="005B6CA9"/>
    <w:rsid w:val="005B707B"/>
    <w:rsid w:val="005C0046"/>
    <w:rsid w:val="005C0B12"/>
    <w:rsid w:val="005C3773"/>
    <w:rsid w:val="005C37C0"/>
    <w:rsid w:val="005C3A69"/>
    <w:rsid w:val="005C3C97"/>
    <w:rsid w:val="005C4366"/>
    <w:rsid w:val="005C4A8D"/>
    <w:rsid w:val="005D04EC"/>
    <w:rsid w:val="005D1705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CC5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9CF"/>
    <w:rsid w:val="00640255"/>
    <w:rsid w:val="00641034"/>
    <w:rsid w:val="00642D14"/>
    <w:rsid w:val="006433F3"/>
    <w:rsid w:val="00644A16"/>
    <w:rsid w:val="00645ED4"/>
    <w:rsid w:val="00646AD0"/>
    <w:rsid w:val="006470E9"/>
    <w:rsid w:val="0065219D"/>
    <w:rsid w:val="00654E66"/>
    <w:rsid w:val="00657056"/>
    <w:rsid w:val="0066049B"/>
    <w:rsid w:val="006611A0"/>
    <w:rsid w:val="00663608"/>
    <w:rsid w:val="00664D0F"/>
    <w:rsid w:val="0066666A"/>
    <w:rsid w:val="00666826"/>
    <w:rsid w:val="00667344"/>
    <w:rsid w:val="006673CA"/>
    <w:rsid w:val="0067039D"/>
    <w:rsid w:val="00670FCA"/>
    <w:rsid w:val="00671367"/>
    <w:rsid w:val="0067391B"/>
    <w:rsid w:val="00673C26"/>
    <w:rsid w:val="0067641E"/>
    <w:rsid w:val="00677859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23CC"/>
    <w:rsid w:val="006B3A3D"/>
    <w:rsid w:val="006B4730"/>
    <w:rsid w:val="006B591B"/>
    <w:rsid w:val="006B5AE4"/>
    <w:rsid w:val="006C135B"/>
    <w:rsid w:val="006C2B09"/>
    <w:rsid w:val="006C2C34"/>
    <w:rsid w:val="006C3FD0"/>
    <w:rsid w:val="006C4C28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19DB"/>
    <w:rsid w:val="00732E54"/>
    <w:rsid w:val="00734271"/>
    <w:rsid w:val="00734C07"/>
    <w:rsid w:val="0074048B"/>
    <w:rsid w:val="00740A86"/>
    <w:rsid w:val="00745D56"/>
    <w:rsid w:val="00746187"/>
    <w:rsid w:val="00747112"/>
    <w:rsid w:val="007476F6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21D0"/>
    <w:rsid w:val="007726B3"/>
    <w:rsid w:val="00772BFD"/>
    <w:rsid w:val="0077361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2016"/>
    <w:rsid w:val="007936B6"/>
    <w:rsid w:val="00793CB1"/>
    <w:rsid w:val="0079400C"/>
    <w:rsid w:val="0079514B"/>
    <w:rsid w:val="00797C9F"/>
    <w:rsid w:val="007A0AA5"/>
    <w:rsid w:val="007A2D68"/>
    <w:rsid w:val="007A2DC1"/>
    <w:rsid w:val="007A49A3"/>
    <w:rsid w:val="007A67D6"/>
    <w:rsid w:val="007A6A38"/>
    <w:rsid w:val="007A75DC"/>
    <w:rsid w:val="007B0737"/>
    <w:rsid w:val="007B1BEA"/>
    <w:rsid w:val="007B2BBA"/>
    <w:rsid w:val="007B2F19"/>
    <w:rsid w:val="007B488B"/>
    <w:rsid w:val="007B4A0D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E34"/>
    <w:rsid w:val="007E62B4"/>
    <w:rsid w:val="007E73EF"/>
    <w:rsid w:val="007F0E70"/>
    <w:rsid w:val="007F0EB7"/>
    <w:rsid w:val="007F2194"/>
    <w:rsid w:val="007F324B"/>
    <w:rsid w:val="007F406B"/>
    <w:rsid w:val="0080259F"/>
    <w:rsid w:val="00804EEC"/>
    <w:rsid w:val="0080542C"/>
    <w:rsid w:val="0080553C"/>
    <w:rsid w:val="00805B46"/>
    <w:rsid w:val="00807859"/>
    <w:rsid w:val="0081022B"/>
    <w:rsid w:val="00810F69"/>
    <w:rsid w:val="0081247C"/>
    <w:rsid w:val="00815BBC"/>
    <w:rsid w:val="00817288"/>
    <w:rsid w:val="008218C5"/>
    <w:rsid w:val="00821B14"/>
    <w:rsid w:val="008226A0"/>
    <w:rsid w:val="00822FFD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DC9"/>
    <w:rsid w:val="00847F0F"/>
    <w:rsid w:val="008515F1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6332"/>
    <w:rsid w:val="008870E8"/>
    <w:rsid w:val="0089084A"/>
    <w:rsid w:val="0089147E"/>
    <w:rsid w:val="00895E2E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6AD9"/>
    <w:rsid w:val="00930AA6"/>
    <w:rsid w:val="00931DB5"/>
    <w:rsid w:val="00932DF7"/>
    <w:rsid w:val="00933A31"/>
    <w:rsid w:val="00933EC1"/>
    <w:rsid w:val="0094069B"/>
    <w:rsid w:val="00940A74"/>
    <w:rsid w:val="00943110"/>
    <w:rsid w:val="0094373E"/>
    <w:rsid w:val="00943F94"/>
    <w:rsid w:val="009445B6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85589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7016"/>
    <w:rsid w:val="009B7A1C"/>
    <w:rsid w:val="009C1335"/>
    <w:rsid w:val="009C1AB2"/>
    <w:rsid w:val="009C1D92"/>
    <w:rsid w:val="009C2253"/>
    <w:rsid w:val="009C22F4"/>
    <w:rsid w:val="009C2930"/>
    <w:rsid w:val="009C7251"/>
    <w:rsid w:val="009D53DF"/>
    <w:rsid w:val="009D6273"/>
    <w:rsid w:val="009D6AC7"/>
    <w:rsid w:val="009D6BB2"/>
    <w:rsid w:val="009E2E91"/>
    <w:rsid w:val="009E335D"/>
    <w:rsid w:val="009E54FD"/>
    <w:rsid w:val="009E5D8D"/>
    <w:rsid w:val="009F08FC"/>
    <w:rsid w:val="009F130E"/>
    <w:rsid w:val="009F1B93"/>
    <w:rsid w:val="009F1ED9"/>
    <w:rsid w:val="009F2359"/>
    <w:rsid w:val="009F3071"/>
    <w:rsid w:val="009F31D8"/>
    <w:rsid w:val="009F6370"/>
    <w:rsid w:val="009F65D9"/>
    <w:rsid w:val="009F7398"/>
    <w:rsid w:val="009F7484"/>
    <w:rsid w:val="00A01131"/>
    <w:rsid w:val="00A0265A"/>
    <w:rsid w:val="00A033AC"/>
    <w:rsid w:val="00A0342C"/>
    <w:rsid w:val="00A03CE5"/>
    <w:rsid w:val="00A04979"/>
    <w:rsid w:val="00A078C5"/>
    <w:rsid w:val="00A1168A"/>
    <w:rsid w:val="00A11E6E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11D0"/>
    <w:rsid w:val="00A827AF"/>
    <w:rsid w:val="00A83A4B"/>
    <w:rsid w:val="00A84861"/>
    <w:rsid w:val="00A854F8"/>
    <w:rsid w:val="00A85C35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E9D"/>
    <w:rsid w:val="00AA5D6A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6DB5"/>
    <w:rsid w:val="00AC7562"/>
    <w:rsid w:val="00AC7A99"/>
    <w:rsid w:val="00AC7B73"/>
    <w:rsid w:val="00AC7FD1"/>
    <w:rsid w:val="00AD18F9"/>
    <w:rsid w:val="00AD2601"/>
    <w:rsid w:val="00AD2924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343B"/>
    <w:rsid w:val="00AF4D88"/>
    <w:rsid w:val="00AF530E"/>
    <w:rsid w:val="00AF6A50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362B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37F84"/>
    <w:rsid w:val="00B41FF0"/>
    <w:rsid w:val="00B4448F"/>
    <w:rsid w:val="00B4470A"/>
    <w:rsid w:val="00B44CDB"/>
    <w:rsid w:val="00B44EA2"/>
    <w:rsid w:val="00B50F19"/>
    <w:rsid w:val="00B53268"/>
    <w:rsid w:val="00B53771"/>
    <w:rsid w:val="00B5500B"/>
    <w:rsid w:val="00B56512"/>
    <w:rsid w:val="00B567B0"/>
    <w:rsid w:val="00B56E8A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B19"/>
    <w:rsid w:val="00B716A8"/>
    <w:rsid w:val="00B7176D"/>
    <w:rsid w:val="00B7285D"/>
    <w:rsid w:val="00B735DB"/>
    <w:rsid w:val="00B7543F"/>
    <w:rsid w:val="00B75E72"/>
    <w:rsid w:val="00B801D6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F09"/>
    <w:rsid w:val="00BB5B7D"/>
    <w:rsid w:val="00BB7A86"/>
    <w:rsid w:val="00BC6E30"/>
    <w:rsid w:val="00BD10FC"/>
    <w:rsid w:val="00BD13FF"/>
    <w:rsid w:val="00BD1796"/>
    <w:rsid w:val="00BD1F9B"/>
    <w:rsid w:val="00BD22F4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9C9"/>
    <w:rsid w:val="00C07D7A"/>
    <w:rsid w:val="00C10012"/>
    <w:rsid w:val="00C1067E"/>
    <w:rsid w:val="00C11396"/>
    <w:rsid w:val="00C11430"/>
    <w:rsid w:val="00C1213F"/>
    <w:rsid w:val="00C1271C"/>
    <w:rsid w:val="00C13BFF"/>
    <w:rsid w:val="00C147AB"/>
    <w:rsid w:val="00C14DC3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4F53"/>
    <w:rsid w:val="00C36152"/>
    <w:rsid w:val="00C3702F"/>
    <w:rsid w:val="00C40FE4"/>
    <w:rsid w:val="00C41DD5"/>
    <w:rsid w:val="00C424B8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1D2"/>
    <w:rsid w:val="00C60255"/>
    <w:rsid w:val="00C61219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EB1"/>
    <w:rsid w:val="00C776C3"/>
    <w:rsid w:val="00C77C0E"/>
    <w:rsid w:val="00C77D5A"/>
    <w:rsid w:val="00C8117D"/>
    <w:rsid w:val="00C81187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47B1"/>
    <w:rsid w:val="00C95A53"/>
    <w:rsid w:val="00C9660B"/>
    <w:rsid w:val="00C966E7"/>
    <w:rsid w:val="00C96FAA"/>
    <w:rsid w:val="00C97083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B015D"/>
    <w:rsid w:val="00CB047F"/>
    <w:rsid w:val="00CB26D1"/>
    <w:rsid w:val="00CB2ED9"/>
    <w:rsid w:val="00CB5A36"/>
    <w:rsid w:val="00CB5B77"/>
    <w:rsid w:val="00CC177B"/>
    <w:rsid w:val="00CC183C"/>
    <w:rsid w:val="00CC21AC"/>
    <w:rsid w:val="00CC2AA6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05551"/>
    <w:rsid w:val="00D117B1"/>
    <w:rsid w:val="00D12766"/>
    <w:rsid w:val="00D12A33"/>
    <w:rsid w:val="00D13BE2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022A"/>
    <w:rsid w:val="00D3273A"/>
    <w:rsid w:val="00D32CCD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C7185"/>
    <w:rsid w:val="00DD036F"/>
    <w:rsid w:val="00DD1FEE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1C92"/>
    <w:rsid w:val="00E1590A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2374"/>
    <w:rsid w:val="00E353C5"/>
    <w:rsid w:val="00E36ED1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4452"/>
    <w:rsid w:val="00E6044A"/>
    <w:rsid w:val="00E61FA5"/>
    <w:rsid w:val="00E6241A"/>
    <w:rsid w:val="00E661F0"/>
    <w:rsid w:val="00E664C5"/>
    <w:rsid w:val="00E66A4F"/>
    <w:rsid w:val="00E671A2"/>
    <w:rsid w:val="00E678AC"/>
    <w:rsid w:val="00E700AB"/>
    <w:rsid w:val="00E714EB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957A4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F8"/>
    <w:rsid w:val="00EB6683"/>
    <w:rsid w:val="00EB6EE5"/>
    <w:rsid w:val="00EC0584"/>
    <w:rsid w:val="00EC08F7"/>
    <w:rsid w:val="00EC2F3A"/>
    <w:rsid w:val="00EC354D"/>
    <w:rsid w:val="00EC385D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239A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2B59"/>
    <w:rsid w:val="00EF38BA"/>
    <w:rsid w:val="00EF3F1A"/>
    <w:rsid w:val="00EF48C7"/>
    <w:rsid w:val="00EF5731"/>
    <w:rsid w:val="00EF5A2A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1846"/>
    <w:rsid w:val="00F71CFC"/>
    <w:rsid w:val="00F74599"/>
    <w:rsid w:val="00F75529"/>
    <w:rsid w:val="00F760AB"/>
    <w:rsid w:val="00F764F2"/>
    <w:rsid w:val="00F76BDA"/>
    <w:rsid w:val="00F77D30"/>
    <w:rsid w:val="00F802BE"/>
    <w:rsid w:val="00F8134A"/>
    <w:rsid w:val="00F836AA"/>
    <w:rsid w:val="00F83D6A"/>
    <w:rsid w:val="00F84BB7"/>
    <w:rsid w:val="00F86024"/>
    <w:rsid w:val="00F8611A"/>
    <w:rsid w:val="00F868A8"/>
    <w:rsid w:val="00F86FF8"/>
    <w:rsid w:val="00F8758F"/>
    <w:rsid w:val="00F8797B"/>
    <w:rsid w:val="00F9115E"/>
    <w:rsid w:val="00F91F3F"/>
    <w:rsid w:val="00F91FEA"/>
    <w:rsid w:val="00F95FD5"/>
    <w:rsid w:val="00FA0176"/>
    <w:rsid w:val="00FA2122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102020,4,105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102020,4,105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FA9BA7-6ACD-442D-AE34-EAA70191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listopadzie 2020 roku</dc:title>
  <dc:subject/>
  <cp:keywords/>
  <dc:description/>
  <cp:lastPrinted>2020-12-16T08:29:00Z</cp:lastPrinted>
  <dcterms:created xsi:type="dcterms:W3CDTF">2020-11-18T13:46:00Z</dcterms:created>
  <dcterms:modified xsi:type="dcterms:W3CDTF">2020-12-16T09:20:00Z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