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2969D1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 xml:space="preserve">Działalność faktoringowa przedsiębiorstw </w:t>
      </w:r>
      <w:r w:rsidR="00E078AA">
        <w:rPr>
          <w:shd w:val="clear" w:color="auto" w:fill="FFFFFF"/>
        </w:rPr>
        <w:br/>
      </w:r>
      <w:r>
        <w:rPr>
          <w:shd w:val="clear" w:color="auto" w:fill="FFFFFF"/>
        </w:rPr>
        <w:t>finansowych</w:t>
      </w:r>
      <w:r w:rsidR="00E078AA">
        <w:rPr>
          <w:shd w:val="clear" w:color="auto" w:fill="FFFFFF"/>
        </w:rPr>
        <w:t xml:space="preserve"> </w:t>
      </w:r>
      <w:r>
        <w:rPr>
          <w:shd w:val="clear" w:color="auto" w:fill="FFFFFF"/>
        </w:rPr>
        <w:t>w 201</w:t>
      </w:r>
      <w:r w:rsidR="00320E71">
        <w:rPr>
          <w:shd w:val="clear" w:color="auto" w:fill="FFFFFF"/>
        </w:rPr>
        <w:t>9</w:t>
      </w:r>
      <w:r>
        <w:rPr>
          <w:shd w:val="clear" w:color="auto" w:fill="FFFFFF"/>
        </w:rPr>
        <w:t> r.</w:t>
      </w:r>
    </w:p>
    <w:p w:rsidR="00393761" w:rsidRPr="00001C5B" w:rsidRDefault="002F689B" w:rsidP="002F689B">
      <w:pPr>
        <w:pStyle w:val="tytuinformacji"/>
        <w:tabs>
          <w:tab w:val="left" w:pos="5576"/>
        </w:tabs>
        <w:rPr>
          <w:sz w:val="32"/>
        </w:rPr>
      </w:pPr>
      <w:r>
        <w:rPr>
          <w:sz w:val="32"/>
        </w:rPr>
        <w:tab/>
      </w:r>
    </w:p>
    <w:p w:rsidR="005916D7" w:rsidRPr="002969D1" w:rsidRDefault="00003437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CA4066" wp14:editId="56CA406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98955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C0B8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6CA40A3">
                                <v:shape id="Obraz 33" o:spid="_x0000_i1025" type="#_x0000_t75" style="width:26.4pt;height:26.4pt;visibility:visible" o:bullet="t">
                                  <v:imagedata r:id="rId10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26708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F145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145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:rsidR="00933EC1" w:rsidRPr="001F6E7A" w:rsidRDefault="009010C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F6E7A">
                              <w:t xml:space="preserve">Dynamika wartości </w:t>
                            </w:r>
                            <w:r w:rsidR="001F6E7A">
                              <w:br/>
                            </w:r>
                            <w:r w:rsidRPr="001F6E7A">
                              <w:t xml:space="preserve">wykupionych wierzytelności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A40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1.65pt;height:82.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" fillcolor="#001d77" stroked="f">
                <v:textbox>
                  <w:txbxContent>
                    <w:p w:rsidR="00933EC1" w:rsidRPr="00B66B19" w:rsidRDefault="008C0B8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56CA40A3">
                          <v:shape id="Obraz 33" o:spid="_x0000_i1025" type="#_x0000_t75" style="width:26.4pt;height:26.4pt;visibility:visible" o:bullet="t">
                            <v:imagedata r:id="rId10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26708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F145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145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:rsidR="00933EC1" w:rsidRPr="001F6E7A" w:rsidRDefault="009010C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1F6E7A">
                        <w:t xml:space="preserve">Dynamika wartości </w:t>
                      </w:r>
                      <w:r w:rsidR="001F6E7A">
                        <w:br/>
                      </w:r>
                      <w:r w:rsidRPr="001F6E7A">
                        <w:t xml:space="preserve">wykupionych wierzytelności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69D1" w:rsidRPr="002969D1">
        <w:t>W 201</w:t>
      </w:r>
      <w:r w:rsidR="00320E71">
        <w:t>9</w:t>
      </w:r>
      <w:r w:rsidR="002969D1" w:rsidRPr="002969D1">
        <w:t> r. badaniem obj</w:t>
      </w:r>
      <w:r w:rsidR="00306028">
        <w:t>ę</w:t>
      </w:r>
      <w:r w:rsidR="002969D1" w:rsidRPr="002969D1">
        <w:t>t</w:t>
      </w:r>
      <w:r w:rsidR="00DC4B1C">
        <w:t>o</w:t>
      </w:r>
      <w:r w:rsidR="002969D1" w:rsidRPr="002969D1">
        <w:t xml:space="preserve"> 5</w:t>
      </w:r>
      <w:r w:rsidR="00F1455D">
        <w:t>4</w:t>
      </w:r>
      <w:r w:rsidR="002969D1" w:rsidRPr="002969D1">
        <w:t xml:space="preserve"> podmiot</w:t>
      </w:r>
      <w:r w:rsidR="00DC4B1C">
        <w:t>y p</w:t>
      </w:r>
      <w:r w:rsidR="002969D1" w:rsidRPr="002969D1">
        <w:t>rowadząc</w:t>
      </w:r>
      <w:r w:rsidR="00DC4B1C">
        <w:t>e</w:t>
      </w:r>
      <w:r w:rsidR="002969D1" w:rsidRPr="002969D1">
        <w:t xml:space="preserve"> działalność </w:t>
      </w:r>
      <w:r w:rsidR="002969D1">
        <w:t xml:space="preserve">faktoringową. Wartość wykupionych wierzytelności przez badane przedsiębiorstwa wzrosła w porównaniu z poprzednim rokiem o </w:t>
      </w:r>
      <w:r w:rsidR="00267080">
        <w:t>2</w:t>
      </w:r>
      <w:r w:rsidR="00F1455D">
        <w:t>7</w:t>
      </w:r>
      <w:r w:rsidR="002969D1">
        <w:t>,</w:t>
      </w:r>
      <w:r w:rsidR="00F1455D">
        <w:t>9</w:t>
      </w:r>
      <w:r w:rsidR="002969D1">
        <w:t xml:space="preserve">% i wyniosła </w:t>
      </w:r>
      <w:r w:rsidR="00F1455D">
        <w:t>315</w:t>
      </w:r>
      <w:r w:rsidR="00267080">
        <w:t> </w:t>
      </w:r>
      <w:r w:rsidR="00F1455D">
        <w:t>024</w:t>
      </w:r>
      <w:r w:rsidR="002969D1">
        <w:t xml:space="preserve"> mln zł. Z usług faktoringowych skorzysta</w:t>
      </w:r>
      <w:r w:rsidR="00306028">
        <w:t>ł</w:t>
      </w:r>
      <w:r w:rsidR="002969D1">
        <w:t xml:space="preserve">o </w:t>
      </w:r>
      <w:r w:rsidR="00F1455D">
        <w:t>2</w:t>
      </w:r>
      <w:r w:rsidR="00DC4B1C">
        <w:t>2</w:t>
      </w:r>
      <w:r w:rsidR="002969D1">
        <w:t> </w:t>
      </w:r>
      <w:r w:rsidR="00DC4B1C">
        <w:t>0</w:t>
      </w:r>
      <w:r w:rsidR="00F1455D">
        <w:t>83</w:t>
      </w:r>
      <w:r w:rsidR="002969D1">
        <w:t xml:space="preserve"> klientów</w:t>
      </w:r>
      <w:r w:rsidR="00F1455D">
        <w:t>.</w:t>
      </w:r>
    </w:p>
    <w:p w:rsidR="00003437" w:rsidRPr="002969D1" w:rsidRDefault="00907B33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6CA4064" wp14:editId="56CA4065">
                <wp:simplePos x="0" y="0"/>
                <wp:positionH relativeFrom="column">
                  <wp:posOffset>3397250</wp:posOffset>
                </wp:positionH>
                <wp:positionV relativeFrom="paragraph">
                  <wp:posOffset>135890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1F6E7A" w:rsidRDefault="001F6E7A" w:rsidP="00074DD8">
                            <w:pPr>
                              <w:pStyle w:val="tekstzboku"/>
                            </w:pPr>
                            <w:r>
                              <w:t>Przedsiębiorstwa faktoringowe w 201</w:t>
                            </w:r>
                            <w:r w:rsidR="007471D8">
                              <w:t>9</w:t>
                            </w:r>
                            <w:r>
                              <w:t xml:space="preserve"> r. wykupiły 1</w:t>
                            </w:r>
                            <w:r w:rsidR="00F1455D">
                              <w:t>3</w:t>
                            </w:r>
                            <w:r w:rsidR="00734304">
                              <w:t>,</w:t>
                            </w:r>
                            <w:r w:rsidR="00F1455D">
                              <w:t>6</w:t>
                            </w:r>
                            <w:r w:rsidR="00734304">
                              <w:t> mln</w:t>
                            </w:r>
                            <w:r w:rsidR="004B645B">
                              <w:t xml:space="preserve"> </w:t>
                            </w:r>
                            <w:r>
                              <w:t xml:space="preserve">faktur o wartości </w:t>
                            </w:r>
                            <w:r w:rsidR="00F1455D">
                              <w:t>315</w:t>
                            </w:r>
                            <w:r w:rsidR="00734304">
                              <w:t>,</w:t>
                            </w:r>
                            <w:r w:rsidR="00F1455D">
                              <w:t>0</w:t>
                            </w:r>
                            <w:r>
                              <w:t xml:space="preserve"> ml</w:t>
                            </w:r>
                            <w:r w:rsidR="00734304">
                              <w:t>d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64" id="_x0000_s1027" type="#_x0000_t202" style="position:absolute;margin-left:267.5pt;margin-top:10.7pt;width:135.85pt;height:82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CKdFE53wAAAAoBAAAPAAAAAAAAAAAAAAAAAGwEAABkcnMvZG93bnJldi54bWxQSwUGAAAAAAQA&#10;BADzAAAAeAUAAAAA&#10;" filled="f" stroked="f">
                <v:textbox>
                  <w:txbxContent>
                    <w:p w:rsidR="007A2DC1" w:rsidRPr="001F6E7A" w:rsidRDefault="001F6E7A" w:rsidP="00074DD8">
                      <w:pPr>
                        <w:pStyle w:val="tekstzboku"/>
                      </w:pPr>
                      <w:r>
                        <w:t>Przedsiębiorstwa faktoringowe w 201</w:t>
                      </w:r>
                      <w:r w:rsidR="007471D8">
                        <w:t>9</w:t>
                      </w:r>
                      <w:r>
                        <w:t xml:space="preserve"> r. wykupiły 1</w:t>
                      </w:r>
                      <w:r w:rsidR="00F1455D">
                        <w:t>3</w:t>
                      </w:r>
                      <w:r w:rsidR="00734304">
                        <w:t>,</w:t>
                      </w:r>
                      <w:r w:rsidR="00F1455D">
                        <w:t>6</w:t>
                      </w:r>
                      <w:r w:rsidR="00734304">
                        <w:t> mln</w:t>
                      </w:r>
                      <w:r w:rsidR="004B645B">
                        <w:t xml:space="preserve"> </w:t>
                      </w:r>
                      <w:r>
                        <w:t xml:space="preserve">faktur o wartości </w:t>
                      </w:r>
                      <w:r w:rsidR="00F1455D">
                        <w:t>315</w:t>
                      </w:r>
                      <w:r w:rsidR="00734304">
                        <w:t>,</w:t>
                      </w:r>
                      <w:r w:rsidR="00F1455D">
                        <w:t>0</w:t>
                      </w:r>
                      <w:r>
                        <w:t xml:space="preserve"> ml</w:t>
                      </w:r>
                      <w:r w:rsidR="00734304">
                        <w:t>d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22105" w:rsidRPr="00064FEF" w:rsidRDefault="00074DD8" w:rsidP="00074DD8">
      <w:pPr>
        <w:pStyle w:val="Nagwek1"/>
      </w:pPr>
      <w:r w:rsidRPr="00064FEF">
        <w:rPr>
          <w:shd w:val="clear" w:color="auto" w:fill="FFFFFF"/>
        </w:rPr>
        <w:t xml:space="preserve"> </w:t>
      </w:r>
      <w:r w:rsidR="00B57E4A" w:rsidRPr="00064FEF">
        <w:rPr>
          <w:shd w:val="clear" w:color="auto" w:fill="FFFFFF"/>
        </w:rPr>
        <w:t>Podstawowe dane o przedsiębiorstwach faktoringowych</w:t>
      </w:r>
    </w:p>
    <w:p w:rsidR="0098156A" w:rsidRDefault="00B57E4A" w:rsidP="00074DD8">
      <w:pPr>
        <w:rPr>
          <w:shd w:val="clear" w:color="auto" w:fill="FFFFFF"/>
        </w:rPr>
      </w:pPr>
      <w:r>
        <w:rPr>
          <w:shd w:val="clear" w:color="auto" w:fill="FFFFFF"/>
        </w:rPr>
        <w:t>W grupie 5</w:t>
      </w:r>
      <w:r w:rsidR="00F1455D">
        <w:rPr>
          <w:shd w:val="clear" w:color="auto" w:fill="FFFFFF"/>
        </w:rPr>
        <w:t>4</w:t>
      </w:r>
      <w:r>
        <w:rPr>
          <w:shd w:val="clear" w:color="auto" w:fill="FFFFFF"/>
        </w:rPr>
        <w:t xml:space="preserve"> </w:t>
      </w:r>
      <w:r w:rsidR="004B645B">
        <w:rPr>
          <w:shd w:val="clear" w:color="auto" w:fill="FFFFFF"/>
        </w:rPr>
        <w:t xml:space="preserve">zbadanych </w:t>
      </w:r>
      <w:r>
        <w:rPr>
          <w:shd w:val="clear" w:color="auto" w:fill="FFFFFF"/>
        </w:rPr>
        <w:t>podmiotów prowadzących w 201</w:t>
      </w:r>
      <w:r w:rsidR="007471D8">
        <w:rPr>
          <w:shd w:val="clear" w:color="auto" w:fill="FFFFFF"/>
        </w:rPr>
        <w:t>9</w:t>
      </w:r>
      <w:r>
        <w:rPr>
          <w:shd w:val="clear" w:color="auto" w:fill="FFFFFF"/>
        </w:rPr>
        <w:t xml:space="preserve"> r. działalność faktoringową było </w:t>
      </w:r>
      <w:r w:rsidR="007A5274">
        <w:rPr>
          <w:shd w:val="clear" w:color="auto" w:fill="FFFFFF"/>
        </w:rPr>
        <w:t>4</w:t>
      </w:r>
      <w:r w:rsidR="00F1455D">
        <w:rPr>
          <w:shd w:val="clear" w:color="auto" w:fill="FFFFFF"/>
        </w:rPr>
        <w:t>6</w:t>
      </w:r>
      <w:r w:rsidR="00734304">
        <w:rPr>
          <w:shd w:val="clear" w:color="auto" w:fill="FFFFFF"/>
        </w:rPr>
        <w:t> </w:t>
      </w:r>
      <w:r>
        <w:rPr>
          <w:shd w:val="clear" w:color="auto" w:fill="FFFFFF"/>
        </w:rPr>
        <w:t>niebankowych przedsiębiorstw prowadzących ten rod</w:t>
      </w:r>
      <w:bookmarkStart w:id="0" w:name="_GoBack"/>
      <w:bookmarkEnd w:id="0"/>
      <w:r>
        <w:rPr>
          <w:shd w:val="clear" w:color="auto" w:fill="FFFFFF"/>
        </w:rPr>
        <w:t xml:space="preserve">zaj działalności oraz </w:t>
      </w:r>
      <w:r w:rsidR="00304947">
        <w:rPr>
          <w:shd w:val="clear" w:color="auto" w:fill="FFFFFF"/>
        </w:rPr>
        <w:t>osiem</w:t>
      </w:r>
      <w:r>
        <w:rPr>
          <w:shd w:val="clear" w:color="auto" w:fill="FFFFFF"/>
        </w:rPr>
        <w:t xml:space="preserve"> banków komercyjnych, które zajmowały się faktoringiem obok statutowej działalności bankowej</w:t>
      </w:r>
      <w:r w:rsidR="00074DD8" w:rsidRPr="00B57E4A">
        <w:rPr>
          <w:shd w:val="clear" w:color="auto" w:fill="FFFFFF"/>
        </w:rPr>
        <w:t>.</w:t>
      </w: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1612"/>
        <w:gridCol w:w="1613"/>
        <w:gridCol w:w="1613"/>
      </w:tblGrid>
      <w:tr w:rsidR="000F2697" w:rsidRPr="00FA5128" w:rsidTr="00DF76A0">
        <w:trPr>
          <w:trHeight w:val="57"/>
        </w:trPr>
        <w:tc>
          <w:tcPr>
            <w:tcW w:w="3085" w:type="dxa"/>
            <w:vMerge w:val="restart"/>
            <w:vAlign w:val="center"/>
          </w:tcPr>
          <w:p w:rsidR="000F2697" w:rsidRPr="009C7251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vAlign w:val="center"/>
          </w:tcPr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Faktoringowe przedsiębiorstwa niebankowe</w:t>
            </w:r>
          </w:p>
        </w:tc>
        <w:tc>
          <w:tcPr>
            <w:tcW w:w="1613" w:type="dxa"/>
            <w:vAlign w:val="center"/>
          </w:tcPr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0F2697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0F2697" w:rsidRPr="00FA5128" w:rsidRDefault="000F269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0F2697" w:rsidRPr="00FA5128" w:rsidTr="00DF76A0">
        <w:trPr>
          <w:trHeight w:val="57"/>
        </w:trPr>
        <w:tc>
          <w:tcPr>
            <w:tcW w:w="3085" w:type="dxa"/>
            <w:vMerge/>
            <w:tcBorders>
              <w:bottom w:val="single" w:sz="12" w:space="0" w:color="001D77"/>
            </w:tcBorders>
            <w:vAlign w:val="center"/>
          </w:tcPr>
          <w:p w:rsidR="000F2697" w:rsidRPr="00FA5128" w:rsidRDefault="000F269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38" w:type="dxa"/>
            <w:gridSpan w:val="3"/>
            <w:tcBorders>
              <w:bottom w:val="single" w:sz="12" w:space="0" w:color="001D77"/>
            </w:tcBorders>
            <w:vAlign w:val="center"/>
          </w:tcPr>
          <w:p w:rsidR="000F2697" w:rsidRPr="00FA5128" w:rsidRDefault="000F2697" w:rsidP="00EC2C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podmiotów</w:t>
            </w:r>
          </w:p>
        </w:tc>
      </w:tr>
      <w:tr w:rsidR="000F2697" w:rsidRPr="00FA5128" w:rsidTr="00DF76A0">
        <w:trPr>
          <w:trHeight w:val="57"/>
        </w:trPr>
        <w:tc>
          <w:tcPr>
            <w:tcW w:w="3085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0F2697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Badane podmioty ogółem</w:t>
            </w:r>
          </w:p>
        </w:tc>
        <w:tc>
          <w:tcPr>
            <w:tcW w:w="161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761242" w:rsidP="007A52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613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761242" w:rsidP="00EC2CF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613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0F2697" w:rsidRPr="00FA5128" w:rsidRDefault="00761242" w:rsidP="007A52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tcBorders>
              <w:top w:val="single" w:sz="4" w:space="0" w:color="001D77"/>
            </w:tcBorders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jedyny rodzaj działalności</w:t>
            </w:r>
          </w:p>
        </w:tc>
        <w:tc>
          <w:tcPr>
            <w:tcW w:w="1612" w:type="dxa"/>
            <w:tcBorders>
              <w:top w:val="single" w:sz="4" w:space="0" w:color="001D77"/>
            </w:tcBorders>
            <w:vAlign w:val="center"/>
          </w:tcPr>
          <w:p w:rsidR="000F2697" w:rsidRPr="005E7160" w:rsidRDefault="00761242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613" w:type="dxa"/>
            <w:tcBorders>
              <w:top w:val="single" w:sz="4" w:space="0" w:color="001D77"/>
            </w:tcBorders>
            <w:vAlign w:val="center"/>
          </w:tcPr>
          <w:p w:rsidR="000F2697" w:rsidRPr="005E7160" w:rsidRDefault="00761242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613" w:type="dxa"/>
            <w:tcBorders>
              <w:top w:val="single" w:sz="4" w:space="0" w:color="001D77"/>
            </w:tcBorders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dominująca</w:t>
            </w:r>
          </w:p>
        </w:tc>
        <w:tc>
          <w:tcPr>
            <w:tcW w:w="1612" w:type="dxa"/>
            <w:vAlign w:val="center"/>
          </w:tcPr>
          <w:p w:rsidR="000F2697" w:rsidRPr="005E7160" w:rsidRDefault="00761242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0F2697" w:rsidRPr="005E7160" w:rsidRDefault="00761242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0F2697" w:rsidRPr="005E7160" w:rsidRDefault="000F2697" w:rsidP="00EC2C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</w:tr>
      <w:tr w:rsidR="000F2697" w:rsidRPr="005E7160" w:rsidTr="00DF76A0">
        <w:trPr>
          <w:trHeight w:val="57"/>
        </w:trPr>
        <w:tc>
          <w:tcPr>
            <w:tcW w:w="3085" w:type="dxa"/>
            <w:vAlign w:val="center"/>
          </w:tcPr>
          <w:p w:rsidR="000F2697" w:rsidRPr="005E7160" w:rsidRDefault="000F2697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5E7160">
              <w:rPr>
                <w:rFonts w:ascii="Fira Sans" w:hAnsi="Fira Sans"/>
                <w:color w:val="000000" w:themeColor="text1"/>
                <w:sz w:val="16"/>
                <w:szCs w:val="16"/>
              </w:rPr>
              <w:t>Faktoring – działalność uboczna</w:t>
            </w:r>
          </w:p>
        </w:tc>
        <w:tc>
          <w:tcPr>
            <w:tcW w:w="1612" w:type="dxa"/>
            <w:vAlign w:val="center"/>
          </w:tcPr>
          <w:p w:rsidR="000F2697" w:rsidRPr="005E7160" w:rsidRDefault="00761242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613" w:type="dxa"/>
            <w:vAlign w:val="center"/>
          </w:tcPr>
          <w:p w:rsidR="000F2697" w:rsidRPr="005E7160" w:rsidRDefault="00761242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613" w:type="dxa"/>
            <w:vAlign w:val="center"/>
          </w:tcPr>
          <w:p w:rsidR="000F2697" w:rsidRPr="005E7160" w:rsidRDefault="00761242" w:rsidP="007A52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:rsidR="000F2697" w:rsidRPr="000F2697" w:rsidRDefault="000F2697" w:rsidP="000F269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>Tablica 1. Działalność badanych podmiotów</w:t>
      </w:r>
    </w:p>
    <w:p w:rsidR="000F2697" w:rsidRDefault="000F2697" w:rsidP="00074DD8">
      <w:pPr>
        <w:rPr>
          <w:shd w:val="clear" w:color="auto" w:fill="FFFFFF"/>
        </w:rPr>
      </w:pPr>
    </w:p>
    <w:p w:rsidR="00495A07" w:rsidRDefault="0033507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>
        <w:rPr>
          <w:shd w:val="clear" w:color="auto" w:fill="FFFFFF"/>
        </w:rPr>
        <w:t xml:space="preserve">Spośród niebankowych przedsiębiorstw </w:t>
      </w:r>
      <w:r w:rsidR="002C4D14">
        <w:rPr>
          <w:shd w:val="clear" w:color="auto" w:fill="FFFFFF"/>
        </w:rPr>
        <w:t>faktoringowych 2</w:t>
      </w:r>
      <w:r w:rsidR="00FE4DBD">
        <w:rPr>
          <w:shd w:val="clear" w:color="auto" w:fill="FFFFFF"/>
        </w:rPr>
        <w:t>8</w:t>
      </w:r>
      <w:r w:rsidR="002C4D14">
        <w:rPr>
          <w:shd w:val="clear" w:color="auto" w:fill="FFFFFF"/>
        </w:rPr>
        <w:t xml:space="preserve"> należało do grup kapitałowych, w</w:t>
      </w:r>
      <w:r w:rsidR="00E078AA">
        <w:rPr>
          <w:shd w:val="clear" w:color="auto" w:fill="FFFFFF"/>
        </w:rPr>
        <w:t> </w:t>
      </w:r>
      <w:r w:rsidR="002C4D14">
        <w:rPr>
          <w:shd w:val="clear" w:color="auto" w:fill="FFFFFF"/>
        </w:rPr>
        <w:t xml:space="preserve">tym </w:t>
      </w:r>
      <w:r w:rsidR="007A5274">
        <w:rPr>
          <w:shd w:val="clear" w:color="auto" w:fill="FFFFFF"/>
        </w:rPr>
        <w:t>24</w:t>
      </w:r>
      <w:r w:rsidR="002C4D14">
        <w:rPr>
          <w:shd w:val="clear" w:color="auto" w:fill="FFFFFF"/>
        </w:rPr>
        <w:t xml:space="preserve"> było jednostkami zależnymi, </w:t>
      </w:r>
      <w:r w:rsidR="007A5274">
        <w:rPr>
          <w:shd w:val="clear" w:color="auto" w:fill="FFFFFF"/>
        </w:rPr>
        <w:t>jedna</w:t>
      </w:r>
      <w:r w:rsidR="002C4D14">
        <w:rPr>
          <w:shd w:val="clear" w:color="auto" w:fill="FFFFFF"/>
        </w:rPr>
        <w:t xml:space="preserve"> jednostk</w:t>
      </w:r>
      <w:r w:rsidR="007A5274">
        <w:rPr>
          <w:shd w:val="clear" w:color="auto" w:fill="FFFFFF"/>
        </w:rPr>
        <w:t>ą</w:t>
      </w:r>
      <w:r w:rsidR="002C4D14">
        <w:rPr>
          <w:shd w:val="clear" w:color="auto" w:fill="FFFFFF"/>
        </w:rPr>
        <w:t xml:space="preserve"> dominując</w:t>
      </w:r>
      <w:r w:rsidR="007A5274">
        <w:rPr>
          <w:shd w:val="clear" w:color="auto" w:fill="FFFFFF"/>
        </w:rPr>
        <w:t>ą</w:t>
      </w:r>
      <w:r w:rsidR="002C4D14">
        <w:rPr>
          <w:shd w:val="clear" w:color="auto" w:fill="FFFFFF"/>
        </w:rPr>
        <w:t xml:space="preserve"> i </w:t>
      </w:r>
      <w:r w:rsidR="007A5274">
        <w:rPr>
          <w:shd w:val="clear" w:color="auto" w:fill="FFFFFF"/>
        </w:rPr>
        <w:t>trzy</w:t>
      </w:r>
      <w:r w:rsidR="002C4D14">
        <w:rPr>
          <w:shd w:val="clear" w:color="auto" w:fill="FFFFFF"/>
        </w:rPr>
        <w:t xml:space="preserve"> jednostkami dominującymi i zależnymi jednocześnie. Natomiast wśród badanych banków </w:t>
      </w:r>
      <w:r w:rsidR="00304947">
        <w:rPr>
          <w:shd w:val="clear" w:color="auto" w:fill="FFFFFF"/>
        </w:rPr>
        <w:t>siedem</w:t>
      </w:r>
      <w:r w:rsidR="002C4D14">
        <w:rPr>
          <w:shd w:val="clear" w:color="auto" w:fill="FFFFFF"/>
        </w:rPr>
        <w:t xml:space="preserve"> należało do grup kapitałowych.</w:t>
      </w:r>
      <w:r w:rsidR="00495A07" w:rsidRPr="00495A07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495A07" w:rsidRDefault="00495A07" w:rsidP="00074DD8">
      <w:pPr>
        <w:rPr>
          <w:rFonts w:ascii="Calibri" w:eastAsia="Times New Roman" w:hAnsi="Calibri" w:cs="Times New Roman"/>
          <w:sz w:val="22"/>
          <w:szCs w:val="24"/>
          <w:lang w:eastAsia="pl-PL"/>
        </w:rPr>
      </w:pPr>
      <w:r w:rsidRPr="00B96ECF">
        <w:rPr>
          <w:shd w:val="clear" w:color="auto" w:fill="FFFFFF"/>
        </w:rPr>
        <w:t xml:space="preserve">W </w:t>
      </w:r>
      <w:r w:rsidR="00304947">
        <w:rPr>
          <w:shd w:val="clear" w:color="auto" w:fill="FFFFFF"/>
        </w:rPr>
        <w:t>33</w:t>
      </w:r>
      <w:r w:rsidRPr="00B96ECF">
        <w:rPr>
          <w:shd w:val="clear" w:color="auto" w:fill="FFFFFF"/>
        </w:rPr>
        <w:t xml:space="preserve"> niebankowych przedsiębiorstwach faktoringowych dominował kapitał krajowy, w</w:t>
      </w:r>
      <w:r w:rsidR="007A5274">
        <w:rPr>
          <w:shd w:val="clear" w:color="auto" w:fill="FFFFFF"/>
        </w:rPr>
        <w:t xml:space="preserve"> </w:t>
      </w:r>
      <w:r w:rsidR="00304947">
        <w:rPr>
          <w:shd w:val="clear" w:color="auto" w:fill="FFFFFF"/>
        </w:rPr>
        <w:t xml:space="preserve">12 </w:t>
      </w:r>
      <w:r w:rsidRPr="00B96ECF">
        <w:rPr>
          <w:shd w:val="clear" w:color="auto" w:fill="FFFFFF"/>
        </w:rPr>
        <w:t>kapitał zagraniczny, natomiast jedno przedsiębiorstwo miało 50% udział kapitału krajowego i</w:t>
      </w:r>
      <w:r w:rsidR="00304947">
        <w:rPr>
          <w:shd w:val="clear" w:color="auto" w:fill="FFFFFF"/>
        </w:rPr>
        <w:t> </w:t>
      </w:r>
      <w:r w:rsidRPr="00B96ECF">
        <w:rPr>
          <w:shd w:val="clear" w:color="auto" w:fill="FFFFFF"/>
        </w:rPr>
        <w:t>zagranicznego. W grupie niebankowych przedsiębiorstw prowadzących działalność faktoringową dominowały spółki akcyjne (2</w:t>
      </w:r>
      <w:r w:rsidR="00FE4DBD">
        <w:rPr>
          <w:shd w:val="clear" w:color="auto" w:fill="FFFFFF"/>
        </w:rPr>
        <w:t>3</w:t>
      </w:r>
      <w:r w:rsidRPr="00B96ECF">
        <w:rPr>
          <w:shd w:val="clear" w:color="auto" w:fill="FFFFFF"/>
        </w:rPr>
        <w:t xml:space="preserve"> jednostki) i spółki z ograniczoną odpowiedzialnością (</w:t>
      </w:r>
      <w:r w:rsidR="007A5274">
        <w:rPr>
          <w:shd w:val="clear" w:color="auto" w:fill="FFFFFF"/>
        </w:rPr>
        <w:t>2</w:t>
      </w:r>
      <w:r w:rsidRPr="00B96ECF">
        <w:rPr>
          <w:shd w:val="clear" w:color="auto" w:fill="FFFFFF"/>
        </w:rPr>
        <w:t>1 jednostek), dwa przedsiębiorstwa miały inną formę organizacyjną.</w:t>
      </w:r>
      <w:r w:rsidRPr="00B96ECF">
        <w:rPr>
          <w:rFonts w:ascii="Calibri" w:eastAsia="Times New Roman" w:hAnsi="Calibri" w:cs="Times New Roman"/>
          <w:sz w:val="22"/>
          <w:szCs w:val="24"/>
          <w:lang w:eastAsia="pl-PL"/>
        </w:rPr>
        <w:t xml:space="preserve"> </w:t>
      </w:r>
    </w:p>
    <w:p w:rsidR="00335077" w:rsidRDefault="00495A07" w:rsidP="00074DD8">
      <w:pPr>
        <w:rPr>
          <w:shd w:val="clear" w:color="auto" w:fill="FFFFFF"/>
        </w:rPr>
      </w:pPr>
      <w:r w:rsidRPr="00495A07">
        <w:rPr>
          <w:shd w:val="clear" w:color="auto" w:fill="FFFFFF"/>
        </w:rPr>
        <w:t>Niebankowe przedsiębiors</w:t>
      </w:r>
      <w:r w:rsidR="007A5274">
        <w:rPr>
          <w:shd w:val="clear" w:color="auto" w:fill="FFFFFF"/>
        </w:rPr>
        <w:t>twa faktoringowe zatrudniały 1 </w:t>
      </w:r>
      <w:r w:rsidR="00FE4DBD">
        <w:rPr>
          <w:shd w:val="clear" w:color="auto" w:fill="FFFFFF"/>
        </w:rPr>
        <w:t>625</w:t>
      </w:r>
      <w:r w:rsidRPr="00495A07">
        <w:rPr>
          <w:shd w:val="clear" w:color="auto" w:fill="FFFFFF"/>
        </w:rPr>
        <w:t xml:space="preserve"> os</w:t>
      </w:r>
      <w:r w:rsidR="00FE4DBD">
        <w:rPr>
          <w:shd w:val="clear" w:color="auto" w:fill="FFFFFF"/>
        </w:rPr>
        <w:t>ób</w:t>
      </w:r>
      <w:r w:rsidRPr="00495A07">
        <w:rPr>
          <w:shd w:val="clear" w:color="auto" w:fill="FFFFFF"/>
        </w:rPr>
        <w:t xml:space="preserve"> na podstawie umowy o</w:t>
      </w:r>
      <w:r w:rsidR="00E078AA">
        <w:rPr>
          <w:shd w:val="clear" w:color="auto" w:fill="FFFFFF"/>
        </w:rPr>
        <w:t> </w:t>
      </w:r>
      <w:r w:rsidRPr="00495A07">
        <w:rPr>
          <w:shd w:val="clear" w:color="auto" w:fill="FFFFFF"/>
        </w:rPr>
        <w:t xml:space="preserve">pracę, </w:t>
      </w:r>
      <w:r w:rsidR="00FE4DBD">
        <w:rPr>
          <w:shd w:val="clear" w:color="auto" w:fill="FFFFFF"/>
        </w:rPr>
        <w:t>115</w:t>
      </w:r>
      <w:r w:rsidRPr="00495A07">
        <w:rPr>
          <w:shd w:val="clear" w:color="auto" w:fill="FFFFFF"/>
        </w:rPr>
        <w:t xml:space="preserve"> na podstawie umowy zlecenia, agencyjnej lub umowy o dzieło, a </w:t>
      </w:r>
      <w:r w:rsidR="007A5274">
        <w:rPr>
          <w:shd w:val="clear" w:color="auto" w:fill="FFFFFF"/>
        </w:rPr>
        <w:t>2</w:t>
      </w:r>
      <w:r w:rsidR="00FE4DBD">
        <w:rPr>
          <w:shd w:val="clear" w:color="auto" w:fill="FFFFFF"/>
        </w:rPr>
        <w:t>58</w:t>
      </w:r>
      <w:r w:rsidRPr="00495A07">
        <w:rPr>
          <w:shd w:val="clear" w:color="auto" w:fill="FFFFFF"/>
        </w:rPr>
        <w:t xml:space="preserve"> na podstawie ustawy o działalności gospodarczej. Sieć dystrybucji tworzyło łącznie </w:t>
      </w:r>
      <w:r>
        <w:rPr>
          <w:shd w:val="clear" w:color="auto" w:fill="FFFFFF"/>
        </w:rPr>
        <w:t>3</w:t>
      </w:r>
      <w:r w:rsidR="00FE4DBD">
        <w:rPr>
          <w:shd w:val="clear" w:color="auto" w:fill="FFFFFF"/>
        </w:rPr>
        <w:t>45</w:t>
      </w:r>
      <w:r w:rsidRPr="00495A07">
        <w:rPr>
          <w:shd w:val="clear" w:color="auto" w:fill="FFFFFF"/>
        </w:rPr>
        <w:t xml:space="preserve"> oddziałów, przedstawicielstw i filii.</w:t>
      </w:r>
    </w:p>
    <w:p w:rsidR="00495A07" w:rsidRPr="00064FEF" w:rsidRDefault="00907B33" w:rsidP="00495A07">
      <w:pPr>
        <w:pStyle w:val="Nagwek1"/>
      </w:pPr>
      <w:r w:rsidRPr="00633014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054DAA" wp14:editId="448167DF">
                <wp:simplePos x="0" y="0"/>
                <wp:positionH relativeFrom="column">
                  <wp:posOffset>5260340</wp:posOffset>
                </wp:positionH>
                <wp:positionV relativeFrom="paragraph">
                  <wp:posOffset>88900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064FEF" w:rsidRDefault="001F6E7A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usług faktoringowych w 201</w:t>
                            </w:r>
                            <w:r w:rsidR="007471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 r. </w:t>
                            </w:r>
                            <w:r w:rsidR="003049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korzystało </w:t>
                            </w:r>
                            <w:r w:rsidR="00CE50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22</w:t>
                            </w:r>
                            <w:r w:rsidR="000E23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,1 tys.</w:t>
                            </w:r>
                            <w:r w:rsidRPr="00064F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klientów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4DAA" id="_x0000_s1028" type="#_x0000_t202" style="position:absolute;margin-left:414.2pt;margin-top:7pt;width:135.85pt;height:6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" filled="f" stroked="f">
                <v:textbox>
                  <w:txbxContent>
                    <w:p w:rsidR="00D616D2" w:rsidRPr="00064FEF" w:rsidRDefault="001F6E7A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usług faktoringowych w 201</w:t>
                      </w:r>
                      <w:r w:rsidR="007471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 r. </w:t>
                      </w:r>
                      <w:r w:rsidR="003049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korzystało </w:t>
                      </w:r>
                      <w:r w:rsidR="00CE50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22</w:t>
                      </w:r>
                      <w:r w:rsidR="000E23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,1 tys.</w:t>
                      </w:r>
                      <w:r w:rsidRPr="00064F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klientów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5A07" w:rsidRPr="00064FEF">
        <w:rPr>
          <w:shd w:val="clear" w:color="auto" w:fill="FFFFFF"/>
        </w:rPr>
        <w:t>Charakterystyka usług faktoringowych</w:t>
      </w:r>
    </w:p>
    <w:p w:rsidR="003B78B9" w:rsidRPr="00471212" w:rsidRDefault="003B78B9" w:rsidP="003B78B9">
      <w:pPr>
        <w:rPr>
          <w:shd w:val="clear" w:color="auto" w:fill="FFFFFF"/>
        </w:rPr>
      </w:pPr>
      <w:r w:rsidRPr="007E5CD1">
        <w:rPr>
          <w:shd w:val="clear" w:color="auto" w:fill="FFFFFF"/>
        </w:rPr>
        <w:t>Z usług faktoringowych w 201</w:t>
      </w:r>
      <w:r w:rsidR="007471D8">
        <w:rPr>
          <w:shd w:val="clear" w:color="auto" w:fill="FFFFFF"/>
        </w:rPr>
        <w:t>9</w:t>
      </w:r>
      <w:r w:rsidRPr="007E5CD1">
        <w:rPr>
          <w:shd w:val="clear" w:color="auto" w:fill="FFFFFF"/>
        </w:rPr>
        <w:t xml:space="preserve"> r. skorzystało </w:t>
      </w:r>
      <w:r w:rsidR="00CE5079">
        <w:rPr>
          <w:shd w:val="clear" w:color="auto" w:fill="FFFFFF"/>
        </w:rPr>
        <w:t>22</w:t>
      </w:r>
      <w:r w:rsidRPr="007E5CD1">
        <w:rPr>
          <w:shd w:val="clear" w:color="auto" w:fill="FFFFFF"/>
        </w:rPr>
        <w:t> </w:t>
      </w:r>
      <w:r w:rsidR="00CE5079">
        <w:rPr>
          <w:shd w:val="clear" w:color="auto" w:fill="FFFFFF"/>
        </w:rPr>
        <w:t>083</w:t>
      </w:r>
      <w:r w:rsidRPr="007E5CD1">
        <w:rPr>
          <w:shd w:val="clear" w:color="auto" w:fill="FFFFFF"/>
        </w:rPr>
        <w:t xml:space="preserve"> klientów, o </w:t>
      </w:r>
      <w:r w:rsidR="00116B8D">
        <w:rPr>
          <w:shd w:val="clear" w:color="auto" w:fill="FFFFFF"/>
        </w:rPr>
        <w:t>2</w:t>
      </w:r>
      <w:r w:rsidR="00CE5079">
        <w:rPr>
          <w:shd w:val="clear" w:color="auto" w:fill="FFFFFF"/>
        </w:rPr>
        <w:t>9</w:t>
      </w:r>
      <w:r w:rsidRPr="007E5CD1">
        <w:rPr>
          <w:shd w:val="clear" w:color="auto" w:fill="FFFFFF"/>
        </w:rPr>
        <w:t>,</w:t>
      </w:r>
      <w:r w:rsidR="00CE5079">
        <w:rPr>
          <w:shd w:val="clear" w:color="auto" w:fill="FFFFFF"/>
        </w:rPr>
        <w:t>0</w:t>
      </w:r>
      <w:r w:rsidRPr="007E5CD1">
        <w:rPr>
          <w:shd w:val="clear" w:color="auto" w:fill="FFFFFF"/>
        </w:rPr>
        <w:t xml:space="preserve">% więcej niż w roku poprzednim. </w:t>
      </w:r>
      <w:r w:rsidRPr="00471212">
        <w:rPr>
          <w:shd w:val="clear" w:color="auto" w:fill="FFFFFF"/>
        </w:rPr>
        <w:t>Z tej liczby 2</w:t>
      </w:r>
      <w:r w:rsidR="00CE5079">
        <w:rPr>
          <w:shd w:val="clear" w:color="auto" w:fill="FFFFFF"/>
        </w:rPr>
        <w:t>4</w:t>
      </w:r>
      <w:r w:rsidRPr="00471212">
        <w:rPr>
          <w:shd w:val="clear" w:color="auto" w:fill="FFFFFF"/>
        </w:rPr>
        <w:t>,</w:t>
      </w:r>
      <w:r w:rsidR="00CE5079">
        <w:rPr>
          <w:shd w:val="clear" w:color="auto" w:fill="FFFFFF"/>
        </w:rPr>
        <w:t>7</w:t>
      </w:r>
      <w:r w:rsidRPr="00471212">
        <w:rPr>
          <w:shd w:val="clear" w:color="auto" w:fill="FFFFFF"/>
        </w:rPr>
        <w:t xml:space="preserve">% prowadziło działalność w zakresie </w:t>
      </w:r>
      <w:r w:rsidR="00471212" w:rsidRPr="00471212">
        <w:rPr>
          <w:shd w:val="clear" w:color="auto" w:fill="FFFFFF"/>
        </w:rPr>
        <w:t>handlu</w:t>
      </w:r>
      <w:r w:rsidRPr="00471212">
        <w:rPr>
          <w:shd w:val="clear" w:color="auto" w:fill="FFFFFF"/>
        </w:rPr>
        <w:t xml:space="preserve">, </w:t>
      </w:r>
      <w:r w:rsidR="00CE5079">
        <w:rPr>
          <w:shd w:val="clear" w:color="auto" w:fill="FFFFFF"/>
        </w:rPr>
        <w:t>20,4</w:t>
      </w:r>
      <w:r w:rsidRPr="00471212">
        <w:rPr>
          <w:shd w:val="clear" w:color="auto" w:fill="FFFFFF"/>
        </w:rPr>
        <w:t xml:space="preserve">% – transportu, </w:t>
      </w:r>
      <w:r w:rsidR="00CE5079" w:rsidRPr="00471212">
        <w:rPr>
          <w:shd w:val="clear" w:color="auto" w:fill="FFFFFF"/>
        </w:rPr>
        <w:t>2</w:t>
      </w:r>
      <w:r w:rsidR="00CE5079">
        <w:rPr>
          <w:shd w:val="clear" w:color="auto" w:fill="FFFFFF"/>
        </w:rPr>
        <w:t>0</w:t>
      </w:r>
      <w:r w:rsidR="00CE5079" w:rsidRPr="00471212">
        <w:rPr>
          <w:shd w:val="clear" w:color="auto" w:fill="FFFFFF"/>
        </w:rPr>
        <w:t>,</w:t>
      </w:r>
      <w:r w:rsidR="00CE5079">
        <w:rPr>
          <w:shd w:val="clear" w:color="auto" w:fill="FFFFFF"/>
        </w:rPr>
        <w:t>3</w:t>
      </w:r>
      <w:r w:rsidR="00CE5079" w:rsidRPr="00471212">
        <w:rPr>
          <w:shd w:val="clear" w:color="auto" w:fill="FFFFFF"/>
        </w:rPr>
        <w:t>% – przemysłu</w:t>
      </w:r>
      <w:r w:rsidR="00CE5079">
        <w:rPr>
          <w:shd w:val="clear" w:color="auto" w:fill="FFFFFF"/>
        </w:rPr>
        <w:t>,</w:t>
      </w:r>
      <w:r w:rsidR="00CE5079" w:rsidRPr="00471212">
        <w:rPr>
          <w:shd w:val="clear" w:color="auto" w:fill="FFFFFF"/>
        </w:rPr>
        <w:t xml:space="preserve"> </w:t>
      </w:r>
      <w:r w:rsidR="00471212" w:rsidRPr="00471212">
        <w:rPr>
          <w:shd w:val="clear" w:color="auto" w:fill="FFFFFF"/>
        </w:rPr>
        <w:t xml:space="preserve">a </w:t>
      </w:r>
      <w:r w:rsidRPr="00471212">
        <w:rPr>
          <w:shd w:val="clear" w:color="auto" w:fill="FFFFFF"/>
        </w:rPr>
        <w:t>1</w:t>
      </w:r>
      <w:r w:rsidR="00CE5079">
        <w:rPr>
          <w:shd w:val="clear" w:color="auto" w:fill="FFFFFF"/>
        </w:rPr>
        <w:t>1</w:t>
      </w:r>
      <w:r w:rsidRPr="00471212">
        <w:rPr>
          <w:shd w:val="clear" w:color="auto" w:fill="FFFFFF"/>
        </w:rPr>
        <w:t>,</w:t>
      </w:r>
      <w:r w:rsidR="00CE5079">
        <w:rPr>
          <w:shd w:val="clear" w:color="auto" w:fill="FFFFFF"/>
        </w:rPr>
        <w:t>7</w:t>
      </w:r>
      <w:r w:rsidRPr="00471212">
        <w:rPr>
          <w:shd w:val="clear" w:color="auto" w:fill="FFFFFF"/>
        </w:rPr>
        <w:t xml:space="preserve">% – usług. </w:t>
      </w:r>
    </w:p>
    <w:p w:rsidR="003B78B9" w:rsidRPr="007E5CD1" w:rsidRDefault="003B78B9" w:rsidP="003B78B9">
      <w:pPr>
        <w:rPr>
          <w:shd w:val="clear" w:color="auto" w:fill="FFFFFF"/>
        </w:rPr>
      </w:pPr>
      <w:r w:rsidRPr="007E5CD1">
        <w:rPr>
          <w:shd w:val="clear" w:color="auto" w:fill="FFFFFF"/>
        </w:rPr>
        <w:t>Wartość wykupionych wierzytelności przez badane przedsiębiorstwa (łącznie) wzrosła o </w:t>
      </w:r>
      <w:r w:rsidR="00116B8D">
        <w:rPr>
          <w:shd w:val="clear" w:color="auto" w:fill="FFFFFF"/>
        </w:rPr>
        <w:t>2</w:t>
      </w:r>
      <w:r w:rsidR="00CE5079">
        <w:rPr>
          <w:shd w:val="clear" w:color="auto" w:fill="FFFFFF"/>
        </w:rPr>
        <w:t>7</w:t>
      </w:r>
      <w:r w:rsidRPr="007E5CD1">
        <w:rPr>
          <w:shd w:val="clear" w:color="auto" w:fill="FFFFFF"/>
        </w:rPr>
        <w:t>,</w:t>
      </w:r>
      <w:r w:rsidR="00CE5079">
        <w:rPr>
          <w:shd w:val="clear" w:color="auto" w:fill="FFFFFF"/>
        </w:rPr>
        <w:t>9</w:t>
      </w:r>
      <w:r w:rsidRPr="007E5CD1">
        <w:rPr>
          <w:shd w:val="clear" w:color="auto" w:fill="FFFFFF"/>
        </w:rPr>
        <w:t xml:space="preserve">%, z </w:t>
      </w:r>
      <w:r w:rsidR="00116B8D">
        <w:rPr>
          <w:shd w:val="clear" w:color="auto" w:fill="FFFFFF"/>
        </w:rPr>
        <w:t>2</w:t>
      </w:r>
      <w:r w:rsidR="00CE5079">
        <w:rPr>
          <w:shd w:val="clear" w:color="auto" w:fill="FFFFFF"/>
        </w:rPr>
        <w:t>46</w:t>
      </w:r>
      <w:r w:rsidRPr="007E5CD1">
        <w:rPr>
          <w:shd w:val="clear" w:color="auto" w:fill="FFFFFF"/>
        </w:rPr>
        <w:t> </w:t>
      </w:r>
      <w:r w:rsidR="00CE5079">
        <w:rPr>
          <w:shd w:val="clear" w:color="auto" w:fill="FFFFFF"/>
        </w:rPr>
        <w:t>256</w:t>
      </w:r>
      <w:r w:rsidRPr="007E5CD1">
        <w:rPr>
          <w:shd w:val="clear" w:color="auto" w:fill="FFFFFF"/>
        </w:rPr>
        <w:t> mln zł w 201</w:t>
      </w:r>
      <w:r w:rsidR="00294472">
        <w:rPr>
          <w:shd w:val="clear" w:color="auto" w:fill="FFFFFF"/>
        </w:rPr>
        <w:t>8</w:t>
      </w:r>
      <w:r w:rsidRPr="007E5CD1">
        <w:rPr>
          <w:shd w:val="clear" w:color="auto" w:fill="FFFFFF"/>
        </w:rPr>
        <w:t xml:space="preserve"> r. do </w:t>
      </w:r>
      <w:r w:rsidR="00CE5079">
        <w:rPr>
          <w:shd w:val="clear" w:color="auto" w:fill="FFFFFF"/>
        </w:rPr>
        <w:t>315</w:t>
      </w:r>
      <w:r w:rsidRPr="007E5CD1">
        <w:rPr>
          <w:shd w:val="clear" w:color="auto" w:fill="FFFFFF"/>
        </w:rPr>
        <w:t> </w:t>
      </w:r>
      <w:r w:rsidR="00CE5079">
        <w:rPr>
          <w:shd w:val="clear" w:color="auto" w:fill="FFFFFF"/>
        </w:rPr>
        <w:t>024</w:t>
      </w:r>
      <w:r w:rsidRPr="007E5CD1">
        <w:rPr>
          <w:shd w:val="clear" w:color="auto" w:fill="FFFFFF"/>
        </w:rPr>
        <w:t> mln zł w</w:t>
      </w:r>
      <w:r w:rsidR="009078BA">
        <w:rPr>
          <w:shd w:val="clear" w:color="auto" w:fill="FFFFFF"/>
        </w:rPr>
        <w:t xml:space="preserve"> 2019 </w:t>
      </w:r>
      <w:r w:rsidR="006A30F6">
        <w:rPr>
          <w:shd w:val="clear" w:color="auto" w:fill="FFFFFF"/>
        </w:rPr>
        <w:t>r</w:t>
      </w:r>
      <w:r w:rsidRPr="007E5CD1">
        <w:rPr>
          <w:shd w:val="clear" w:color="auto" w:fill="FFFFFF"/>
        </w:rPr>
        <w:t>.</w:t>
      </w:r>
    </w:p>
    <w:tbl>
      <w:tblPr>
        <w:tblStyle w:val="Siatkatabelijasna1"/>
        <w:tblpPr w:leftFromText="141" w:rightFromText="141" w:vertAnchor="text" w:horzAnchor="margin" w:tblpY="596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5"/>
        <w:gridCol w:w="806"/>
        <w:gridCol w:w="806"/>
        <w:gridCol w:w="806"/>
        <w:gridCol w:w="807"/>
        <w:gridCol w:w="806"/>
        <w:gridCol w:w="807"/>
      </w:tblGrid>
      <w:tr w:rsidR="00495A07" w:rsidRPr="00FA5128" w:rsidTr="00EC2CF7">
        <w:trPr>
          <w:trHeight w:val="57"/>
        </w:trPr>
        <w:tc>
          <w:tcPr>
            <w:tcW w:w="3085" w:type="dxa"/>
            <w:vMerge w:val="restart"/>
            <w:vAlign w:val="center"/>
          </w:tcPr>
          <w:p w:rsidR="00495A07" w:rsidRPr="009C7251" w:rsidRDefault="00495A07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612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Ogółem </w:t>
            </w:r>
          </w:p>
        </w:tc>
        <w:tc>
          <w:tcPr>
            <w:tcW w:w="1613" w:type="dxa"/>
            <w:gridSpan w:val="2"/>
            <w:vAlign w:val="center"/>
          </w:tcPr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Faktoringowe przedsiębiorstwa niebankowe</w:t>
            </w:r>
          </w:p>
        </w:tc>
        <w:tc>
          <w:tcPr>
            <w:tcW w:w="1613" w:type="dxa"/>
            <w:gridSpan w:val="2"/>
            <w:vAlign w:val="center"/>
          </w:tcPr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Działalność </w:t>
            </w:r>
          </w:p>
          <w:p w:rsidR="00495A07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faktoringowa </w:t>
            </w:r>
          </w:p>
          <w:p w:rsidR="00495A07" w:rsidRPr="00FA5128" w:rsidRDefault="00495A07" w:rsidP="00EC2CF7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bankach</w:t>
            </w:r>
          </w:p>
        </w:tc>
      </w:tr>
      <w:tr w:rsidR="003D7CE1" w:rsidRPr="00FA5128" w:rsidTr="00064FEF">
        <w:trPr>
          <w:trHeight w:val="57"/>
        </w:trPr>
        <w:tc>
          <w:tcPr>
            <w:tcW w:w="3085" w:type="dxa"/>
            <w:vMerge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EC2CF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116B8D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07" w:type="dxa"/>
            <w:tcBorders>
              <w:bottom w:val="single" w:sz="12" w:space="0" w:color="212492"/>
            </w:tcBorders>
            <w:vAlign w:val="center"/>
          </w:tcPr>
          <w:p w:rsidR="003D7CE1" w:rsidRPr="00FA5128" w:rsidRDefault="003D7CE1" w:rsidP="007471D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</w:t>
            </w:r>
            <w:r w:rsidR="007471D8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CE5079" w:rsidRPr="00FA5128" w:rsidTr="00064FEF">
        <w:trPr>
          <w:trHeight w:val="57"/>
        </w:trPr>
        <w:tc>
          <w:tcPr>
            <w:tcW w:w="308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3D7CE1" w:rsidRDefault="00CE5079" w:rsidP="00EC2CF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Liczba klientów (faktorantów)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17 117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22 083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14 392</w:t>
            </w:r>
          </w:p>
        </w:tc>
        <w:tc>
          <w:tcPr>
            <w:tcW w:w="80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19 696</w:t>
            </w:r>
          </w:p>
        </w:tc>
        <w:tc>
          <w:tcPr>
            <w:tcW w:w="8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2 725</w:t>
            </w:r>
          </w:p>
        </w:tc>
        <w:tc>
          <w:tcPr>
            <w:tcW w:w="80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2 387</w:t>
            </w:r>
          </w:p>
        </w:tc>
      </w:tr>
      <w:tr w:rsidR="00CE5079" w:rsidRPr="005E7160" w:rsidTr="00064FEF">
        <w:trPr>
          <w:trHeight w:val="57"/>
        </w:trPr>
        <w:tc>
          <w:tcPr>
            <w:tcW w:w="3085" w:type="dxa"/>
            <w:tcBorders>
              <w:top w:val="single" w:sz="4" w:space="0" w:color="212492"/>
            </w:tcBorders>
            <w:vAlign w:val="center"/>
          </w:tcPr>
          <w:p w:rsidR="00CE5079" w:rsidRDefault="00CE5079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Liczba wykupionych faktur </w:t>
            </w:r>
          </w:p>
          <w:p w:rsidR="00CE5079" w:rsidRPr="003D7CE1" w:rsidRDefault="00CE5079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tys.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10 879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13 587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8 532</w:t>
            </w:r>
          </w:p>
        </w:tc>
        <w:tc>
          <w:tcPr>
            <w:tcW w:w="807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11 309</w:t>
            </w:r>
          </w:p>
        </w:tc>
        <w:tc>
          <w:tcPr>
            <w:tcW w:w="806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2 347</w:t>
            </w:r>
          </w:p>
        </w:tc>
        <w:tc>
          <w:tcPr>
            <w:tcW w:w="807" w:type="dxa"/>
            <w:tcBorders>
              <w:top w:val="single" w:sz="4" w:space="0" w:color="212492"/>
            </w:tcBorders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2 278</w:t>
            </w:r>
          </w:p>
        </w:tc>
      </w:tr>
      <w:tr w:rsidR="00CE5079" w:rsidRPr="005E7160" w:rsidTr="00EC2CF7">
        <w:trPr>
          <w:trHeight w:val="57"/>
        </w:trPr>
        <w:tc>
          <w:tcPr>
            <w:tcW w:w="3085" w:type="dxa"/>
            <w:vAlign w:val="center"/>
          </w:tcPr>
          <w:p w:rsidR="00CE5079" w:rsidRDefault="00CE5079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Wartość wykupionych wierzytelności </w:t>
            </w:r>
          </w:p>
          <w:p w:rsidR="00CE5079" w:rsidRPr="003D7CE1" w:rsidRDefault="00CE5079" w:rsidP="00EC2CF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</w:pPr>
            <w:r w:rsidRPr="003D7CE1">
              <w:rPr>
                <w:rFonts w:ascii="Fira Sans" w:hAnsi="Fira Sans"/>
                <w:i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806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246 256</w:t>
            </w:r>
          </w:p>
        </w:tc>
        <w:tc>
          <w:tcPr>
            <w:tcW w:w="806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315 024</w:t>
            </w:r>
          </w:p>
        </w:tc>
        <w:tc>
          <w:tcPr>
            <w:tcW w:w="806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186 874</w:t>
            </w:r>
          </w:p>
        </w:tc>
        <w:tc>
          <w:tcPr>
            <w:tcW w:w="807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253 344</w:t>
            </w:r>
          </w:p>
        </w:tc>
        <w:tc>
          <w:tcPr>
            <w:tcW w:w="806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59 382</w:t>
            </w:r>
          </w:p>
        </w:tc>
        <w:tc>
          <w:tcPr>
            <w:tcW w:w="807" w:type="dxa"/>
            <w:vAlign w:val="center"/>
          </w:tcPr>
          <w:p w:rsidR="00CE5079" w:rsidRPr="00CE5079" w:rsidRDefault="00CE5079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CE5079">
              <w:rPr>
                <w:rFonts w:cs="Arial"/>
                <w:bCs/>
                <w:sz w:val="16"/>
                <w:szCs w:val="16"/>
              </w:rPr>
              <w:t>61 679</w:t>
            </w:r>
          </w:p>
        </w:tc>
      </w:tr>
    </w:tbl>
    <w:p w:rsidR="00495A07" w:rsidRPr="000F2697" w:rsidRDefault="00495A07" w:rsidP="00495A07">
      <w:pPr>
        <w:rPr>
          <w:b/>
          <w:spacing w:val="-2"/>
          <w:sz w:val="18"/>
          <w:shd w:val="clear" w:color="auto" w:fill="FFFFFF"/>
        </w:rPr>
      </w:pPr>
      <w:r w:rsidRPr="005E7160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5E7160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Podstawowe informacje dotyczące działalności firm faktoringowych</w:t>
      </w:r>
    </w:p>
    <w:p w:rsidR="00495A07" w:rsidRDefault="00495A07" w:rsidP="00074DD8"/>
    <w:p w:rsidR="00DC1AF2" w:rsidRPr="000E1C23" w:rsidRDefault="00DC1AF2" w:rsidP="00DC1AF2">
      <w:r w:rsidRPr="000E1C23">
        <w:t xml:space="preserve">W faktoringu krajowym wartość wykupionych wierzytelności zwiększyła się o </w:t>
      </w:r>
      <w:r w:rsidR="00116B8D">
        <w:t>2</w:t>
      </w:r>
      <w:r w:rsidR="000E1C23" w:rsidRPr="000E1C23">
        <w:t>4</w:t>
      </w:r>
      <w:r w:rsidR="00116B8D">
        <w:t>,</w:t>
      </w:r>
      <w:r w:rsidR="002F3D74">
        <w:t>5</w:t>
      </w:r>
      <w:r w:rsidR="00C147FB">
        <w:t xml:space="preserve">% do </w:t>
      </w:r>
      <w:r w:rsidR="00116B8D">
        <w:t>2</w:t>
      </w:r>
      <w:r w:rsidR="002F3D74">
        <w:t>69</w:t>
      </w:r>
      <w:r w:rsidR="00116B8D">
        <w:t> </w:t>
      </w:r>
      <w:r w:rsidR="002F3D74">
        <w:t>385</w:t>
      </w:r>
      <w:r w:rsidRPr="000E1C23">
        <w:t> mln zł, a w faktoringu zagranicznym o </w:t>
      </w:r>
      <w:r w:rsidR="002F3D74">
        <w:t>53</w:t>
      </w:r>
      <w:r w:rsidRPr="000E1C23">
        <w:t>,</w:t>
      </w:r>
      <w:r w:rsidR="000E1C23" w:rsidRPr="000E1C23">
        <w:t>2</w:t>
      </w:r>
      <w:r w:rsidRPr="000E1C23">
        <w:t>%</w:t>
      </w:r>
      <w:r w:rsidR="00734304">
        <w:t xml:space="preserve">  do </w:t>
      </w:r>
      <w:r w:rsidR="002F3D74">
        <w:t>45</w:t>
      </w:r>
      <w:r w:rsidR="00734304">
        <w:t> </w:t>
      </w:r>
      <w:r w:rsidR="002F3D74">
        <w:t>638</w:t>
      </w:r>
      <w:r w:rsidR="00734304">
        <w:t xml:space="preserve"> mln zł</w:t>
      </w:r>
      <w:r w:rsidRPr="000E1C23">
        <w:t>. Faktoring krajowy stanowił 8</w:t>
      </w:r>
      <w:r w:rsidR="002F3D74">
        <w:t>5</w:t>
      </w:r>
      <w:r w:rsidRPr="000E1C23">
        <w:t>,</w:t>
      </w:r>
      <w:r w:rsidR="002F3D74">
        <w:t>5</w:t>
      </w:r>
      <w:r w:rsidRPr="000E1C23">
        <w:t>% ogólnej wartości wykupionych wierzytelności, a faktoring zagraniczny 1</w:t>
      </w:r>
      <w:r w:rsidR="002F3D74">
        <w:t>4</w:t>
      </w:r>
      <w:r w:rsidRPr="000E1C23">
        <w:t>,</w:t>
      </w:r>
      <w:r w:rsidR="002F3D74">
        <w:t>5</w:t>
      </w:r>
      <w:r w:rsidRPr="000E1C23">
        <w:t>%.</w:t>
      </w:r>
      <w:r w:rsidR="00DC4B1C">
        <w:t xml:space="preserve"> </w:t>
      </w:r>
      <w:r w:rsidRPr="000E1C23">
        <w:t>W</w:t>
      </w:r>
      <w:r w:rsidR="00DC4B1C">
        <w:t> </w:t>
      </w:r>
      <w:r w:rsidRPr="000E1C23">
        <w:t xml:space="preserve"> faktoringu krajowym najczęściej stosowano faktoring bez regresu (5</w:t>
      </w:r>
      <w:r w:rsidR="002F3D74">
        <w:t>4</w:t>
      </w:r>
      <w:r w:rsidRPr="000E1C23">
        <w:t>,</w:t>
      </w:r>
      <w:r w:rsidR="00116B8D">
        <w:t>3</w:t>
      </w:r>
      <w:r w:rsidR="004F47CE">
        <w:t xml:space="preserve">%), </w:t>
      </w:r>
      <w:r w:rsidRPr="000E1C23">
        <w:t>faktoring z regresem (3</w:t>
      </w:r>
      <w:r w:rsidR="00116B8D">
        <w:t>0</w:t>
      </w:r>
      <w:r w:rsidRPr="000E1C23">
        <w:t>,</w:t>
      </w:r>
      <w:r w:rsidR="002F3D74">
        <w:t>6</w:t>
      </w:r>
      <w:r w:rsidRPr="000E1C23">
        <w:t>%), faktoring</w:t>
      </w:r>
      <w:r w:rsidR="000E1C23" w:rsidRPr="000E1C23">
        <w:t xml:space="preserve"> odwrotny (odwrócony) </w:t>
      </w:r>
      <w:r w:rsidRPr="000E1C23">
        <w:t>(</w:t>
      </w:r>
      <w:r w:rsidR="002F3D74">
        <w:t>11</w:t>
      </w:r>
      <w:r w:rsidRPr="000E1C23">
        <w:t>,</w:t>
      </w:r>
      <w:r w:rsidR="002F3D74">
        <w:t>8</w:t>
      </w:r>
      <w:r w:rsidRPr="000E1C23">
        <w:t xml:space="preserve">%) i faktoring </w:t>
      </w:r>
      <w:r w:rsidR="000E1C23" w:rsidRPr="000E1C23">
        <w:t xml:space="preserve">mieszany </w:t>
      </w:r>
      <w:r w:rsidRPr="000E1C23">
        <w:t>(</w:t>
      </w:r>
      <w:r w:rsidR="002F3D74">
        <w:t>3</w:t>
      </w:r>
      <w:r w:rsidRPr="000E1C23">
        <w:t>,</w:t>
      </w:r>
      <w:r w:rsidR="002F3D74">
        <w:t>3</w:t>
      </w:r>
      <w:r w:rsidRPr="000E1C23">
        <w:t xml:space="preserve">%). </w:t>
      </w:r>
    </w:p>
    <w:p w:rsidR="00DC1AF2" w:rsidRPr="000E1C23" w:rsidRDefault="00DC1AF2" w:rsidP="00DC1AF2"/>
    <w:p w:rsidR="00DC1AF2" w:rsidRPr="00CA1409" w:rsidRDefault="00CA1409" w:rsidP="00DC1AF2">
      <w:pPr>
        <w:rPr>
          <w:b/>
        </w:rPr>
      </w:pPr>
      <w:r w:rsidRPr="00CA1409">
        <w:rPr>
          <w:b/>
        </w:rPr>
        <w:t>Wykres 1.</w:t>
      </w:r>
      <w:r w:rsidRPr="00CA1409">
        <w:rPr>
          <w:b/>
          <w:shd w:val="clear" w:color="auto" w:fill="FFFFFF"/>
        </w:rPr>
        <w:t xml:space="preserve"> Wartość </w:t>
      </w:r>
      <w:r>
        <w:rPr>
          <w:b/>
          <w:shd w:val="clear" w:color="auto" w:fill="FFFFFF"/>
        </w:rPr>
        <w:t>wykupionych wierzytelności w faktoringu krajowym</w:t>
      </w:r>
    </w:p>
    <w:p w:rsidR="00C147FB" w:rsidRPr="0005458D" w:rsidRDefault="00C147FB" w:rsidP="00C147FB">
      <w:pPr>
        <w:pStyle w:val="Tekstpodstawowywcity"/>
        <w:ind w:right="-144" w:firstLine="0"/>
        <w:jc w:val="both"/>
        <w:rPr>
          <w:rFonts w:ascii="Calibri" w:hAnsi="Calibri"/>
          <w:szCs w:val="24"/>
        </w:rPr>
      </w:pPr>
      <w:r w:rsidRPr="0005458D">
        <w:rPr>
          <w:rFonts w:ascii="Calibri" w:hAnsi="Calibri"/>
          <w:noProof/>
          <w:szCs w:val="24"/>
        </w:rPr>
        <w:drawing>
          <wp:inline distT="0" distB="0" distL="0" distR="0" wp14:anchorId="537C38FD" wp14:editId="5FA33453">
            <wp:extent cx="5142585" cy="2999232"/>
            <wp:effectExtent l="0" t="0" r="0" b="0"/>
            <wp:docPr id="15" name="Wykre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1AF2" w:rsidRPr="00CB3F4D" w:rsidRDefault="00DC1AF2" w:rsidP="00DC1AF2">
      <w:r w:rsidRPr="00CB3F4D">
        <w:t xml:space="preserve">W bankach komercyjnych, które prowadziły działalność faktoringową, wartość wykupionych wierzytelności wzrosła o </w:t>
      </w:r>
      <w:r w:rsidR="004F47CE">
        <w:t>3</w:t>
      </w:r>
      <w:r w:rsidRPr="00CB3F4D">
        <w:t>,</w:t>
      </w:r>
      <w:r w:rsidR="007C4863">
        <w:t>9</w:t>
      </w:r>
      <w:r w:rsidRPr="00CB3F4D">
        <w:t xml:space="preserve">% do kwoty </w:t>
      </w:r>
      <w:r w:rsidR="007C4863">
        <w:t>61</w:t>
      </w:r>
      <w:r w:rsidRPr="00CB3F4D">
        <w:t> </w:t>
      </w:r>
      <w:r w:rsidR="007C4863">
        <w:t>679</w:t>
      </w:r>
      <w:r w:rsidRPr="00CB3F4D">
        <w:t> mln zł, z tego faktoring krajowy stanowił 8</w:t>
      </w:r>
      <w:r w:rsidR="004F47CE">
        <w:t>6</w:t>
      </w:r>
      <w:r w:rsidRPr="00CB3F4D">
        <w:t>,</w:t>
      </w:r>
      <w:r w:rsidR="007C4863">
        <w:t>6</w:t>
      </w:r>
      <w:r w:rsidRPr="00CB3F4D">
        <w:t>%, a faktoring w handlu zagranicznym 1</w:t>
      </w:r>
      <w:r w:rsidR="004F47CE">
        <w:t>3</w:t>
      </w:r>
      <w:r w:rsidRPr="00CB3F4D">
        <w:t>,</w:t>
      </w:r>
      <w:r w:rsidR="007C4863">
        <w:t>4</w:t>
      </w:r>
      <w:r w:rsidRPr="00CB3F4D">
        <w:t>%.</w:t>
      </w:r>
    </w:p>
    <w:p w:rsidR="00DC1AF2" w:rsidRPr="00B40557" w:rsidRDefault="00DC1AF2" w:rsidP="00DC1AF2">
      <w:r w:rsidRPr="00B40557">
        <w:t xml:space="preserve">W grupie niebankowych przedsiębiorstw prowadzących działalność faktoringową wartość wykupionych wierzytelności wzrosła o </w:t>
      </w:r>
      <w:r w:rsidR="007C4863">
        <w:t>3</w:t>
      </w:r>
      <w:r w:rsidR="004F47CE">
        <w:t>5</w:t>
      </w:r>
      <w:r w:rsidRPr="00B40557">
        <w:t>,</w:t>
      </w:r>
      <w:r w:rsidR="007C4863">
        <w:t>6</w:t>
      </w:r>
      <w:r w:rsidRPr="00B40557">
        <w:t xml:space="preserve">% do kwoty </w:t>
      </w:r>
      <w:r w:rsidR="007C4863">
        <w:t>253</w:t>
      </w:r>
      <w:r w:rsidRPr="00B40557">
        <w:t> </w:t>
      </w:r>
      <w:r w:rsidR="007C4863">
        <w:t>344</w:t>
      </w:r>
      <w:r w:rsidRPr="00B40557">
        <w:t> mln zł, z tego faktoring krajowy to 8</w:t>
      </w:r>
      <w:r w:rsidR="007C4863">
        <w:t>5</w:t>
      </w:r>
      <w:r w:rsidRPr="00B40557">
        <w:t>,</w:t>
      </w:r>
      <w:r w:rsidR="007C4863">
        <w:t>3</w:t>
      </w:r>
      <w:r w:rsidRPr="00B40557">
        <w:t>%, a faktoring w handlu zagranicznym 1</w:t>
      </w:r>
      <w:r w:rsidR="007C4863">
        <w:t>4</w:t>
      </w:r>
      <w:r w:rsidRPr="00B40557">
        <w:t>,</w:t>
      </w:r>
      <w:r w:rsidR="007C4863">
        <w:t>7</w:t>
      </w:r>
      <w:r w:rsidRPr="00B40557">
        <w:t>%.</w:t>
      </w:r>
    </w:p>
    <w:p w:rsidR="00DC1AF2" w:rsidRPr="00840265" w:rsidRDefault="00DC1AF2" w:rsidP="00DC1AF2">
      <w:r w:rsidRPr="00B636CE">
        <w:lastRenderedPageBreak/>
        <w:t>Wartość zaangażowanych środków finansowych</w:t>
      </w:r>
      <w:r w:rsidRPr="00840265">
        <w:rPr>
          <w:b/>
        </w:rPr>
        <w:t xml:space="preserve"> </w:t>
      </w:r>
      <w:r w:rsidRPr="00840265">
        <w:t>przez przedsiębiorstwa zajmujące się działalnością faktoringową (łącznie) na koniec 201</w:t>
      </w:r>
      <w:r w:rsidR="00294472">
        <w:t>9</w:t>
      </w:r>
      <w:r w:rsidRPr="00840265">
        <w:t xml:space="preserve"> r. wzrosła o </w:t>
      </w:r>
      <w:r w:rsidR="00F42F1D">
        <w:t>29</w:t>
      </w:r>
      <w:r w:rsidRPr="00840265">
        <w:t>,</w:t>
      </w:r>
      <w:r w:rsidR="00F42F1D">
        <w:t>8</w:t>
      </w:r>
      <w:r w:rsidRPr="00840265">
        <w:t xml:space="preserve">% i wyniosła </w:t>
      </w:r>
      <w:r w:rsidR="00F42F1D">
        <w:t>42</w:t>
      </w:r>
      <w:r w:rsidRPr="00840265">
        <w:t> </w:t>
      </w:r>
      <w:r w:rsidR="00F42F1D">
        <w:t>459</w:t>
      </w:r>
      <w:r w:rsidRPr="00840265">
        <w:t xml:space="preserve"> mln zł. Środki finansowe </w:t>
      </w:r>
      <w:r w:rsidR="00DC4B1C">
        <w:t xml:space="preserve">ogółem </w:t>
      </w:r>
      <w:r w:rsidRPr="00840265">
        <w:t xml:space="preserve">w </w:t>
      </w:r>
      <w:r w:rsidR="00F42F1D">
        <w:t>85</w:t>
      </w:r>
      <w:r w:rsidRPr="00840265">
        <w:t>,</w:t>
      </w:r>
      <w:r w:rsidR="00F42F1D">
        <w:t>4</w:t>
      </w:r>
      <w:r w:rsidRPr="00840265">
        <w:t xml:space="preserve">% zaangażowane były w faktoring krajowy, a w </w:t>
      </w:r>
      <w:r w:rsidR="00F42F1D">
        <w:t>14,6</w:t>
      </w:r>
      <w:r w:rsidRPr="00840265">
        <w:t>% w faktoring zagraniczny.</w:t>
      </w:r>
    </w:p>
    <w:p w:rsidR="00DC1AF2" w:rsidRPr="00840265" w:rsidRDefault="00DC1AF2" w:rsidP="00DC1AF2">
      <w:r w:rsidRPr="00840265">
        <w:t xml:space="preserve">Banki do prowadzonej działalności faktoringowej zaangażowały środki w kwocie </w:t>
      </w:r>
      <w:r w:rsidR="00F42F1D">
        <w:t>13</w:t>
      </w:r>
      <w:r w:rsidRPr="00840265">
        <w:t> </w:t>
      </w:r>
      <w:r w:rsidR="00F42F1D">
        <w:t>976</w:t>
      </w:r>
      <w:r w:rsidRPr="00840265">
        <w:t> mln zł, z tego 8</w:t>
      </w:r>
      <w:r w:rsidR="00F42F1D">
        <w:t>6</w:t>
      </w:r>
      <w:r w:rsidRPr="00840265">
        <w:t>,</w:t>
      </w:r>
      <w:r w:rsidR="00F42F1D">
        <w:t>4</w:t>
      </w:r>
      <w:r w:rsidRPr="00840265">
        <w:t>% przypadało na faktoring krajowy, a 1</w:t>
      </w:r>
      <w:r w:rsidR="00F42F1D">
        <w:t>3</w:t>
      </w:r>
      <w:r w:rsidRPr="00840265">
        <w:t>,</w:t>
      </w:r>
      <w:r w:rsidR="00F42F1D">
        <w:t>6</w:t>
      </w:r>
      <w:r w:rsidRPr="00840265">
        <w:t xml:space="preserve">% na faktoring zagraniczny. </w:t>
      </w:r>
    </w:p>
    <w:p w:rsidR="00DC1AF2" w:rsidRPr="009B150B" w:rsidRDefault="00DC1AF2" w:rsidP="00DC1AF2">
      <w:r w:rsidRPr="009B150B">
        <w:t xml:space="preserve">Niebankowe przedsiębiorstwa prowadzące działalność faktoringową zaangażowały środki finansowe o wartości </w:t>
      </w:r>
      <w:r w:rsidR="009B150B" w:rsidRPr="009B150B">
        <w:t>2</w:t>
      </w:r>
      <w:r w:rsidR="00F42F1D">
        <w:t>8</w:t>
      </w:r>
      <w:r w:rsidRPr="009B150B">
        <w:t> </w:t>
      </w:r>
      <w:r w:rsidR="00F42F1D">
        <w:t>482</w:t>
      </w:r>
      <w:r w:rsidRPr="009B150B">
        <w:t xml:space="preserve"> mln zł, z tego </w:t>
      </w:r>
      <w:r w:rsidR="00F42F1D">
        <w:t>84</w:t>
      </w:r>
      <w:r w:rsidRPr="009B150B">
        <w:t>,</w:t>
      </w:r>
      <w:r w:rsidR="00F42F1D">
        <w:t>9</w:t>
      </w:r>
      <w:r w:rsidRPr="009B150B">
        <w:t xml:space="preserve">% w faktoring krajowy, a </w:t>
      </w:r>
      <w:r w:rsidR="00F42F1D">
        <w:t>1</w:t>
      </w:r>
      <w:r w:rsidR="00B95212">
        <w:t>5</w:t>
      </w:r>
      <w:r w:rsidRPr="009B150B">
        <w:t>,</w:t>
      </w:r>
      <w:r w:rsidR="00F42F1D">
        <w:t>1</w:t>
      </w:r>
      <w:r w:rsidRPr="009B150B">
        <w:t xml:space="preserve">% w faktoring zagraniczny. </w:t>
      </w:r>
    </w:p>
    <w:p w:rsidR="007E5CD1" w:rsidRPr="002969D1" w:rsidRDefault="00471212" w:rsidP="007E5CD1">
      <w:pPr>
        <w:pStyle w:val="Nagwek1"/>
      </w:pPr>
      <w:r>
        <w:rPr>
          <w:shd w:val="clear" w:color="auto" w:fill="FFFFFF"/>
        </w:rPr>
        <w:t>Sytuacja finansowa badanych przedsiębiorstw faktoringowych</w:t>
      </w:r>
    </w:p>
    <w:p w:rsidR="00CA1409" w:rsidRPr="00B636CE" w:rsidRDefault="0075252C" w:rsidP="00CA1409">
      <w:r w:rsidRPr="00B636CE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D5433F8" wp14:editId="525AAF46">
                <wp:simplePos x="0" y="0"/>
                <wp:positionH relativeFrom="column">
                  <wp:posOffset>5299710</wp:posOffset>
                </wp:positionH>
                <wp:positionV relativeFrom="paragraph">
                  <wp:posOffset>18415</wp:posOffset>
                </wp:positionV>
                <wp:extent cx="1725295" cy="1221105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1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52C" w:rsidRPr="001F6E7A" w:rsidRDefault="0075252C" w:rsidP="0075252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525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Wartość aktywów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przedsiębiorstw, w których działalność faktoringowa była jedynym lub dominującym rodzajem działalnoś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wzrosła w</w:t>
                            </w:r>
                            <w:r w:rsidR="00B636C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ciągu roku o </w:t>
                            </w:r>
                            <w:r w:rsidR="00B952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0174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0174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766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433F8" id="Pole tekstowe 5" o:spid="_x0000_s1029" type="#_x0000_t202" style="position:absolute;margin-left:417.3pt;margin-top:1.45pt;width:135.85pt;height:96.1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" filled="f" stroked="f">
                <v:textbox>
                  <w:txbxContent>
                    <w:p w:rsidR="0075252C" w:rsidRPr="001F6E7A" w:rsidRDefault="0075252C" w:rsidP="0075252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7525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Wartość aktywów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przedsiębiorstw, w których działalność faktoringowa była jedynym lub dominującym rodzajem działalnoś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wzrosła w</w:t>
                      </w:r>
                      <w:r w:rsidR="00B636C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ciągu roku o </w:t>
                      </w:r>
                      <w:r w:rsidR="00B952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0174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0174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766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A1409" w:rsidRPr="00B636CE">
        <w:t xml:space="preserve">Spośród badanej zbiorowości niebankowych przedsiębiorstw, których działalność faktoringowa była jedynym lub dominującym rodzajem działalności, </w:t>
      </w:r>
      <w:r w:rsidR="00B95212">
        <w:t>30</w:t>
      </w:r>
      <w:r w:rsidR="00CA1409" w:rsidRPr="00B636CE">
        <w:t xml:space="preserve"> firm prowadziło pełną księgowość, a </w:t>
      </w:r>
      <w:r w:rsidR="00F42F1D">
        <w:t>jedna</w:t>
      </w:r>
      <w:r w:rsidR="00CA1409" w:rsidRPr="00B636CE">
        <w:t xml:space="preserve"> księgi przychodów i rozchodów. </w:t>
      </w:r>
      <w:r w:rsidR="0027706C">
        <w:t xml:space="preserve">Wartość aktywów </w:t>
      </w:r>
      <w:r w:rsidR="00CA1409" w:rsidRPr="00B636CE">
        <w:t xml:space="preserve">tych firm </w:t>
      </w:r>
      <w:r w:rsidR="0027706C" w:rsidRPr="00B636CE">
        <w:t>w ciągu 201</w:t>
      </w:r>
      <w:r w:rsidR="00294472">
        <w:t>9</w:t>
      </w:r>
      <w:r w:rsidR="0027706C" w:rsidRPr="00B636CE">
        <w:t xml:space="preserve"> r. </w:t>
      </w:r>
      <w:r w:rsidR="00CA1409" w:rsidRPr="00B636CE">
        <w:t xml:space="preserve">wzrosła </w:t>
      </w:r>
      <w:r w:rsidR="0027706C" w:rsidRPr="00B636CE">
        <w:t xml:space="preserve">o </w:t>
      </w:r>
      <w:r w:rsidR="00B95212">
        <w:t>1</w:t>
      </w:r>
      <w:r w:rsidR="00C35397">
        <w:t>4</w:t>
      </w:r>
      <w:r w:rsidR="0027706C" w:rsidRPr="00B636CE">
        <w:t>,</w:t>
      </w:r>
      <w:r w:rsidR="00C35397">
        <w:t>1</w:t>
      </w:r>
      <w:r w:rsidR="0027706C" w:rsidRPr="00B636CE">
        <w:t>%</w:t>
      </w:r>
      <w:r w:rsidR="0027706C">
        <w:t xml:space="preserve"> </w:t>
      </w:r>
      <w:r w:rsidR="00CA1409" w:rsidRPr="00B636CE">
        <w:t xml:space="preserve">do kwoty </w:t>
      </w:r>
      <w:r w:rsidR="00BC419E" w:rsidRPr="00B636CE">
        <w:t>2</w:t>
      </w:r>
      <w:r w:rsidR="00C35397">
        <w:t>8</w:t>
      </w:r>
      <w:r w:rsidR="00CA1409" w:rsidRPr="00B636CE">
        <w:t> </w:t>
      </w:r>
      <w:r w:rsidR="00C35397">
        <w:t>612</w:t>
      </w:r>
      <w:r w:rsidR="00CA1409" w:rsidRPr="00B636CE">
        <w:t> mln zł</w:t>
      </w:r>
      <w:r w:rsidR="0027706C">
        <w:t>.</w:t>
      </w:r>
      <w:r w:rsidR="00CA1409" w:rsidRPr="00B636CE">
        <w:t xml:space="preserve"> Dominującą pozycj</w:t>
      </w:r>
      <w:r w:rsidR="00734304">
        <w:t>ą</w:t>
      </w:r>
      <w:r w:rsidR="00CA1409" w:rsidRPr="00B636CE">
        <w:t xml:space="preserve"> majątku </w:t>
      </w:r>
      <w:r w:rsidR="00734304">
        <w:t>by</w:t>
      </w:r>
      <w:r w:rsidR="00CA1409" w:rsidRPr="00B636CE">
        <w:t xml:space="preserve">ły aktywa obrotowe – </w:t>
      </w:r>
      <w:r w:rsidR="00BC419E" w:rsidRPr="00B636CE">
        <w:t>2</w:t>
      </w:r>
      <w:r w:rsidR="00C35397">
        <w:t>8</w:t>
      </w:r>
      <w:r w:rsidR="00CA1409" w:rsidRPr="00B636CE">
        <w:t> </w:t>
      </w:r>
      <w:r w:rsidR="00C35397">
        <w:t>244</w:t>
      </w:r>
      <w:r w:rsidR="00CA1409" w:rsidRPr="00B636CE">
        <w:t xml:space="preserve"> mln zł. Udział należności krótkoterminowych w aktywach obrotowych wyniósł </w:t>
      </w:r>
      <w:r w:rsidR="00B95212">
        <w:t>6</w:t>
      </w:r>
      <w:r w:rsidR="00C35397">
        <w:t>9</w:t>
      </w:r>
      <w:r w:rsidR="00CA1409" w:rsidRPr="00B636CE">
        <w:t>,</w:t>
      </w:r>
      <w:r w:rsidR="00C35397">
        <w:t>6</w:t>
      </w:r>
      <w:r w:rsidR="00CA1409" w:rsidRPr="00B636CE">
        <w:t>%</w:t>
      </w:r>
      <w:r w:rsidR="00734304">
        <w:t xml:space="preserve"> i osiągnął wartość</w:t>
      </w:r>
      <w:r w:rsidR="00CA1409" w:rsidRPr="00B636CE">
        <w:t xml:space="preserve"> </w:t>
      </w:r>
      <w:r w:rsidR="00734304" w:rsidRPr="00B636CE">
        <w:t>1</w:t>
      </w:r>
      <w:r w:rsidR="00C35397">
        <w:t>9</w:t>
      </w:r>
      <w:r w:rsidR="00734304" w:rsidRPr="00B636CE">
        <w:t> </w:t>
      </w:r>
      <w:r w:rsidR="00C35397">
        <w:t>671</w:t>
      </w:r>
      <w:r w:rsidR="00734304" w:rsidRPr="00B636CE">
        <w:t> mln zł</w:t>
      </w:r>
      <w:r w:rsidR="00734304">
        <w:t xml:space="preserve">. Wartość ta </w:t>
      </w:r>
      <w:r w:rsidR="00CA1409" w:rsidRPr="00B636CE">
        <w:t>wzr</w:t>
      </w:r>
      <w:r w:rsidR="00734304">
        <w:t>osła</w:t>
      </w:r>
      <w:r w:rsidR="00CA1409" w:rsidRPr="00B636CE">
        <w:t xml:space="preserve"> o </w:t>
      </w:r>
      <w:r w:rsidR="00BC419E" w:rsidRPr="00B636CE">
        <w:t>1</w:t>
      </w:r>
      <w:r w:rsidR="00C35397">
        <w:t>7</w:t>
      </w:r>
      <w:r w:rsidR="00CA1409" w:rsidRPr="00B636CE">
        <w:t>,</w:t>
      </w:r>
      <w:r w:rsidR="00C35397">
        <w:t>0</w:t>
      </w:r>
      <w:r w:rsidR="00CA1409" w:rsidRPr="00B636CE">
        <w:t>% w porównaniu z 201</w:t>
      </w:r>
      <w:r w:rsidR="00294472">
        <w:t>8</w:t>
      </w:r>
      <w:r w:rsidR="006A30F6">
        <w:t xml:space="preserve"> r.</w:t>
      </w:r>
      <w:r w:rsidR="00CA1409" w:rsidRPr="00B636CE">
        <w:t xml:space="preserve"> </w:t>
      </w:r>
      <w:r w:rsidR="006D0DE8" w:rsidRPr="00B636CE">
        <w:t>Drugą, co</w:t>
      </w:r>
      <w:r w:rsidR="00CA1409" w:rsidRPr="00B636CE">
        <w:t xml:space="preserve"> do wielkości pozycją aktywów obrotowych był</w:t>
      </w:r>
      <w:r w:rsidR="00BC419E" w:rsidRPr="00B636CE">
        <w:t xml:space="preserve">y inwestycje krótkoterminowe – </w:t>
      </w:r>
      <w:r w:rsidR="00C35397">
        <w:t>8</w:t>
      </w:r>
      <w:r w:rsidR="00CA1409" w:rsidRPr="00B636CE">
        <w:t> </w:t>
      </w:r>
      <w:r w:rsidR="00C35397">
        <w:t>5</w:t>
      </w:r>
      <w:r w:rsidR="00B95212">
        <w:t>53</w:t>
      </w:r>
      <w:r w:rsidR="00CA1409" w:rsidRPr="00B636CE">
        <w:t> mln zł (</w:t>
      </w:r>
      <w:r w:rsidR="00B95212">
        <w:t>3</w:t>
      </w:r>
      <w:r w:rsidR="00C35397">
        <w:t>0</w:t>
      </w:r>
      <w:r w:rsidR="00CA1409" w:rsidRPr="00B636CE">
        <w:t>,</w:t>
      </w:r>
      <w:r w:rsidR="00C35397">
        <w:t>3</w:t>
      </w:r>
      <w:r w:rsidR="00CA1409" w:rsidRPr="00B636CE">
        <w:t>%), które skła</w:t>
      </w:r>
      <w:r w:rsidR="00BC419E" w:rsidRPr="00B636CE">
        <w:t xml:space="preserve">dały się głównie z </w:t>
      </w:r>
      <w:r w:rsidR="00CA1409" w:rsidRPr="00B636CE">
        <w:t>krótkoterminowych aktywów finansowych (</w:t>
      </w:r>
      <w:r w:rsidR="00C35397">
        <w:t>86</w:t>
      </w:r>
      <w:r w:rsidR="00CA1409" w:rsidRPr="00B636CE">
        <w:t>,</w:t>
      </w:r>
      <w:r w:rsidR="00C35397">
        <w:t>3</w:t>
      </w:r>
      <w:r w:rsidR="00CA1409" w:rsidRPr="00B636CE">
        <w:t>%).</w:t>
      </w:r>
    </w:p>
    <w:p w:rsidR="0062329E" w:rsidRDefault="00B95212" w:rsidP="00CA1409">
      <w:r>
        <w:t>W pasywach ogółem 30</w:t>
      </w:r>
      <w:r w:rsidR="00CA1409" w:rsidRPr="00B636CE">
        <w:t xml:space="preserve"> niebankowych przedsiębiorstw prowadzących działalność faktoringową 9</w:t>
      </w:r>
      <w:r>
        <w:t>7</w:t>
      </w:r>
      <w:r w:rsidR="00CA1409" w:rsidRPr="00B636CE">
        <w:t>,</w:t>
      </w:r>
      <w:r w:rsidR="00C35397">
        <w:t>7</w:t>
      </w:r>
      <w:r w:rsidR="00CA1409" w:rsidRPr="00B636CE">
        <w:t xml:space="preserve">% wartości stanowiły zobowiązania i rezerwy na zobowiązania, </w:t>
      </w:r>
      <w:r w:rsidR="0062329E">
        <w:t>a</w:t>
      </w:r>
      <w:r>
        <w:t xml:space="preserve"> </w:t>
      </w:r>
      <w:r w:rsidR="0062329E">
        <w:t>2,</w:t>
      </w:r>
      <w:r w:rsidR="00C35397">
        <w:t>3</w:t>
      </w:r>
      <w:r w:rsidR="0062329E">
        <w:t>% kapitały własne.</w:t>
      </w:r>
    </w:p>
    <w:p w:rsidR="00CA1409" w:rsidRPr="00B636CE" w:rsidRDefault="00CA1409" w:rsidP="00CA1409">
      <w:r w:rsidRPr="00B636CE">
        <w:t xml:space="preserve">Przychody z całokształtu działalności </w:t>
      </w:r>
      <w:r w:rsidR="006A30F6">
        <w:t xml:space="preserve">tych 30 firm </w:t>
      </w:r>
      <w:r w:rsidRPr="00B636CE">
        <w:t xml:space="preserve">wyniosły </w:t>
      </w:r>
      <w:r w:rsidR="00C35397">
        <w:t>1 172</w:t>
      </w:r>
      <w:r w:rsidRPr="00B636CE">
        <w:t> mln zł i w stosunku do grudnia 201</w:t>
      </w:r>
      <w:r w:rsidR="00294472">
        <w:t>8</w:t>
      </w:r>
      <w:r w:rsidRPr="00B636CE">
        <w:t xml:space="preserve"> r. zwiększyły się o </w:t>
      </w:r>
      <w:r w:rsidR="000174C7">
        <w:t>21,2</w:t>
      </w:r>
      <w:r w:rsidRPr="00B636CE">
        <w:t xml:space="preserve">%, w tym przychody ze sprzedaży stanowiły </w:t>
      </w:r>
      <w:r w:rsidR="006F2688" w:rsidRPr="00B636CE">
        <w:t>9</w:t>
      </w:r>
      <w:r w:rsidR="000174C7">
        <w:t>0</w:t>
      </w:r>
      <w:r w:rsidRPr="00B636CE">
        <w:t>,</w:t>
      </w:r>
      <w:r w:rsidR="000174C7">
        <w:t>6</w:t>
      </w:r>
      <w:r w:rsidRPr="00B636CE">
        <w:t>%. Koszty z całokształtu działalności z</w:t>
      </w:r>
      <w:r w:rsidR="000174C7">
        <w:t>mniej</w:t>
      </w:r>
      <w:r w:rsidRPr="00B636CE">
        <w:t xml:space="preserve">szyły się o </w:t>
      </w:r>
      <w:r w:rsidR="000174C7">
        <w:t>31</w:t>
      </w:r>
      <w:r w:rsidRPr="00B636CE">
        <w:t>,</w:t>
      </w:r>
      <w:r w:rsidR="000174C7">
        <w:t>7</w:t>
      </w:r>
      <w:r w:rsidRPr="00B636CE">
        <w:t xml:space="preserve">% i wyniosły </w:t>
      </w:r>
      <w:r w:rsidR="000174C7">
        <w:t>97</w:t>
      </w:r>
      <w:r w:rsidR="00E52FE4">
        <w:t>2</w:t>
      </w:r>
      <w:r w:rsidR="0062329E">
        <w:t> </w:t>
      </w:r>
      <w:r w:rsidRPr="00B636CE">
        <w:t xml:space="preserve">mln zł. </w:t>
      </w:r>
    </w:p>
    <w:p w:rsidR="00CA1409" w:rsidRPr="00FA1567" w:rsidRDefault="00CA1409" w:rsidP="00CA1409">
      <w:pPr>
        <w:rPr>
          <w:b/>
        </w:rPr>
      </w:pPr>
      <w:r w:rsidRPr="00B636CE">
        <w:t xml:space="preserve">Wynik finansowy netto </w:t>
      </w:r>
      <w:r w:rsidR="0062329E">
        <w:t>30</w:t>
      </w:r>
      <w:r w:rsidRPr="00B636CE">
        <w:t xml:space="preserve"> niebankowych przedsiębiorstw prowadzących działalność faktoringową wyniósł </w:t>
      </w:r>
      <w:r w:rsidR="000174C7">
        <w:t>156</w:t>
      </w:r>
      <w:r w:rsidRPr="00B636CE">
        <w:t xml:space="preserve"> mln zł. Spośród tej grupy przedsiębiorstw </w:t>
      </w:r>
      <w:r w:rsidR="000174C7">
        <w:t>osiem</w:t>
      </w:r>
      <w:r w:rsidRPr="00B636CE">
        <w:t xml:space="preserve"> poniosło straty, pozostałe </w:t>
      </w:r>
      <w:r w:rsidR="006A30F6">
        <w:t xml:space="preserve">firmy </w:t>
      </w:r>
      <w:r w:rsidRPr="00B636CE">
        <w:t>wykazały zyski</w:t>
      </w:r>
      <w:r w:rsidRPr="00FA1567">
        <w:t xml:space="preserve">. </w:t>
      </w:r>
    </w:p>
    <w:p w:rsidR="003B78B9" w:rsidRPr="00B57E4A" w:rsidRDefault="003B78B9" w:rsidP="00074DD8"/>
    <w:p w:rsidR="00694AF0" w:rsidRDefault="00694AF0" w:rsidP="00E76D26">
      <w:pPr>
        <w:rPr>
          <w:sz w:val="18"/>
        </w:rPr>
      </w:pPr>
    </w:p>
    <w:p w:rsidR="00183B3D" w:rsidRDefault="00183B3D" w:rsidP="00183B3D">
      <w:pPr>
        <w:rPr>
          <w:color w:val="000000"/>
        </w:rPr>
      </w:pPr>
      <w:r>
        <w:rPr>
          <w:color w:val="000000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 </w:t>
      </w: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C656F4" w:rsidRPr="00703B0B" w:rsidTr="004E02D1">
        <w:trPr>
          <w:trHeight w:val="1912"/>
        </w:trPr>
        <w:tc>
          <w:tcPr>
            <w:tcW w:w="4379" w:type="dxa"/>
          </w:tcPr>
          <w:p w:rsidR="00C656F4" w:rsidRPr="00703B0B" w:rsidRDefault="00C656F4" w:rsidP="00C656F4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03B0B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656F4" w:rsidRPr="00703B0B" w:rsidRDefault="00C656F4" w:rsidP="00C656F4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b/>
                <w:color w:val="000000" w:themeColor="text1"/>
                <w:sz w:val="20"/>
              </w:rPr>
              <w:t>Departament Studiów</w:t>
            </w:r>
          </w:p>
          <w:p w:rsidR="00C656F4" w:rsidRPr="00703B0B" w:rsidRDefault="00C656F4" w:rsidP="00C656F4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b/>
                <w:color w:val="000000" w:themeColor="text1"/>
                <w:sz w:val="20"/>
              </w:rPr>
              <w:t>Makroekonomicznych i Finansów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703B0B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Dyrektor Mirosław Błażej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703B0B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37 73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theme="majorBidi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3942" w:type="dxa"/>
          </w:tcPr>
          <w:p w:rsidR="00C656F4" w:rsidRPr="00703B0B" w:rsidRDefault="00C656F4" w:rsidP="00C656F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3B0B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703B0B">
              <w:rPr>
                <w:rFonts w:cs="Arial"/>
                <w:color w:val="000000" w:themeColor="text1"/>
                <w:sz w:val="20"/>
              </w:rPr>
              <w:br/>
            </w:r>
            <w:r w:rsidRPr="00703B0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703B0B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703B0B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695 255 011</w:t>
            </w:r>
          </w:p>
          <w:p w:rsidR="00C656F4" w:rsidRPr="00703B0B" w:rsidRDefault="00C656F4" w:rsidP="00C656F4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656F4" w:rsidRPr="00703B0B" w:rsidRDefault="00C656F4" w:rsidP="00C656F4">
      <w:pPr>
        <w:rPr>
          <w:sz w:val="20"/>
          <w:lang w:val="en-US"/>
        </w:rPr>
      </w:pPr>
    </w:p>
    <w:p w:rsidR="00C656F4" w:rsidRPr="00703B0B" w:rsidRDefault="00C656F4" w:rsidP="00C656F4">
      <w:pPr>
        <w:rPr>
          <w:sz w:val="18"/>
          <w:lang w:val="en-US"/>
        </w:rPr>
      </w:pPr>
    </w:p>
    <w:tbl>
      <w:tblPr>
        <w:tblW w:w="5052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8"/>
        <w:gridCol w:w="603"/>
        <w:gridCol w:w="3125"/>
      </w:tblGrid>
      <w:tr w:rsidR="00C656F4" w:rsidRPr="00703B0B" w:rsidTr="009078BA">
        <w:trPr>
          <w:trHeight w:val="610"/>
        </w:trPr>
        <w:tc>
          <w:tcPr>
            <w:tcW w:w="2744" w:type="pct"/>
            <w:vMerge w:val="restart"/>
            <w:vAlign w:val="center"/>
          </w:tcPr>
          <w:p w:rsidR="009078BA" w:rsidRPr="00343A39" w:rsidRDefault="009078BA" w:rsidP="009078BA">
            <w:pPr>
              <w:rPr>
                <w:b/>
                <w:sz w:val="20"/>
              </w:rPr>
            </w:pPr>
            <w:r w:rsidRPr="00343A39">
              <w:rPr>
                <w:b/>
                <w:sz w:val="20"/>
              </w:rPr>
              <w:t xml:space="preserve">Wydział Współpracy z Mediami </w:t>
            </w:r>
          </w:p>
          <w:p w:rsidR="009078BA" w:rsidRPr="00343A39" w:rsidRDefault="009078BA" w:rsidP="009078BA">
            <w:pPr>
              <w:rPr>
                <w:sz w:val="20"/>
              </w:rPr>
            </w:pPr>
            <w:r w:rsidRPr="00343A39">
              <w:rPr>
                <w:sz w:val="20"/>
              </w:rPr>
              <w:t xml:space="preserve">Tel: 22 608 34 91, 22 608 38 04 </w:t>
            </w:r>
          </w:p>
          <w:p w:rsidR="00C656F4" w:rsidRPr="00343A39" w:rsidRDefault="009078BA" w:rsidP="009078BA">
            <w:pPr>
              <w:rPr>
                <w:sz w:val="18"/>
              </w:rPr>
            </w:pPr>
            <w:r w:rsidRPr="00343A39">
              <w:rPr>
                <w:b/>
                <w:sz w:val="20"/>
              </w:rPr>
              <w:t>e-mail: obslugaprasowa@stat.gov.pl</w:t>
            </w:r>
          </w:p>
        </w:tc>
        <w:tc>
          <w:tcPr>
            <w:tcW w:w="365" w:type="pct"/>
            <w:vAlign w:val="center"/>
          </w:tcPr>
          <w:p w:rsidR="00C656F4" w:rsidRPr="00703B0B" w:rsidRDefault="00C656F4" w:rsidP="00C656F4">
            <w:pPr>
              <w:rPr>
                <w:sz w:val="18"/>
                <w:lang w:val="en-US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16D136E3" wp14:editId="7333544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pct"/>
            <w:vAlign w:val="center"/>
          </w:tcPr>
          <w:p w:rsidR="00C656F4" w:rsidRPr="00703B0B" w:rsidRDefault="00C656F4" w:rsidP="00C656F4">
            <w:pPr>
              <w:rPr>
                <w:sz w:val="18"/>
              </w:rPr>
            </w:pPr>
            <w:r w:rsidRPr="00703B0B">
              <w:rPr>
                <w:sz w:val="20"/>
              </w:rPr>
              <w:t>www.stat.gov.pl</w:t>
            </w:r>
          </w:p>
        </w:tc>
      </w:tr>
      <w:tr w:rsidR="00C656F4" w:rsidRPr="00703B0B" w:rsidTr="009078BA">
        <w:trPr>
          <w:trHeight w:val="436"/>
        </w:trPr>
        <w:tc>
          <w:tcPr>
            <w:tcW w:w="2744" w:type="pct"/>
            <w:vMerge/>
            <w:vAlign w:val="center"/>
          </w:tcPr>
          <w:p w:rsidR="00C656F4" w:rsidRPr="00703B0B" w:rsidRDefault="00C656F4" w:rsidP="00C656F4">
            <w:pPr>
              <w:rPr>
                <w:sz w:val="18"/>
              </w:rPr>
            </w:pPr>
          </w:p>
        </w:tc>
        <w:tc>
          <w:tcPr>
            <w:tcW w:w="365" w:type="pct"/>
            <w:vAlign w:val="center"/>
          </w:tcPr>
          <w:p w:rsidR="00C656F4" w:rsidRPr="00703B0B" w:rsidRDefault="00C656F4" w:rsidP="00C656F4">
            <w:pPr>
              <w:rPr>
                <w:sz w:val="18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1184" behindDoc="0" locked="0" layoutInCell="1" allowOverlap="1" wp14:anchorId="1903C12E" wp14:editId="4016B96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pct"/>
          </w:tcPr>
          <w:p w:rsidR="00C656F4" w:rsidRPr="00703B0B" w:rsidRDefault="00C656F4" w:rsidP="00C656F4">
            <w:pPr>
              <w:rPr>
                <w:sz w:val="18"/>
              </w:rPr>
            </w:pPr>
            <w:r w:rsidRPr="00703B0B">
              <w:rPr>
                <w:sz w:val="20"/>
              </w:rPr>
              <w:t>@GUS_STAT</w:t>
            </w:r>
          </w:p>
        </w:tc>
      </w:tr>
      <w:tr w:rsidR="00C656F4" w:rsidRPr="00703B0B" w:rsidTr="009078BA">
        <w:trPr>
          <w:trHeight w:val="436"/>
        </w:trPr>
        <w:tc>
          <w:tcPr>
            <w:tcW w:w="2744" w:type="pct"/>
            <w:vMerge/>
            <w:vAlign w:val="center"/>
          </w:tcPr>
          <w:p w:rsidR="00C656F4" w:rsidRPr="00703B0B" w:rsidRDefault="00C656F4" w:rsidP="00C656F4">
            <w:pPr>
              <w:rPr>
                <w:sz w:val="18"/>
              </w:rPr>
            </w:pPr>
          </w:p>
        </w:tc>
        <w:tc>
          <w:tcPr>
            <w:tcW w:w="365" w:type="pct"/>
            <w:vAlign w:val="center"/>
          </w:tcPr>
          <w:p w:rsidR="00C656F4" w:rsidRPr="00703B0B" w:rsidRDefault="00C656F4" w:rsidP="00C656F4">
            <w:pPr>
              <w:rPr>
                <w:sz w:val="18"/>
              </w:rPr>
            </w:pPr>
            <w:r w:rsidRPr="00703B0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0160" behindDoc="0" locked="0" layoutInCell="1" allowOverlap="1" wp14:anchorId="0C6F9535" wp14:editId="2FBBC2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0" w:type="pct"/>
          </w:tcPr>
          <w:p w:rsidR="00C656F4" w:rsidRPr="00703B0B" w:rsidRDefault="00C656F4" w:rsidP="00C656F4">
            <w:pPr>
              <w:rPr>
                <w:sz w:val="20"/>
              </w:rPr>
            </w:pPr>
            <w:r w:rsidRPr="00703B0B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CA4074" wp14:editId="56CA407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16AA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73C26" w:rsidRPr="00064FEF" w:rsidRDefault="008C0B80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hyperlink r:id="rId19" w:history="1">
                              <w:r w:rsidR="00725BB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Wyspecjalizowane segmenty rynku finansowego </w:t>
                              </w:r>
                            </w:hyperlink>
                          </w:p>
                          <w:p w:rsidR="008F7953" w:rsidRDefault="008F795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16AA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673C26" w:rsidRPr="00064FEF" w:rsidRDefault="008C0B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8F795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</w:t>
                              </w:r>
                            </w:hyperlink>
                          </w:p>
                          <w:p w:rsidR="008F7953" w:rsidRPr="00064FEF" w:rsidRDefault="008C0B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8584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z regresem</w:t>
                              </w:r>
                            </w:hyperlink>
                          </w:p>
                          <w:p w:rsidR="008F7953" w:rsidRDefault="008C0B8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8F7953" w:rsidRPr="00064FE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Faktoring bez regresu</w:t>
                              </w:r>
                            </w:hyperlink>
                          </w:p>
                          <w:p w:rsidR="00985843" w:rsidRPr="00716AA6" w:rsidRDefault="0098584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RPr="00716A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4074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</w:rPr>
                      </w:pPr>
                      <w:r w:rsidRPr="00716AA6">
                        <w:rPr>
                          <w:b/>
                        </w:rPr>
                        <w:t>Powiązane opracowania</w:t>
                      </w:r>
                    </w:p>
                    <w:p w:rsidR="00673C26" w:rsidRPr="00064FEF" w:rsidRDefault="008C0B80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hyperlink r:id="rId23" w:history="1">
                        <w:r w:rsidR="00725BB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Wyspecjalizowane segmenty rynku finansowego </w:t>
                        </w:r>
                      </w:hyperlink>
                    </w:p>
                    <w:p w:rsidR="008F7953" w:rsidRDefault="008F795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16AA6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673C26" w:rsidRPr="00064FEF" w:rsidRDefault="008C0B8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4" w:history="1">
                        <w:r w:rsidR="008F795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</w:t>
                        </w:r>
                      </w:hyperlink>
                    </w:p>
                    <w:p w:rsidR="008F7953" w:rsidRPr="00064FEF" w:rsidRDefault="008C0B8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98584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 z regresem</w:t>
                        </w:r>
                      </w:hyperlink>
                    </w:p>
                    <w:p w:rsidR="008F7953" w:rsidRDefault="008C0B8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8F7953" w:rsidRPr="00064FE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Faktoring bez regresu</w:t>
                        </w:r>
                      </w:hyperlink>
                    </w:p>
                    <w:p w:rsidR="00985843" w:rsidRPr="00716AA6" w:rsidRDefault="0098584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RPr="00716A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80" w:rsidRDefault="008C0B80" w:rsidP="000662E2">
      <w:pPr>
        <w:spacing w:after="0" w:line="240" w:lineRule="auto"/>
      </w:pPr>
      <w:r>
        <w:separator/>
      </w:r>
    </w:p>
  </w:endnote>
  <w:endnote w:type="continuationSeparator" w:id="0">
    <w:p w:rsidR="008C0B80" w:rsidRDefault="008C0B8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3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3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B3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80" w:rsidRDefault="008C0B80" w:rsidP="000662E2">
      <w:pPr>
        <w:spacing w:after="0" w:line="240" w:lineRule="auto"/>
      </w:pPr>
      <w:r>
        <w:separator/>
      </w:r>
    </w:p>
  </w:footnote>
  <w:footnote w:type="continuationSeparator" w:id="0">
    <w:p w:rsidR="008C0B80" w:rsidRDefault="008C0B8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D9EDE6" wp14:editId="648842C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1E6F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F76A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9CB3DF2" wp14:editId="05145F7C">
              <wp:simplePos x="0" y="0"/>
              <wp:positionH relativeFrom="column">
                <wp:posOffset>5238750</wp:posOffset>
              </wp:positionH>
              <wp:positionV relativeFrom="paragraph">
                <wp:posOffset>200660</wp:posOffset>
              </wp:positionV>
              <wp:extent cx="1860550" cy="14782800"/>
              <wp:effectExtent l="0" t="0" r="6350" b="0"/>
              <wp:wrapTight wrapText="bothSides">
                <wp:wrapPolygon edited="0">
                  <wp:start x="0" y="0"/>
                  <wp:lineTo x="0" y="21572"/>
                  <wp:lineTo x="21453" y="21572"/>
                  <wp:lineTo x="21453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0550" cy="147828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39291" id="Prostokąt 10" o:spid="_x0000_s1026" style="position:absolute;margin-left:412.5pt;margin-top:15.8pt;width:146.5pt;height:116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9FC12E" wp14:editId="00C2F73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9FC12E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250199" w:rsidRPr="0010569E">
      <w:rPr>
        <w:noProof/>
        <w:lang w:eastAsia="pl-PL"/>
      </w:rPr>
      <w:drawing>
        <wp:inline distT="0" distB="0" distL="0" distR="0" wp14:anchorId="5292322C" wp14:editId="4D9BA93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7B853A3" wp14:editId="256D833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7471D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4026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40265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853A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7471D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4026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40265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.4pt;visibility:visible" o:bullet="t">
        <v:imagedata r:id="rId1" o:title=""/>
      </v:shape>
    </w:pict>
  </w:numPicBullet>
  <w:numPicBullet w:numPicBulletId="1">
    <w:pict>
      <v:shape id="_x0000_i1029" type="#_x0000_t75" style="width:124.2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6635"/>
    <w:rsid w:val="0000709F"/>
    <w:rsid w:val="000108B8"/>
    <w:rsid w:val="000152F5"/>
    <w:rsid w:val="000174C7"/>
    <w:rsid w:val="0004582E"/>
    <w:rsid w:val="000470AA"/>
    <w:rsid w:val="00057CA1"/>
    <w:rsid w:val="00064FEF"/>
    <w:rsid w:val="000662E2"/>
    <w:rsid w:val="00066883"/>
    <w:rsid w:val="00074DD8"/>
    <w:rsid w:val="000806F7"/>
    <w:rsid w:val="00082F37"/>
    <w:rsid w:val="00097840"/>
    <w:rsid w:val="000A5756"/>
    <w:rsid w:val="000B0727"/>
    <w:rsid w:val="000C135D"/>
    <w:rsid w:val="000D1D43"/>
    <w:rsid w:val="000D225C"/>
    <w:rsid w:val="000D2A5C"/>
    <w:rsid w:val="000E0918"/>
    <w:rsid w:val="000E1C23"/>
    <w:rsid w:val="000E23C7"/>
    <w:rsid w:val="000F2697"/>
    <w:rsid w:val="001011C3"/>
    <w:rsid w:val="00110D87"/>
    <w:rsid w:val="00110E07"/>
    <w:rsid w:val="00114DB9"/>
    <w:rsid w:val="00116087"/>
    <w:rsid w:val="00116B8D"/>
    <w:rsid w:val="00130296"/>
    <w:rsid w:val="001375D8"/>
    <w:rsid w:val="001423B6"/>
    <w:rsid w:val="001438E6"/>
    <w:rsid w:val="001448A7"/>
    <w:rsid w:val="00146621"/>
    <w:rsid w:val="00151187"/>
    <w:rsid w:val="00162325"/>
    <w:rsid w:val="00163EA3"/>
    <w:rsid w:val="00176646"/>
    <w:rsid w:val="00177132"/>
    <w:rsid w:val="00181421"/>
    <w:rsid w:val="00183B3D"/>
    <w:rsid w:val="001951DA"/>
    <w:rsid w:val="001C3269"/>
    <w:rsid w:val="001D1DB4"/>
    <w:rsid w:val="001E184E"/>
    <w:rsid w:val="001F6E7A"/>
    <w:rsid w:val="002067D4"/>
    <w:rsid w:val="00226C4E"/>
    <w:rsid w:val="00250199"/>
    <w:rsid w:val="002574F9"/>
    <w:rsid w:val="00262B61"/>
    <w:rsid w:val="00262DD5"/>
    <w:rsid w:val="00267080"/>
    <w:rsid w:val="00276811"/>
    <w:rsid w:val="0027706C"/>
    <w:rsid w:val="00282699"/>
    <w:rsid w:val="002926DF"/>
    <w:rsid w:val="00294472"/>
    <w:rsid w:val="00296697"/>
    <w:rsid w:val="002969D1"/>
    <w:rsid w:val="00297F5E"/>
    <w:rsid w:val="002B0472"/>
    <w:rsid w:val="002B6B12"/>
    <w:rsid w:val="002C4D14"/>
    <w:rsid w:val="002E6140"/>
    <w:rsid w:val="002E6985"/>
    <w:rsid w:val="002E71B6"/>
    <w:rsid w:val="002F3D74"/>
    <w:rsid w:val="002F689B"/>
    <w:rsid w:val="002F77C8"/>
    <w:rsid w:val="00304947"/>
    <w:rsid w:val="00304F22"/>
    <w:rsid w:val="00306028"/>
    <w:rsid w:val="00306C7C"/>
    <w:rsid w:val="00320E71"/>
    <w:rsid w:val="003229DF"/>
    <w:rsid w:val="00322EDD"/>
    <w:rsid w:val="00332320"/>
    <w:rsid w:val="00334D05"/>
    <w:rsid w:val="00335077"/>
    <w:rsid w:val="00343A39"/>
    <w:rsid w:val="00347D72"/>
    <w:rsid w:val="00357611"/>
    <w:rsid w:val="00367237"/>
    <w:rsid w:val="0037077F"/>
    <w:rsid w:val="00372411"/>
    <w:rsid w:val="00373882"/>
    <w:rsid w:val="003843DB"/>
    <w:rsid w:val="00393761"/>
    <w:rsid w:val="0039438D"/>
    <w:rsid w:val="00397D18"/>
    <w:rsid w:val="003A1B36"/>
    <w:rsid w:val="003B1454"/>
    <w:rsid w:val="003B18B6"/>
    <w:rsid w:val="003B78B9"/>
    <w:rsid w:val="003C59E0"/>
    <w:rsid w:val="003C6C8D"/>
    <w:rsid w:val="003D4F95"/>
    <w:rsid w:val="003D5F42"/>
    <w:rsid w:val="003D60A9"/>
    <w:rsid w:val="003D7CE1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7A2D"/>
    <w:rsid w:val="00463622"/>
    <w:rsid w:val="00463E39"/>
    <w:rsid w:val="004657FC"/>
    <w:rsid w:val="00471212"/>
    <w:rsid w:val="004733F6"/>
    <w:rsid w:val="00474E69"/>
    <w:rsid w:val="00495A07"/>
    <w:rsid w:val="0049621B"/>
    <w:rsid w:val="004A5969"/>
    <w:rsid w:val="004B0E6F"/>
    <w:rsid w:val="004B645B"/>
    <w:rsid w:val="004C1895"/>
    <w:rsid w:val="004C6D40"/>
    <w:rsid w:val="004F071D"/>
    <w:rsid w:val="004F0C3C"/>
    <w:rsid w:val="004F47CE"/>
    <w:rsid w:val="004F63FC"/>
    <w:rsid w:val="00505A92"/>
    <w:rsid w:val="005116F3"/>
    <w:rsid w:val="005203F1"/>
    <w:rsid w:val="00521499"/>
    <w:rsid w:val="00521BC3"/>
    <w:rsid w:val="00533632"/>
    <w:rsid w:val="00541E6E"/>
    <w:rsid w:val="0054251F"/>
    <w:rsid w:val="005520D8"/>
    <w:rsid w:val="00556CF1"/>
    <w:rsid w:val="00572B9B"/>
    <w:rsid w:val="005762A7"/>
    <w:rsid w:val="005916D7"/>
    <w:rsid w:val="005A698C"/>
    <w:rsid w:val="005D0705"/>
    <w:rsid w:val="005E0799"/>
    <w:rsid w:val="005E7160"/>
    <w:rsid w:val="005F5A80"/>
    <w:rsid w:val="006044FF"/>
    <w:rsid w:val="00607CC5"/>
    <w:rsid w:val="0062329E"/>
    <w:rsid w:val="00633014"/>
    <w:rsid w:val="0063437B"/>
    <w:rsid w:val="00654857"/>
    <w:rsid w:val="006673CA"/>
    <w:rsid w:val="0066785E"/>
    <w:rsid w:val="00673C26"/>
    <w:rsid w:val="006812AF"/>
    <w:rsid w:val="0068327D"/>
    <w:rsid w:val="00691D21"/>
    <w:rsid w:val="00694AF0"/>
    <w:rsid w:val="006A30F6"/>
    <w:rsid w:val="006A4686"/>
    <w:rsid w:val="006B0E9E"/>
    <w:rsid w:val="006B5AE4"/>
    <w:rsid w:val="006B674D"/>
    <w:rsid w:val="006D0DE8"/>
    <w:rsid w:val="006D1507"/>
    <w:rsid w:val="006D4054"/>
    <w:rsid w:val="006E02EC"/>
    <w:rsid w:val="006F2688"/>
    <w:rsid w:val="00716AA6"/>
    <w:rsid w:val="007211B1"/>
    <w:rsid w:val="00725BB3"/>
    <w:rsid w:val="00734304"/>
    <w:rsid w:val="00746187"/>
    <w:rsid w:val="007471D8"/>
    <w:rsid w:val="0075252C"/>
    <w:rsid w:val="00761242"/>
    <w:rsid w:val="0076254F"/>
    <w:rsid w:val="007801F5"/>
    <w:rsid w:val="00783CA4"/>
    <w:rsid w:val="007842FB"/>
    <w:rsid w:val="00786124"/>
    <w:rsid w:val="00790A4B"/>
    <w:rsid w:val="0079514B"/>
    <w:rsid w:val="007A2DC1"/>
    <w:rsid w:val="007A5274"/>
    <w:rsid w:val="007B14E5"/>
    <w:rsid w:val="007B56A1"/>
    <w:rsid w:val="007C4863"/>
    <w:rsid w:val="007D3319"/>
    <w:rsid w:val="007D335D"/>
    <w:rsid w:val="007E3314"/>
    <w:rsid w:val="007E4B03"/>
    <w:rsid w:val="007E5CD1"/>
    <w:rsid w:val="007F324B"/>
    <w:rsid w:val="0080553C"/>
    <w:rsid w:val="00805B46"/>
    <w:rsid w:val="00815F1C"/>
    <w:rsid w:val="00825DC2"/>
    <w:rsid w:val="00834AD3"/>
    <w:rsid w:val="00836980"/>
    <w:rsid w:val="00840265"/>
    <w:rsid w:val="00843795"/>
    <w:rsid w:val="00847936"/>
    <w:rsid w:val="00847F0F"/>
    <w:rsid w:val="00852448"/>
    <w:rsid w:val="008653F7"/>
    <w:rsid w:val="0088258A"/>
    <w:rsid w:val="00886332"/>
    <w:rsid w:val="008913BD"/>
    <w:rsid w:val="008A26D9"/>
    <w:rsid w:val="008C0B80"/>
    <w:rsid w:val="008C0C29"/>
    <w:rsid w:val="008E50BF"/>
    <w:rsid w:val="008F3638"/>
    <w:rsid w:val="008F4441"/>
    <w:rsid w:val="008F6F31"/>
    <w:rsid w:val="008F74DF"/>
    <w:rsid w:val="008F7953"/>
    <w:rsid w:val="009010C5"/>
    <w:rsid w:val="009078BA"/>
    <w:rsid w:val="00907B33"/>
    <w:rsid w:val="009127BA"/>
    <w:rsid w:val="009227A6"/>
    <w:rsid w:val="00933EC1"/>
    <w:rsid w:val="009530DB"/>
    <w:rsid w:val="00953676"/>
    <w:rsid w:val="009700B8"/>
    <w:rsid w:val="009705EE"/>
    <w:rsid w:val="00977927"/>
    <w:rsid w:val="0098135C"/>
    <w:rsid w:val="0098156A"/>
    <w:rsid w:val="00985843"/>
    <w:rsid w:val="00991BAC"/>
    <w:rsid w:val="009A6EA0"/>
    <w:rsid w:val="009B150B"/>
    <w:rsid w:val="009B4462"/>
    <w:rsid w:val="009C1335"/>
    <w:rsid w:val="009C1AB2"/>
    <w:rsid w:val="009C7251"/>
    <w:rsid w:val="009E2E91"/>
    <w:rsid w:val="009E47F1"/>
    <w:rsid w:val="009F7648"/>
    <w:rsid w:val="00A139F5"/>
    <w:rsid w:val="00A15C18"/>
    <w:rsid w:val="00A228FB"/>
    <w:rsid w:val="00A365F4"/>
    <w:rsid w:val="00A47D80"/>
    <w:rsid w:val="00A53132"/>
    <w:rsid w:val="00A563F2"/>
    <w:rsid w:val="00A566E8"/>
    <w:rsid w:val="00A739C3"/>
    <w:rsid w:val="00A810F9"/>
    <w:rsid w:val="00A86ECC"/>
    <w:rsid w:val="00A86FCC"/>
    <w:rsid w:val="00AA4649"/>
    <w:rsid w:val="00AA710D"/>
    <w:rsid w:val="00AB6D25"/>
    <w:rsid w:val="00AC5AD6"/>
    <w:rsid w:val="00AE2D4B"/>
    <w:rsid w:val="00AE4F99"/>
    <w:rsid w:val="00AF2866"/>
    <w:rsid w:val="00B11B69"/>
    <w:rsid w:val="00B14952"/>
    <w:rsid w:val="00B2196A"/>
    <w:rsid w:val="00B31E5A"/>
    <w:rsid w:val="00B40557"/>
    <w:rsid w:val="00B43822"/>
    <w:rsid w:val="00B57E4A"/>
    <w:rsid w:val="00B636CE"/>
    <w:rsid w:val="00B653AB"/>
    <w:rsid w:val="00B65F9E"/>
    <w:rsid w:val="00B66B19"/>
    <w:rsid w:val="00B914E9"/>
    <w:rsid w:val="00B95212"/>
    <w:rsid w:val="00B956EE"/>
    <w:rsid w:val="00B96ECF"/>
    <w:rsid w:val="00BA2BA1"/>
    <w:rsid w:val="00BA3562"/>
    <w:rsid w:val="00BA3C4A"/>
    <w:rsid w:val="00BB4F09"/>
    <w:rsid w:val="00BC419E"/>
    <w:rsid w:val="00BD4E33"/>
    <w:rsid w:val="00C030DE"/>
    <w:rsid w:val="00C147FB"/>
    <w:rsid w:val="00C218EE"/>
    <w:rsid w:val="00C22105"/>
    <w:rsid w:val="00C244B6"/>
    <w:rsid w:val="00C35397"/>
    <w:rsid w:val="00C3702F"/>
    <w:rsid w:val="00C4500A"/>
    <w:rsid w:val="00C64A37"/>
    <w:rsid w:val="00C656F4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1409"/>
    <w:rsid w:val="00CA484D"/>
    <w:rsid w:val="00CA4FB6"/>
    <w:rsid w:val="00CB3F4D"/>
    <w:rsid w:val="00CC739E"/>
    <w:rsid w:val="00CD58B7"/>
    <w:rsid w:val="00CE5079"/>
    <w:rsid w:val="00CF4099"/>
    <w:rsid w:val="00D00796"/>
    <w:rsid w:val="00D03A73"/>
    <w:rsid w:val="00D07F7D"/>
    <w:rsid w:val="00D261A2"/>
    <w:rsid w:val="00D616D2"/>
    <w:rsid w:val="00D63B5F"/>
    <w:rsid w:val="00D70EF7"/>
    <w:rsid w:val="00D8397C"/>
    <w:rsid w:val="00D84611"/>
    <w:rsid w:val="00D910DC"/>
    <w:rsid w:val="00D94B67"/>
    <w:rsid w:val="00D94EED"/>
    <w:rsid w:val="00D96026"/>
    <w:rsid w:val="00DA7C1C"/>
    <w:rsid w:val="00DB147A"/>
    <w:rsid w:val="00DB1B7A"/>
    <w:rsid w:val="00DC1AF2"/>
    <w:rsid w:val="00DC4B1C"/>
    <w:rsid w:val="00DC6708"/>
    <w:rsid w:val="00DC74F8"/>
    <w:rsid w:val="00DD335F"/>
    <w:rsid w:val="00DF76A0"/>
    <w:rsid w:val="00E01436"/>
    <w:rsid w:val="00E045BD"/>
    <w:rsid w:val="00E078AA"/>
    <w:rsid w:val="00E17B77"/>
    <w:rsid w:val="00E23337"/>
    <w:rsid w:val="00E259EA"/>
    <w:rsid w:val="00E32061"/>
    <w:rsid w:val="00E42FF9"/>
    <w:rsid w:val="00E4714C"/>
    <w:rsid w:val="00E51AEB"/>
    <w:rsid w:val="00E522A7"/>
    <w:rsid w:val="00E52FE4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C0634"/>
    <w:rsid w:val="00EC2CF7"/>
    <w:rsid w:val="00ED1618"/>
    <w:rsid w:val="00ED55C0"/>
    <w:rsid w:val="00ED682B"/>
    <w:rsid w:val="00EE41D5"/>
    <w:rsid w:val="00EE5C22"/>
    <w:rsid w:val="00F037A4"/>
    <w:rsid w:val="00F107B6"/>
    <w:rsid w:val="00F10B44"/>
    <w:rsid w:val="00F1455D"/>
    <w:rsid w:val="00F27C8F"/>
    <w:rsid w:val="00F32749"/>
    <w:rsid w:val="00F33E8E"/>
    <w:rsid w:val="00F37172"/>
    <w:rsid w:val="00F42F1D"/>
    <w:rsid w:val="00F4477E"/>
    <w:rsid w:val="00F67D8F"/>
    <w:rsid w:val="00F802BE"/>
    <w:rsid w:val="00F80E93"/>
    <w:rsid w:val="00F86024"/>
    <w:rsid w:val="00F8611A"/>
    <w:rsid w:val="00F915F2"/>
    <w:rsid w:val="00FA062D"/>
    <w:rsid w:val="00FA1567"/>
    <w:rsid w:val="00FA5128"/>
    <w:rsid w:val="00FB42D4"/>
    <w:rsid w:val="00FB5906"/>
    <w:rsid w:val="00FB762F"/>
    <w:rsid w:val="00FC25E8"/>
    <w:rsid w:val="00FC2AED"/>
    <w:rsid w:val="00FD5EA7"/>
    <w:rsid w:val="00FE0F05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F39B3-9AE7-4ADB-8A35-6A52C2D6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">
    <w:name w:val="Body Text Indent"/>
    <w:basedOn w:val="Normalny"/>
    <w:link w:val="TekstpodstawowywcityZnak"/>
    <w:rsid w:val="00C147FB"/>
    <w:pPr>
      <w:spacing w:before="0" w:after="0" w:line="360" w:lineRule="auto"/>
      <w:ind w:firstLine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147F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25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60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160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hyperlink" Target="http://stat.gov.pl/metainformacje/slownik-pojec/pojecia-stosowane-w-statystyce-publicznej/160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stat.gov.pl/metainformacje/slownik-pojec/pojecia-stosowane-w-statystyce-publicznej/1597,pojecie.htmlQuisque%20et%20diam%20in%20leo%20blandit%20euismod%20quis%20at%20ris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podmioty-gospodarcze-wyniki-finansowe/przedsiebiorstwa-finansowe/wyspecjalizowane-segmenty-rynku-finansowego-2018,18,4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yperlink" Target="https://stat.gov.pl/obszary-tematyczne/podmioty-gospodarcze-wyniki-finansowe/przedsiebiorstwa-finansowe/wyspecjalizowane-segmenty-rynku-finansowego-2018,18,4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stat.gov.pl/metainformacje/slownik-pojec/pojecia-stosowane-w-statystyce-publicznej/1604,pojecie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5674740484429"/>
          <c:y val="0.10917106334359088"/>
          <c:w val="0.80795847750865057"/>
          <c:h val="0.74018304246454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99A5C9"/>
            </a:solidFill>
            <a:ln w="12717">
              <a:noFill/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2703252032520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69575126128202E-3"/>
                  <c:y val="2.1172086720867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Sheet1!$B$2:$E$2</c:f>
              <c:numCache>
                <c:formatCode>#,##0</c:formatCode>
                <c:ptCount val="4"/>
                <c:pt idx="0">
                  <c:v>63439.875999999997</c:v>
                </c:pt>
                <c:pt idx="1">
                  <c:v>123758.754</c:v>
                </c:pt>
                <c:pt idx="2">
                  <c:v>6819.4340000000002</c:v>
                </c:pt>
                <c:pt idx="3">
                  <c:v>22440.580999999998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334A92"/>
            </a:solidFill>
            <a:ln w="12717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69575126128202E-3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6937669376693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8.46883468834688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Faktoring z regresem</c:v>
                </c:pt>
                <c:pt idx="1">
                  <c:v>Faktoring bez regresu</c:v>
                </c:pt>
                <c:pt idx="2">
                  <c:v>Faktoring mieszany</c:v>
                </c:pt>
                <c:pt idx="3">
                  <c:v>Faktoring odwrócony</c:v>
                </c:pt>
              </c:strCache>
            </c:strRef>
          </c:cat>
          <c:val>
            <c:numRef>
              <c:f>Sheet1!$B$3:$E$3</c:f>
              <c:numCache>
                <c:formatCode>#,##0</c:formatCode>
                <c:ptCount val="4"/>
                <c:pt idx="0">
                  <c:v>82544.512000000002</c:v>
                </c:pt>
                <c:pt idx="1">
                  <c:v>146365.372</c:v>
                </c:pt>
                <c:pt idx="2">
                  <c:v>8791.0640000000003</c:v>
                </c:pt>
                <c:pt idx="3">
                  <c:v>31684.472000000002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17"/>
        <c:axId val="773430016"/>
        <c:axId val="773426208"/>
      </c:barChart>
      <c:catAx>
        <c:axId val="77343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aseline="0"/>
            </a:pPr>
            <a:endParaRPr lang="pl-PL"/>
          </a:p>
        </c:txPr>
        <c:crossAx val="773426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73426208"/>
        <c:scaling>
          <c:orientation val="minMax"/>
        </c:scaling>
        <c:delete val="1"/>
        <c:axPos val="l"/>
        <c:majorGridlines>
          <c:spPr>
            <a:ln w="3179">
              <a:solidFill>
                <a:srgbClr val="000000">
                  <a:alpha val="31000"/>
                </a:srgbClr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700"/>
                </a:pPr>
                <a:r>
                  <a:rPr lang="pl-PL" sz="700"/>
                  <a:t>w mln</a:t>
                </a:r>
                <a:r>
                  <a:rPr lang="pl-PL" sz="700" baseline="0"/>
                  <a:t> zł</a:t>
                </a:r>
                <a:endParaRPr lang="pl-PL" sz="700"/>
              </a:p>
            </c:rich>
          </c:tx>
          <c:layout>
            <c:manualLayout>
              <c:xMode val="edge"/>
              <c:yMode val="edge"/>
              <c:x val="0.84460036939826966"/>
              <c:y val="4.3471635704651887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773430016"/>
        <c:crosses val="autoZero"/>
        <c:crossBetween val="between"/>
        <c:majorUnit val="2000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4085330295773334"/>
          <c:y val="0.91788868321001671"/>
          <c:w val="0.26470588235294118"/>
          <c:h val="6.3490860567910271E-2"/>
        </c:manualLayout>
      </c:layout>
      <c:overlay val="0"/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anose="020B0503050000020004" pitchFamily="34" charset="0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Dzialalność faktoringowa przedsiebiorstw finansowych w 2019 roku. Informacja sygnalna.docx.docx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STAT\NOWINSKAA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10CBAB6-9908-4844-896C-772C1940E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60883-03C5-4D0C-9316-F0BF4FCB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faktoringowa przedsiębiorstw finansowych w 2017 roku</vt:lpstr>
    </vt:vector>
  </TitlesOfParts>
  <Company>Główny Urząd Statystyczny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faktoringowa przedsiębiorstw finansowych w 2017 roku</dc:title>
  <dc:subject>Działalność faktoringowa przedsiębiorstw finansowych w 2017 roku</dc:subject>
  <dc:creator>Główny Urząd Statystyczny</dc:creator>
  <dc:description>Działalność faktoringowa przedsiębiorstw finansowych w 2017 roku</dc:description>
  <cp:lastPrinted>2018-06-19T07:58:00Z</cp:lastPrinted>
  <dcterms:created xsi:type="dcterms:W3CDTF">2020-07-10T12:44:00Z</dcterms:created>
  <dcterms:modified xsi:type="dcterms:W3CDTF">2020-07-13T07:01:00Z</dcterms:modified>
  <cp:category>Działalność faktoringowa przedsiębiorstw finansowych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GUS-SM06.533.2.2020.1</vt:lpwstr>
  </property>
  <property fmtid="{D5CDD505-2E9C-101B-9397-08002B2CF9AE}" pid="4" name="UNPPisma">
    <vt:lpwstr>2020-130382</vt:lpwstr>
  </property>
  <property fmtid="{D5CDD505-2E9C-101B-9397-08002B2CF9AE}" pid="5" name="ZnakSprawy">
    <vt:lpwstr>GUS-SM06.533.2.2020</vt:lpwstr>
  </property>
  <property fmtid="{D5CDD505-2E9C-101B-9397-08002B2CF9AE}" pid="6" name="ZnakSprawyPrzedPrzeniesieniem">
    <vt:lpwstr/>
  </property>
  <property fmtid="{D5CDD505-2E9C-101B-9397-08002B2CF9AE}" pid="7" name="Autor">
    <vt:lpwstr>Nowińska Agnieszka</vt:lpwstr>
  </property>
  <property fmtid="{D5CDD505-2E9C-101B-9397-08002B2CF9AE}" pid="8" name="AutorInicjaly">
    <vt:lpwstr>AN</vt:lpwstr>
  </property>
  <property fmtid="{D5CDD505-2E9C-101B-9397-08002B2CF9AE}" pid="9" name="AutorNrTelefonu">
    <vt:lpwstr>(022) 608-3620</vt:lpwstr>
  </property>
  <property fmtid="{D5CDD505-2E9C-101B-9397-08002B2CF9AE}" pid="10" name="Stanowisko">
    <vt:lpwstr>konsultant</vt:lpwstr>
  </property>
  <property fmtid="{D5CDD505-2E9C-101B-9397-08002B2CF9AE}" pid="11" name="OpisPisma">
    <vt:lpwstr>Informacja Sygnalna "Działalność faktoringowa przedsiębiorstw finansowych w 2019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2020-07-10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