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styczniu</w:t>
      </w:r>
      <w:r w:rsidR="003465A7" w:rsidRPr="003E7A56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EA2B44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48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B10C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,0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9C3B7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48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B10C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,0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9C3B7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5D1B08">
        <w:rPr>
          <w:rStyle w:val="Odwoanieprzypisudolnego"/>
          <w:rFonts w:cs="Arial"/>
          <w:szCs w:val="24"/>
        </w:rPr>
        <w:footnoteReference w:id="2"/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5850C1">
        <w:t xml:space="preserve"> </w:t>
      </w:r>
      <w:r w:rsidR="001143B4">
        <w:t xml:space="preserve">styczniu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850C1">
        <w:t>niższa</w:t>
      </w:r>
      <w:r w:rsidR="00CD323D">
        <w:t xml:space="preserve"> </w:t>
      </w:r>
      <w:r w:rsidR="00C62998" w:rsidRPr="009815A2">
        <w:t>niż przed rokiem o</w:t>
      </w:r>
      <w:r w:rsidR="00982BF5">
        <w:t xml:space="preserve"> </w:t>
      </w:r>
      <w:r w:rsidR="001143B4">
        <w:t>6</w:t>
      </w:r>
      <w:r w:rsidR="00627FE6">
        <w:t>,0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7814F9">
        <w:t>3</w:t>
      </w:r>
      <w:r w:rsidR="00C62998" w:rsidRPr="009815A2">
        <w:t>,</w:t>
      </w:r>
      <w:r w:rsidR="007814F9">
        <w:t>5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1143B4">
        <w:t xml:space="preserve">styczniu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1143B4">
        <w:rPr>
          <w:rFonts w:cs="Arial"/>
          <w:szCs w:val="24"/>
        </w:rPr>
        <w:t xml:space="preserve">grudniem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1143B4">
        <w:rPr>
          <w:rFonts w:cs="Arial"/>
          <w:szCs w:val="24"/>
        </w:rPr>
        <w:t>spadek</w:t>
      </w:r>
      <w:r w:rsidR="00F85F4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1143B4">
        <w:rPr>
          <w:rFonts w:cs="Arial"/>
          <w:spacing w:val="-10"/>
          <w:szCs w:val="24"/>
        </w:rPr>
        <w:t>24</w:t>
      </w:r>
      <w:r w:rsidR="004F09A0">
        <w:rPr>
          <w:rFonts w:cs="Arial"/>
          <w:spacing w:val="-10"/>
          <w:szCs w:val="24"/>
        </w:rPr>
        <w:t>,</w:t>
      </w:r>
      <w:r w:rsidR="001143B4">
        <w:rPr>
          <w:rFonts w:cs="Arial"/>
          <w:spacing w:val="-10"/>
          <w:szCs w:val="24"/>
        </w:rPr>
        <w:t>9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</w:p>
    <w:p w:rsidR="00665645" w:rsidRDefault="00665645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5708650</wp:posOffset>
                </wp:positionH>
                <wp:positionV relativeFrom="paragraph">
                  <wp:posOffset>248285</wp:posOffset>
                </wp:positionV>
                <wp:extent cx="1709420" cy="1684020"/>
                <wp:effectExtent l="0" t="0" r="0" b="0"/>
                <wp:wrapTight wrapText="bothSides">
                  <wp:wrapPolygon edited="0">
                    <wp:start x="722" y="0"/>
                    <wp:lineTo x="722" y="21258"/>
                    <wp:lineTo x="20701" y="21258"/>
                    <wp:lineTo x="20701" y="0"/>
                    <wp:lineTo x="722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68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</w:t>
                            </w:r>
                            <w:r w:rsidR="00BB15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r.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 sprzedaży detalicznej w skali roku</w:t>
                            </w:r>
                            <w:r w:rsidR="00525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</w:t>
                            </w:r>
                            <w:r w:rsidR="001D4E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51D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większości</w:t>
                            </w:r>
                            <w:r w:rsidR="003523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51D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697F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 Na niższą sprzedaż miały wpływ m.in. ograniczenia w działalności galerii handlowych wprowadzone z powodu epidemii 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49.5pt;margin-top:19.55pt;width:134.6pt;height:132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</w:t>
                      </w:r>
                      <w:r w:rsidR="00BB15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r.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 sprzedaży detalicznej w skali roku</w:t>
                      </w:r>
                      <w:r w:rsidR="00525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</w:t>
                      </w:r>
                      <w:r w:rsidR="001D4E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51D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większości</w:t>
                      </w:r>
                      <w:r w:rsidR="003523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51D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697F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 Na niższą sprzedaż miały wpływ m.in. ograniczenia w działalności galerii handlowych wprowadzone z powodu epidemii COVID-19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7814F9">
        <w:rPr>
          <w:rFonts w:cs="Arial"/>
        </w:rPr>
        <w:t>styczniu</w:t>
      </w:r>
      <w:r w:rsidR="004524C4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72453A">
        <w:rPr>
          <w:rFonts w:cs="Arial"/>
        </w:rPr>
        <w:t>głębszy</w:t>
      </w:r>
      <w:r w:rsidR="008C759C">
        <w:rPr>
          <w:rFonts w:cs="Arial"/>
        </w:rPr>
        <w:t xml:space="preserve"> </w:t>
      </w:r>
      <w:r w:rsidR="002F1D24">
        <w:rPr>
          <w:rFonts w:cs="Arial"/>
        </w:rPr>
        <w:t xml:space="preserve">spadek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492BDA">
        <w:rPr>
          <w:rFonts w:cs="Arial"/>
        </w:rPr>
        <w:t xml:space="preserve"> po</w:t>
      </w:r>
      <w:r w:rsidR="00354C88">
        <w:rPr>
          <w:rFonts w:cs="Arial"/>
        </w:rPr>
        <w:t>dobnie jak w poprzednich</w:t>
      </w:r>
      <w:r w:rsidR="0072453A">
        <w:rPr>
          <w:rFonts w:cs="Arial"/>
        </w:rPr>
        <w:t xml:space="preserve"> miesiącach</w:t>
      </w:r>
      <w:r w:rsidR="003E04E1">
        <w:rPr>
          <w:rFonts w:cs="Arial"/>
        </w:rPr>
        <w:t xml:space="preserve"> </w:t>
      </w:r>
      <w:r w:rsidR="00B75365">
        <w:rPr>
          <w:rFonts w:cs="Arial"/>
        </w:rPr>
        <w:t>podmiot</w:t>
      </w:r>
      <w:r w:rsidR="00EF5D3B">
        <w:rPr>
          <w:rFonts w:cs="Arial"/>
        </w:rPr>
        <w:t>y</w:t>
      </w:r>
      <w:r w:rsidR="00B75365">
        <w:rPr>
          <w:rFonts w:cs="Arial"/>
        </w:rPr>
        <w:t xml:space="preserve"> </w:t>
      </w:r>
      <w:r w:rsidR="00591BDF">
        <w:rPr>
          <w:rFonts w:cs="Arial"/>
        </w:rPr>
        <w:t xml:space="preserve">handlujące </w:t>
      </w:r>
      <w:r w:rsidR="00C52DFE">
        <w:rPr>
          <w:rFonts w:cs="Arial"/>
        </w:rPr>
        <w:t>tekstylia</w:t>
      </w:r>
      <w:r w:rsidR="00591BDF">
        <w:rPr>
          <w:rFonts w:cs="Arial"/>
        </w:rPr>
        <w:t>mi</w:t>
      </w:r>
      <w:r w:rsidR="00C52DFE">
        <w:rPr>
          <w:rFonts w:cs="Arial"/>
        </w:rPr>
        <w:t>, odzież</w:t>
      </w:r>
      <w:r w:rsidR="009A0350">
        <w:rPr>
          <w:rFonts w:cs="Arial"/>
        </w:rPr>
        <w:t xml:space="preserve">ą i </w:t>
      </w:r>
      <w:r w:rsidR="00C52DFE">
        <w:rPr>
          <w:rFonts w:cs="Arial"/>
        </w:rPr>
        <w:t>obuwie</w:t>
      </w:r>
      <w:r w:rsidR="00591BDF">
        <w:rPr>
          <w:rFonts w:cs="Arial"/>
        </w:rPr>
        <w:t>m</w:t>
      </w:r>
      <w:r w:rsidR="00C52DFE">
        <w:rPr>
          <w:rFonts w:cs="Arial"/>
        </w:rPr>
        <w:t xml:space="preserve"> (o </w:t>
      </w:r>
      <w:r w:rsidR="0072453A">
        <w:rPr>
          <w:rFonts w:cs="Arial"/>
        </w:rPr>
        <w:t>40,8% wobec wzrostu o 10,5</w:t>
      </w:r>
      <w:r w:rsidR="00C52DFE">
        <w:rPr>
          <w:rFonts w:cs="Arial"/>
        </w:rPr>
        <w:t>% przed rokiem)</w:t>
      </w:r>
      <w:r w:rsidR="006B566F">
        <w:rPr>
          <w:rFonts w:cs="Arial"/>
        </w:rPr>
        <w:t>.</w:t>
      </w:r>
      <w:r w:rsidR="00EF5D3B" w:rsidRPr="00EF5D3B">
        <w:rPr>
          <w:rFonts w:cs="Arial"/>
        </w:rPr>
        <w:t xml:space="preserve"> </w:t>
      </w:r>
      <w:r w:rsidR="00476D26" w:rsidRPr="005F5A33">
        <w:rPr>
          <w:rFonts w:cs="Arial"/>
        </w:rPr>
        <w:t>Znacznie mniejszą</w:t>
      </w:r>
      <w:r w:rsidR="007814F9">
        <w:rPr>
          <w:rFonts w:cs="Arial"/>
        </w:rPr>
        <w:t xml:space="preserve"> sprzedaż zaobserwowano również</w:t>
      </w:r>
      <w:r w:rsidR="006B566F" w:rsidRPr="005F5A33">
        <w:rPr>
          <w:rFonts w:cs="Arial"/>
        </w:rPr>
        <w:t xml:space="preserve"> w grupach: „</w:t>
      </w:r>
      <w:r w:rsidR="006D32FC">
        <w:rPr>
          <w:rFonts w:cs="Arial"/>
        </w:rPr>
        <w:t xml:space="preserve">paliwa stałe, </w:t>
      </w:r>
      <w:r w:rsidR="00EF5D3B" w:rsidRPr="005F5A33">
        <w:rPr>
          <w:rFonts w:cs="Arial"/>
        </w:rPr>
        <w:t>ciekłe i</w:t>
      </w:r>
      <w:r w:rsidR="009A0350">
        <w:rPr>
          <w:rFonts w:cs="Arial"/>
        </w:rPr>
        <w:t> </w:t>
      </w:r>
      <w:r w:rsidR="00EF5D3B" w:rsidRPr="005F5A33">
        <w:rPr>
          <w:rFonts w:cs="Arial"/>
        </w:rPr>
        <w:t>gazowe</w:t>
      </w:r>
      <w:r w:rsidR="006B566F" w:rsidRPr="005F5A33">
        <w:rPr>
          <w:rFonts w:cs="Arial"/>
        </w:rPr>
        <w:t>”</w:t>
      </w:r>
      <w:r w:rsidR="00EF5D3B" w:rsidRPr="005F5A33">
        <w:rPr>
          <w:rFonts w:cs="Arial"/>
        </w:rPr>
        <w:t xml:space="preserve"> (o </w:t>
      </w:r>
      <w:r w:rsidR="00C2658A">
        <w:rPr>
          <w:rFonts w:cs="Arial"/>
        </w:rPr>
        <w:t>16,4</w:t>
      </w:r>
      <w:r w:rsidR="00EF5D3B" w:rsidRPr="005F5A33">
        <w:rPr>
          <w:rFonts w:cs="Arial"/>
        </w:rPr>
        <w:t>%)</w:t>
      </w:r>
      <w:r w:rsidR="006B566F" w:rsidRPr="005F5A33">
        <w:rPr>
          <w:rFonts w:cs="Arial"/>
        </w:rPr>
        <w:t xml:space="preserve">; </w:t>
      </w:r>
      <w:r w:rsidR="002E68BC" w:rsidRPr="005F5A33">
        <w:rPr>
          <w:rFonts w:cs="Arial"/>
        </w:rPr>
        <w:t>„pozostałe” (o</w:t>
      </w:r>
      <w:r w:rsidR="00C61E41">
        <w:rPr>
          <w:rFonts w:cs="Arial"/>
        </w:rPr>
        <w:t xml:space="preserve"> </w:t>
      </w:r>
      <w:r w:rsidR="00C2658A">
        <w:rPr>
          <w:rFonts w:cs="Arial"/>
        </w:rPr>
        <w:t>15,3</w:t>
      </w:r>
      <w:r w:rsidR="002E68BC" w:rsidRPr="005F5A33">
        <w:rPr>
          <w:rFonts w:cs="Arial"/>
        </w:rPr>
        <w:t>%);</w:t>
      </w:r>
      <w:r w:rsidR="00C176CD" w:rsidRPr="005F5A33">
        <w:rPr>
          <w:rFonts w:cs="Arial"/>
        </w:rPr>
        <w:t xml:space="preserve"> </w:t>
      </w:r>
      <w:r w:rsidR="00C2658A">
        <w:rPr>
          <w:rFonts w:cs="Arial"/>
        </w:rPr>
        <w:t>„prasa, książki, pozostała sprzedaż w wyspecjalizowanych sklepach”</w:t>
      </w:r>
      <w:r w:rsidR="00BD4D84" w:rsidRPr="005F5A33">
        <w:rPr>
          <w:rFonts w:cs="Arial"/>
        </w:rPr>
        <w:t xml:space="preserve"> </w:t>
      </w:r>
      <w:r w:rsidR="002E68BC" w:rsidRPr="005F5A33">
        <w:rPr>
          <w:rFonts w:cs="Arial"/>
        </w:rPr>
        <w:t xml:space="preserve">(o </w:t>
      </w:r>
      <w:r w:rsidR="00C2658A">
        <w:rPr>
          <w:rFonts w:cs="Arial"/>
        </w:rPr>
        <w:t>11</w:t>
      </w:r>
      <w:r w:rsidR="00BC7097">
        <w:rPr>
          <w:rFonts w:cs="Arial"/>
        </w:rPr>
        <w:t>,9</w:t>
      </w:r>
      <w:r w:rsidR="009D4DA2" w:rsidRPr="005F5A33">
        <w:rPr>
          <w:rFonts w:cs="Arial"/>
        </w:rPr>
        <w:t>%)</w:t>
      </w:r>
      <w:r w:rsidR="00BC7097">
        <w:rPr>
          <w:rFonts w:cs="Arial"/>
        </w:rPr>
        <w:t>.</w:t>
      </w:r>
      <w:r w:rsidR="009D4DA2" w:rsidRPr="005F5A33">
        <w:rPr>
          <w:rFonts w:cs="Arial"/>
        </w:rPr>
        <w:t xml:space="preserve"> </w:t>
      </w:r>
      <w:r w:rsidR="00C61E41">
        <w:rPr>
          <w:rFonts w:cs="Arial"/>
        </w:rPr>
        <w:t>Spośród prezentowanych grup w</w:t>
      </w:r>
      <w:r w:rsidR="00431B3E">
        <w:rPr>
          <w:rFonts w:cs="Arial"/>
        </w:rPr>
        <w:t xml:space="preserve">zrost sprzedaży </w:t>
      </w:r>
      <w:r w:rsidR="00986627">
        <w:rPr>
          <w:rFonts w:cs="Arial"/>
        </w:rPr>
        <w:t xml:space="preserve">wykazały </w:t>
      </w:r>
      <w:r w:rsidR="00C61E41">
        <w:rPr>
          <w:rFonts w:cs="Arial"/>
        </w:rPr>
        <w:t>jedynie</w:t>
      </w:r>
      <w:r w:rsidR="00431B3E">
        <w:rPr>
          <w:rFonts w:cs="Arial"/>
        </w:rPr>
        <w:t xml:space="preserve"> jednostk</w:t>
      </w:r>
      <w:r w:rsidR="00986627">
        <w:rPr>
          <w:rFonts w:cs="Arial"/>
        </w:rPr>
        <w:t>i</w:t>
      </w:r>
      <w:r w:rsidR="00431B3E">
        <w:rPr>
          <w:rFonts w:cs="Arial"/>
        </w:rPr>
        <w:t xml:space="preserve"> handlując</w:t>
      </w:r>
      <w:r w:rsidR="00986627">
        <w:rPr>
          <w:rFonts w:cs="Arial"/>
        </w:rPr>
        <w:t>e</w:t>
      </w:r>
      <w:r w:rsidR="00C2658A">
        <w:rPr>
          <w:rFonts w:cs="Arial"/>
        </w:rPr>
        <w:t xml:space="preserve"> meblami, </w:t>
      </w:r>
      <w:proofErr w:type="spellStart"/>
      <w:r w:rsidR="00C2658A">
        <w:rPr>
          <w:rFonts w:cs="Arial"/>
        </w:rPr>
        <w:t>rtv</w:t>
      </w:r>
      <w:proofErr w:type="spellEnd"/>
      <w:r w:rsidR="00C2658A">
        <w:rPr>
          <w:rFonts w:cs="Arial"/>
        </w:rPr>
        <w:t xml:space="preserve">, </w:t>
      </w:r>
      <w:proofErr w:type="spellStart"/>
      <w:r w:rsidR="00C2658A">
        <w:rPr>
          <w:rFonts w:cs="Arial"/>
        </w:rPr>
        <w:t>agd</w:t>
      </w:r>
      <w:proofErr w:type="spellEnd"/>
      <w:r w:rsidR="00C2658A">
        <w:rPr>
          <w:rFonts w:cs="Arial"/>
        </w:rPr>
        <w:t xml:space="preserve"> (o 7,1</w:t>
      </w:r>
      <w:r w:rsidR="00431B3E">
        <w:rPr>
          <w:rFonts w:cs="Arial"/>
        </w:rPr>
        <w:t>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7814F9">
        <w:rPr>
          <w:rFonts w:cs="Arial"/>
        </w:rPr>
        <w:t>styczniu</w:t>
      </w:r>
      <w:r w:rsidRPr="005F5A33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FF5042" w:rsidRPr="005F5A33">
        <w:rPr>
          <w:rFonts w:cs="Arial"/>
        </w:rPr>
        <w:t> </w:t>
      </w:r>
      <w:r w:rsidR="003354BB">
        <w:rPr>
          <w:rFonts w:cs="Arial"/>
        </w:rPr>
        <w:t>grudniem 2020</w:t>
      </w:r>
      <w:r w:rsidR="001D741A">
        <w:rPr>
          <w:rFonts w:cs="Arial"/>
        </w:rPr>
        <w:t xml:space="preserve"> r.</w:t>
      </w:r>
      <w:r w:rsidR="00490BD6" w:rsidRPr="005F5A33">
        <w:rPr>
          <w:rFonts w:cs="Arial"/>
        </w:rPr>
        <w:t xml:space="preserve"> </w:t>
      </w:r>
      <w:bookmarkStart w:id="0" w:name="_GoBack"/>
      <w:bookmarkEnd w:id="0"/>
      <w:r w:rsidR="00DA6A41" w:rsidRPr="005F5A33">
        <w:rPr>
          <w:rFonts w:cs="Arial"/>
        </w:rPr>
        <w:t xml:space="preserve">odnotowano </w:t>
      </w:r>
      <w:r w:rsidR="00986627">
        <w:rPr>
          <w:rFonts w:cs="Arial"/>
        </w:rPr>
        <w:t>spadek</w:t>
      </w:r>
      <w:r w:rsidR="00D64C0D" w:rsidRPr="005F5A33">
        <w:rPr>
          <w:rFonts w:cs="Arial"/>
        </w:rPr>
        <w:t xml:space="preserve">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>etalicznej przez Internet</w:t>
      </w:r>
      <w:r w:rsidR="007044F5" w:rsidRPr="005F5A33">
        <w:rPr>
          <w:rFonts w:cs="Arial"/>
        </w:rPr>
        <w:t xml:space="preserve"> 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C2658A">
        <w:rPr>
          <w:rFonts w:cs="Arial"/>
        </w:rPr>
        <w:t>18,9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7A483B" w:rsidRPr="003354BB">
        <w:rPr>
          <w:rFonts w:cs="Arial"/>
        </w:rPr>
        <w:t>Natomiast</w:t>
      </w:r>
      <w:r w:rsidR="007A483B">
        <w:rPr>
          <w:rFonts w:cs="Arial"/>
        </w:rPr>
        <w:t xml:space="preserve"> 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9A0350">
        <w:rPr>
          <w:rFonts w:cs="Arial"/>
        </w:rPr>
        <w:t>większył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 </w:t>
      </w:r>
      <w:r w:rsidR="009A0350">
        <w:rPr>
          <w:rFonts w:cs="Arial"/>
        </w:rPr>
        <w:t>9</w:t>
      </w:r>
      <w:r w:rsidR="002F76DB" w:rsidRPr="005F5A33">
        <w:rPr>
          <w:rFonts w:cs="Arial"/>
        </w:rPr>
        <w:t>,</w:t>
      </w:r>
      <w:r w:rsidR="009A0350">
        <w:rPr>
          <w:rFonts w:cs="Arial"/>
        </w:rPr>
        <w:t>1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57ACD" w:rsidRPr="005F5A33">
        <w:rPr>
          <w:rFonts w:cs="Arial"/>
        </w:rPr>
        <w:t xml:space="preserve"> </w:t>
      </w:r>
      <w:r w:rsidR="009A0350">
        <w:rPr>
          <w:rFonts w:cs="Arial"/>
        </w:rPr>
        <w:t>grudniu ub. roku</w:t>
      </w:r>
      <w:r w:rsidR="00AA3132" w:rsidRPr="005F5A33">
        <w:rPr>
          <w:rFonts w:cs="Arial"/>
        </w:rPr>
        <w:t xml:space="preserve"> do </w:t>
      </w:r>
      <w:r w:rsidR="009A0350">
        <w:rPr>
          <w:rFonts w:cs="Arial"/>
        </w:rPr>
        <w:t>9,8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9A0350">
        <w:rPr>
          <w:rFonts w:cs="Arial"/>
        </w:rPr>
        <w:t>styczniu</w:t>
      </w:r>
      <w:r w:rsidR="00397F66" w:rsidRPr="005F5A33">
        <w:rPr>
          <w:rFonts w:cs="Arial"/>
        </w:rPr>
        <w:t xml:space="preserve">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9A0350">
        <w:rPr>
          <w:rFonts w:cs="Arial"/>
        </w:rPr>
        <w:t>Wzrost</w:t>
      </w:r>
      <w:r w:rsidR="00FE372C">
        <w:rPr>
          <w:rFonts w:cs="Arial"/>
        </w:rPr>
        <w:t xml:space="preserve">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 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9A0350">
        <w:rPr>
          <w:rFonts w:cs="Arial"/>
        </w:rPr>
        <w:t>19,9</w:t>
      </w:r>
      <w:r w:rsidR="00E07336" w:rsidRPr="00D47283">
        <w:rPr>
          <w:rFonts w:cs="Arial"/>
        </w:rPr>
        <w:t xml:space="preserve">% przed miesiącem do </w:t>
      </w:r>
      <w:r w:rsidR="009A0350">
        <w:rPr>
          <w:rFonts w:cs="Arial"/>
        </w:rPr>
        <w:t>44,0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3354BB">
        <w:rPr>
          <w:rFonts w:cs="Arial"/>
        </w:rPr>
        <w:t> </w:t>
      </w:r>
      <w:r w:rsidR="009A0350">
        <w:rPr>
          <w:rFonts w:cs="Arial"/>
        </w:rPr>
        <w:t>także podmioty z</w:t>
      </w:r>
      <w:r w:rsidR="00E07336" w:rsidRPr="00D47283">
        <w:rPr>
          <w:rFonts w:cs="Arial"/>
        </w:rPr>
        <w:t xml:space="preserve"> grup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</w:t>
      </w:r>
      <w:r w:rsidR="009A0350">
        <w:rPr>
          <w:rFonts w:cs="Arial"/>
        </w:rPr>
        <w:t>iednio z 27,8,</w:t>
      </w:r>
      <w:r w:rsidR="008F0AB0">
        <w:rPr>
          <w:rFonts w:cs="Arial"/>
        </w:rPr>
        <w:t xml:space="preserve">% do </w:t>
      </w:r>
      <w:r w:rsidR="009A0350">
        <w:rPr>
          <w:rFonts w:cs="Arial"/>
        </w:rPr>
        <w:t>34,1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9A0350">
        <w:rPr>
          <w:rFonts w:cs="Arial"/>
        </w:rPr>
        <w:t xml:space="preserve"> 15,2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9A0350">
        <w:rPr>
          <w:rFonts w:cs="Arial"/>
        </w:rPr>
        <w:t>19,3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C2658A" w:rsidP="00D97A4D">
      <w:pPr>
        <w:pStyle w:val="tytuwykresu"/>
        <w:rPr>
          <w:shd w:val="clear" w:color="auto" w:fill="FFFFFF"/>
        </w:rPr>
      </w:pPr>
      <w:r>
        <w:t xml:space="preserve"> W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</w:p>
    <w:p w:rsidR="006A1C37" w:rsidRPr="006A1C37" w:rsidRDefault="006A1C37" w:rsidP="006A1C37">
      <w:pPr>
        <w:rPr>
          <w:lang w:eastAsia="pl-PL"/>
        </w:rPr>
      </w:pPr>
    </w:p>
    <w:tbl>
      <w:tblPr>
        <w:tblW w:w="8051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62"/>
        <w:gridCol w:w="1162"/>
        <w:gridCol w:w="1162"/>
        <w:gridCol w:w="1162"/>
      </w:tblGrid>
      <w:tr w:rsidR="00665645" w:rsidRPr="00B97152" w:rsidTr="006E1DCB">
        <w:trPr>
          <w:cantSplit/>
          <w:trHeight w:val="340"/>
        </w:trPr>
        <w:tc>
          <w:tcPr>
            <w:tcW w:w="340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65645" w:rsidRPr="009F593B" w:rsidRDefault="00665645" w:rsidP="006E1DCB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F593B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Ceny stałe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65645" w:rsidRPr="00374327" w:rsidRDefault="00665645" w:rsidP="006E1DCB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Ceny bieżące</w:t>
            </w:r>
          </w:p>
        </w:tc>
      </w:tr>
      <w:tr w:rsidR="00665645" w:rsidRPr="00C27062" w:rsidTr="006E1DCB">
        <w:trPr>
          <w:cantSplit/>
          <w:trHeight w:val="340"/>
        </w:trPr>
        <w:tc>
          <w:tcPr>
            <w:tcW w:w="3403" w:type="dxa"/>
            <w:vMerge/>
            <w:shd w:val="clear" w:color="auto" w:fill="auto"/>
            <w:vAlign w:val="center"/>
          </w:tcPr>
          <w:p w:rsidR="00665645" w:rsidRPr="0095396F" w:rsidRDefault="00665645" w:rsidP="006E1DCB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65645" w:rsidRPr="00374327" w:rsidRDefault="00665645" w:rsidP="006E1DC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545DDA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65645" w:rsidRPr="00374327" w:rsidRDefault="00665645" w:rsidP="006E1DC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545DDA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65645" w:rsidRPr="00C27062" w:rsidTr="006E1DCB">
        <w:trPr>
          <w:trHeight w:val="340"/>
        </w:trPr>
        <w:tc>
          <w:tcPr>
            <w:tcW w:w="340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65645" w:rsidRPr="0095396F" w:rsidRDefault="00665645" w:rsidP="006E1DCB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65645" w:rsidRPr="00374327" w:rsidRDefault="00665645" w:rsidP="00545DD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XII 20</w:t>
            </w:r>
            <w:r w:rsidR="00545DDA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665645" w:rsidP="00545DD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AC35EC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665645" w:rsidP="00545DD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XII 20</w:t>
            </w:r>
            <w:r w:rsidR="00545DDA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665645" w:rsidP="00545DD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AC35EC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374327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665645" w:rsidRPr="00C27062" w:rsidTr="006E1DCB">
        <w:trPr>
          <w:trHeight w:val="369"/>
        </w:trPr>
        <w:tc>
          <w:tcPr>
            <w:tcW w:w="3403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OGÓŁEM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AC35EC" w:rsidP="006E1DC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94,0</w:t>
            </w:r>
          </w:p>
        </w:tc>
      </w:tr>
      <w:tr w:rsidR="00665645" w:rsidRPr="009E6EE1" w:rsidTr="006E1DCB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ind w:firstLine="176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65645" w:rsidRPr="0095396F" w:rsidTr="006E1DCB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</w:tr>
      <w:tr w:rsidR="00665645" w:rsidRPr="0095396F" w:rsidTr="006E1DCB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79,4</w:t>
            </w:r>
          </w:p>
        </w:tc>
      </w:tr>
      <w:tr w:rsidR="00665645" w:rsidRPr="0095396F" w:rsidTr="006E1DCB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556430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665645" w:rsidRPr="0095396F" w:rsidTr="006E1DCB">
        <w:trPr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665645" w:rsidP="006E1DC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65645" w:rsidRPr="0095396F" w:rsidTr="006E1DCB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</w:tr>
      <w:tr w:rsidR="00665645" w:rsidRPr="0095396F" w:rsidTr="006E1DCB">
        <w:trPr>
          <w:cantSplit/>
          <w:trHeight w:val="424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</w:tr>
      <w:tr w:rsidR="00665645" w:rsidRPr="0095396F" w:rsidTr="006E1DCB">
        <w:trPr>
          <w:cantSplit/>
          <w:trHeight w:val="370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374327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74327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</w:tr>
      <w:tr w:rsidR="00665645" w:rsidRPr="0095396F" w:rsidTr="006E1DCB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</w:tr>
      <w:tr w:rsidR="00665645" w:rsidRPr="0095396F" w:rsidTr="006E1DCB">
        <w:trPr>
          <w:cantSplit/>
          <w:trHeight w:val="369"/>
        </w:trPr>
        <w:tc>
          <w:tcPr>
            <w:tcW w:w="340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65645" w:rsidRPr="00374327" w:rsidRDefault="00665645" w:rsidP="006E1DCB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74327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665645" w:rsidRPr="00374327" w:rsidRDefault="004968BE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665645" w:rsidRPr="00374327" w:rsidRDefault="007D04AF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665645" w:rsidRPr="00374327" w:rsidRDefault="007675D3" w:rsidP="006E1DC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85,3</w:t>
            </w:r>
          </w:p>
        </w:tc>
      </w:tr>
    </w:tbl>
    <w:p w:rsidR="006F12AF" w:rsidRDefault="006A1C37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13244F"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E11C34" w:rsidRDefault="00E11C34" w:rsidP="00E11C34">
      <w:pPr>
        <w:ind w:left="851" w:hanging="851"/>
        <w:rPr>
          <w:b/>
          <w:sz w:val="18"/>
          <w:szCs w:val="18"/>
        </w:rPr>
      </w:pPr>
    </w:p>
    <w:p w:rsidR="00E11C34" w:rsidRDefault="00E11C34" w:rsidP="00E11C34">
      <w:pPr>
        <w:ind w:left="851" w:hanging="851"/>
        <w:rPr>
          <w:b/>
          <w:sz w:val="18"/>
          <w:szCs w:val="18"/>
        </w:rPr>
      </w:pPr>
    </w:p>
    <w:p w:rsidR="00E11C34" w:rsidRPr="00FB27F3" w:rsidRDefault="00E11C34" w:rsidP="00E11C34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styczniu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E11C34" w:rsidRDefault="003354BB" w:rsidP="006F12AF">
      <w:pPr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24800" behindDoc="0" locked="0" layoutInCell="1" allowOverlap="1" wp14:anchorId="0CE5BE59" wp14:editId="64C41D25">
            <wp:simplePos x="0" y="0"/>
            <wp:positionH relativeFrom="margin">
              <wp:align>left</wp:align>
            </wp:positionH>
            <wp:positionV relativeFrom="margin">
              <wp:posOffset>5876290</wp:posOffset>
            </wp:positionV>
            <wp:extent cx="5038725" cy="2640330"/>
            <wp:effectExtent l="0" t="0" r="9525" b="762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C34" w:rsidRDefault="00E11C34" w:rsidP="006F12AF">
      <w:pPr>
        <w:rPr>
          <w:color w:val="000000" w:themeColor="text1"/>
          <w:sz w:val="16"/>
          <w:szCs w:val="16"/>
        </w:rPr>
      </w:pPr>
    </w:p>
    <w:p w:rsidR="006A1C37" w:rsidRDefault="006A1C37" w:rsidP="00B82FB7">
      <w:pPr>
        <w:ind w:left="851" w:hanging="851"/>
        <w:rPr>
          <w:b/>
          <w:sz w:val="18"/>
          <w:szCs w:val="18"/>
        </w:rPr>
      </w:pPr>
    </w:p>
    <w:p w:rsidR="006A1C37" w:rsidRDefault="006A1C37" w:rsidP="00B82FB7">
      <w:pPr>
        <w:ind w:left="851" w:hanging="851"/>
        <w:rPr>
          <w:b/>
          <w:sz w:val="18"/>
          <w:szCs w:val="18"/>
        </w:rPr>
      </w:pPr>
    </w:p>
    <w:p w:rsidR="006A1C37" w:rsidRDefault="006A1C37" w:rsidP="00B82FB7">
      <w:pPr>
        <w:ind w:left="851" w:hanging="851"/>
        <w:rPr>
          <w:b/>
          <w:sz w:val="18"/>
          <w:szCs w:val="18"/>
        </w:rPr>
      </w:pPr>
    </w:p>
    <w:p w:rsidR="00E11C34" w:rsidRDefault="00E11C34" w:rsidP="00E11C34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lastRenderedPageBreak/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E11C34" w:rsidRDefault="007A483B" w:rsidP="00E11C34">
      <w:pPr>
        <w:pStyle w:val="tytuwykresu"/>
        <w:spacing w:before="0"/>
        <w:rPr>
          <w:rFonts w:cs="Arial"/>
          <w:b w:val="0"/>
          <w:sz w:val="19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118926</wp:posOffset>
                </wp:positionH>
                <wp:positionV relativeFrom="paragraph">
                  <wp:posOffset>101600</wp:posOffset>
                </wp:positionV>
                <wp:extent cx="1752600" cy="1012371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12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AA7242" w:rsidRDefault="00E52DC5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 w:rsidR="00B05555">
                              <w:rPr>
                                <w:b w:val="0"/>
                                <w:color w:val="001D77"/>
                              </w:rPr>
                              <w:t>styczniu</w:t>
                            </w:r>
                            <w:r w:rsidR="0006408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B05555">
                              <w:rPr>
                                <w:b w:val="0"/>
                                <w:color w:val="001D77"/>
                              </w:rPr>
                              <w:t>21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7A483B">
                              <w:rPr>
                                <w:b w:val="0"/>
                                <w:color w:val="001D77"/>
                              </w:rPr>
                              <w:t xml:space="preserve">spadek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sezonowo o</w:t>
                            </w:r>
                            <w:r w:rsidR="00532C65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7A483B">
                              <w:rPr>
                                <w:b w:val="0"/>
                                <w:color w:val="001D77"/>
                              </w:rPr>
                              <w:t>1,4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%</w:t>
                            </w:r>
                            <w:r w:rsidR="00EE34EB" w:rsidRPr="007B1A6C">
                              <w:rPr>
                                <w:b w:val="0"/>
                                <w:color w:val="FF0000"/>
                              </w:rPr>
                              <w:t xml:space="preserve"> 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 xml:space="preserve">w porównaniu </w:t>
                            </w:r>
                            <w:r w:rsidR="00EE34EB" w:rsidRPr="00AA7242">
                              <w:rPr>
                                <w:b w:val="0"/>
                                <w:color w:val="001D77"/>
                              </w:rPr>
                              <w:t>z</w:t>
                            </w:r>
                            <w:r w:rsidR="00AC6FF3" w:rsidRPr="00AA7242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7A483B">
                              <w:rPr>
                                <w:b w:val="0"/>
                                <w:color w:val="001D77"/>
                              </w:rPr>
                              <w:t>grudniem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9.35pt;margin-top:8pt;width:138pt;height:79.7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jT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" filled="f" stroked="f">
                <v:textbox>
                  <w:txbxContent>
                    <w:p w:rsidR="00EE34EB" w:rsidRPr="00AA7242" w:rsidRDefault="00E52DC5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>
                        <w:rPr>
                          <w:b w:val="0"/>
                          <w:color w:val="001D77"/>
                        </w:rPr>
                        <w:t xml:space="preserve">W </w:t>
                      </w:r>
                      <w:r w:rsidR="00B05555">
                        <w:rPr>
                          <w:b w:val="0"/>
                          <w:color w:val="001D77"/>
                        </w:rPr>
                        <w:t>styczniu</w:t>
                      </w:r>
                      <w:r w:rsidR="0006408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B05555">
                        <w:rPr>
                          <w:b w:val="0"/>
                          <w:color w:val="001D77"/>
                        </w:rPr>
                        <w:t>21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7A483B">
                        <w:rPr>
                          <w:b w:val="0"/>
                          <w:color w:val="001D77"/>
                        </w:rPr>
                        <w:t xml:space="preserve">spadek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sprzedaży detalicznej wyrównanej sezonowo o</w:t>
                      </w:r>
                      <w:r w:rsidR="00532C65">
                        <w:rPr>
                          <w:b w:val="0"/>
                          <w:color w:val="001D77"/>
                        </w:rPr>
                        <w:t> </w:t>
                      </w:r>
                      <w:r w:rsidR="007A483B">
                        <w:rPr>
                          <w:b w:val="0"/>
                          <w:color w:val="001D77"/>
                        </w:rPr>
                        <w:t>1,4</w:t>
                      </w:r>
                      <w:r w:rsidR="000A2F01">
                        <w:rPr>
                          <w:b w:val="0"/>
                          <w:color w:val="001D77"/>
                        </w:rPr>
                        <w:t>%</w:t>
                      </w:r>
                      <w:r w:rsidR="00EE34EB" w:rsidRPr="007B1A6C">
                        <w:rPr>
                          <w:b w:val="0"/>
                          <w:color w:val="FF0000"/>
                        </w:rPr>
                        <w:t xml:space="preserve"> </w:t>
                      </w:r>
                      <w:r w:rsidR="00EE34EB">
                        <w:rPr>
                          <w:b w:val="0"/>
                          <w:color w:val="001D77"/>
                        </w:rPr>
                        <w:t xml:space="preserve">w porównaniu </w:t>
                      </w:r>
                      <w:r w:rsidR="00EE34EB" w:rsidRPr="00AA7242">
                        <w:rPr>
                          <w:b w:val="0"/>
                          <w:color w:val="001D77"/>
                        </w:rPr>
                        <w:t>z</w:t>
                      </w:r>
                      <w:r w:rsidR="00AC6FF3" w:rsidRPr="00AA7242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7A483B">
                        <w:rPr>
                          <w:b w:val="0"/>
                          <w:color w:val="001D77"/>
                        </w:rPr>
                        <w:t>grudniem 2020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1C34" w:rsidRPr="004B18B7" w:rsidRDefault="00E11C34" w:rsidP="00E11C34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>Po wyeliminowaniu wpływu czynników o charakterze sezonowym sprzeda</w:t>
      </w:r>
      <w:r>
        <w:rPr>
          <w:rFonts w:cs="Arial"/>
          <w:b w:val="0"/>
          <w:sz w:val="19"/>
          <w:szCs w:val="19"/>
        </w:rPr>
        <w:t>ż detaliczna w cenach stałych w styczniu 2021</w:t>
      </w:r>
      <w:r w:rsidRPr="004B18B7">
        <w:rPr>
          <w:rFonts w:cs="Arial"/>
          <w:b w:val="0"/>
          <w:sz w:val="19"/>
          <w:szCs w:val="19"/>
        </w:rPr>
        <w:t xml:space="preserve"> r. była </w:t>
      </w:r>
      <w:r w:rsidRPr="000A2F01">
        <w:rPr>
          <w:rFonts w:cs="Arial"/>
          <w:b w:val="0"/>
          <w:sz w:val="19"/>
          <w:szCs w:val="19"/>
        </w:rPr>
        <w:t xml:space="preserve">o </w:t>
      </w:r>
      <w:r w:rsidR="007A483B">
        <w:rPr>
          <w:rFonts w:cs="Arial"/>
          <w:b w:val="0"/>
          <w:sz w:val="19"/>
          <w:szCs w:val="19"/>
        </w:rPr>
        <w:t>1</w:t>
      </w:r>
      <w:r w:rsidRPr="007A483B">
        <w:rPr>
          <w:rFonts w:cs="Arial"/>
          <w:b w:val="0"/>
          <w:sz w:val="19"/>
          <w:szCs w:val="19"/>
        </w:rPr>
        <w:t xml:space="preserve">,4% </w:t>
      </w:r>
      <w:r w:rsidR="007A483B" w:rsidRPr="007A483B">
        <w:rPr>
          <w:rFonts w:cs="Arial"/>
          <w:b w:val="0"/>
          <w:sz w:val="19"/>
          <w:szCs w:val="19"/>
        </w:rPr>
        <w:t xml:space="preserve">niższa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>
        <w:rPr>
          <w:rFonts w:cs="Arial"/>
          <w:b w:val="0"/>
          <w:sz w:val="19"/>
          <w:szCs w:val="19"/>
        </w:rPr>
        <w:t xml:space="preserve">grudniem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7A483B">
        <w:rPr>
          <w:rFonts w:cs="Arial"/>
          <w:b w:val="0"/>
          <w:sz w:val="19"/>
          <w:szCs w:val="19"/>
        </w:rPr>
        <w:t>0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E11C34" w:rsidRDefault="00E11C34" w:rsidP="00E11C34">
      <w:pPr>
        <w:pStyle w:val="tytuwykresu"/>
        <w:ind w:left="851" w:hanging="851"/>
        <w:rPr>
          <w:shd w:val="clear" w:color="auto" w:fill="FFFFFF"/>
        </w:rPr>
      </w:pPr>
    </w:p>
    <w:p w:rsidR="00E11C34" w:rsidRDefault="00E11C34" w:rsidP="00E11C34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E11C34" w:rsidRDefault="007A483B" w:rsidP="00B82FB7">
      <w:pPr>
        <w:ind w:left="851" w:hanging="851"/>
        <w:rPr>
          <w:noProof/>
          <w:color w:val="339D68"/>
          <w:lang w:eastAsia="pl-PL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26848" behindDoc="0" locked="0" layoutInCell="1" allowOverlap="1" wp14:anchorId="68D6D087" wp14:editId="140AC541">
            <wp:simplePos x="0" y="0"/>
            <wp:positionH relativeFrom="margin">
              <wp:posOffset>0</wp:posOffset>
            </wp:positionH>
            <wp:positionV relativeFrom="margin">
              <wp:posOffset>1676400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83B" w:rsidRDefault="007A483B" w:rsidP="00E50819"/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1D741A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A1E1E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7B" w:rsidRDefault="00FB0A7B" w:rsidP="000662E2">
      <w:pPr>
        <w:spacing w:after="0" w:line="240" w:lineRule="auto"/>
      </w:pPr>
      <w:r>
        <w:separator/>
      </w:r>
    </w:p>
  </w:endnote>
  <w:endnote w:type="continuationSeparator" w:id="0">
    <w:p w:rsidR="00FB0A7B" w:rsidRDefault="00FB0A7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1D74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1D7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7B" w:rsidRDefault="00FB0A7B" w:rsidP="000662E2">
      <w:pPr>
        <w:spacing w:after="0" w:line="240" w:lineRule="auto"/>
      </w:pPr>
      <w:r>
        <w:separator/>
      </w:r>
    </w:p>
  </w:footnote>
  <w:footnote w:type="continuationSeparator" w:id="0">
    <w:p w:rsidR="00FB0A7B" w:rsidRDefault="00FB0A7B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5D1B08" w:rsidRDefault="005D1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1B08">
        <w:rPr>
          <w:sz w:val="16"/>
          <w:szCs w:val="16"/>
        </w:rPr>
        <w:t>Dane wstępne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5D1B0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5D1B0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5pt;height:122.55pt;visibility:visible;mso-wrap-style:square" o:bullet="t">
        <v:imagedata r:id="rId1" o:title=""/>
      </v:shape>
    </w:pict>
  </w:numPicBullet>
  <w:numPicBullet w:numPicBulletId="1">
    <w:pict>
      <v:shape id="_x0000_i1027" type="#_x0000_t75" style="width:123.45pt;height:122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87E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C90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3B4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C3B"/>
    <w:rsid w:val="001A2C7F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3139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5B98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2E7"/>
    <w:rsid w:val="004226A9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C07"/>
    <w:rsid w:val="004765FF"/>
    <w:rsid w:val="00476D26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4C9"/>
    <w:rsid w:val="00511F40"/>
    <w:rsid w:val="00513859"/>
    <w:rsid w:val="005151CB"/>
    <w:rsid w:val="00515DF5"/>
    <w:rsid w:val="00515FCF"/>
    <w:rsid w:val="005170C9"/>
    <w:rsid w:val="0052017D"/>
    <w:rsid w:val="005203F1"/>
    <w:rsid w:val="00521BC3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4B56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F6"/>
    <w:rsid w:val="0062724C"/>
    <w:rsid w:val="0062734E"/>
    <w:rsid w:val="00627FE6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E37"/>
    <w:rsid w:val="006411E5"/>
    <w:rsid w:val="006414A2"/>
    <w:rsid w:val="0064250A"/>
    <w:rsid w:val="006442AF"/>
    <w:rsid w:val="00644AAE"/>
    <w:rsid w:val="00645F68"/>
    <w:rsid w:val="006460A0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3CA"/>
    <w:rsid w:val="00667DF9"/>
    <w:rsid w:val="0067015F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327D"/>
    <w:rsid w:val="00683E97"/>
    <w:rsid w:val="006842EC"/>
    <w:rsid w:val="00684787"/>
    <w:rsid w:val="00684C1D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BBA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287B"/>
    <w:rsid w:val="006D32FC"/>
    <w:rsid w:val="006D3C80"/>
    <w:rsid w:val="006D4054"/>
    <w:rsid w:val="006D430F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BD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14F9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A53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284"/>
    <w:rsid w:val="008418EB"/>
    <w:rsid w:val="00842F06"/>
    <w:rsid w:val="00843795"/>
    <w:rsid w:val="00845850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350"/>
    <w:rsid w:val="009A06B2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4FB0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528B"/>
    <w:rsid w:val="00A55512"/>
    <w:rsid w:val="00A55589"/>
    <w:rsid w:val="00A563F2"/>
    <w:rsid w:val="00A566E8"/>
    <w:rsid w:val="00A60261"/>
    <w:rsid w:val="00A60D11"/>
    <w:rsid w:val="00A622CB"/>
    <w:rsid w:val="00A63E05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A7242"/>
    <w:rsid w:val="00AB11B1"/>
    <w:rsid w:val="00AB1DC9"/>
    <w:rsid w:val="00AB1F07"/>
    <w:rsid w:val="00AB60D7"/>
    <w:rsid w:val="00AB6D25"/>
    <w:rsid w:val="00AC09F0"/>
    <w:rsid w:val="00AC1D06"/>
    <w:rsid w:val="00AC26E1"/>
    <w:rsid w:val="00AC35EC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397A"/>
    <w:rsid w:val="00CB47B9"/>
    <w:rsid w:val="00CB4974"/>
    <w:rsid w:val="00CB51BB"/>
    <w:rsid w:val="00CB568E"/>
    <w:rsid w:val="00CB67F3"/>
    <w:rsid w:val="00CB694F"/>
    <w:rsid w:val="00CB7068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618C"/>
    <w:rsid w:val="00DB6380"/>
    <w:rsid w:val="00DB6444"/>
    <w:rsid w:val="00DC0650"/>
    <w:rsid w:val="00DC08CF"/>
    <w:rsid w:val="00DC15F9"/>
    <w:rsid w:val="00DC2B9B"/>
    <w:rsid w:val="00DC5284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DC5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F00351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11D3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62A8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72C"/>
    <w:rsid w:val="00FE39D8"/>
    <w:rsid w:val="00FE3DCC"/>
    <w:rsid w:val="00FE4641"/>
    <w:rsid w:val="00FE7193"/>
    <w:rsid w:val="00FE7552"/>
    <w:rsid w:val="00FE7997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Arkusz1!$D$89:$D$125</c:f>
              <c:numCache>
                <c:formatCode>General</c:formatCode>
                <c:ptCount val="37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54311104"/>
        <c:axId val="-54310560"/>
      </c:barChart>
      <c:catAx>
        <c:axId val="-54311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5431056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54310560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5431110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7.8575405347058896E-2"/>
          <c:w val="0.93452311955429368"/>
          <c:h val="0.6836497710513457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95,0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2"/>
              <c:layout>
                <c:manualLayout>
                  <c:x val="2.520379659536887E-3"/>
                  <c:y val="-5.7006190734471732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115311909262752E-2"/>
                      <c:h val="5.9857482185273148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5204788909891957E-3"/>
                  <c:y val="-5.080516954382990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2.5205781224415984E-3"/>
                  <c:y val="6.960742140011574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4478563525482E-2"/>
                      <c:h val="8.04357828193090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rodz_dział_miesiąc!$CB$4:$CB$11</c:f>
              <c:numCache>
                <c:formatCode>0.0</c:formatCode>
                <c:ptCount val="8"/>
                <c:pt idx="0">
                  <c:v>95</c:v>
                </c:pt>
                <c:pt idx="1">
                  <c:v>83.6</c:v>
                </c:pt>
                <c:pt idx="2">
                  <c:v>99.2</c:v>
                </c:pt>
                <c:pt idx="3">
                  <c:v>90.8</c:v>
                </c:pt>
                <c:pt idx="4">
                  <c:v>59.2</c:v>
                </c:pt>
                <c:pt idx="5">
                  <c:v>107.1</c:v>
                </c:pt>
                <c:pt idx="6">
                  <c:v>88.1</c:v>
                </c:pt>
                <c:pt idx="7">
                  <c:v>84.7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54309472"/>
        <c:axId val="-2127448880"/>
      </c:barChart>
      <c:catAx>
        <c:axId val="-543094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12744888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2127448880"/>
        <c:scaling>
          <c:orientation val="minMax"/>
          <c:max val="115"/>
          <c:min val="5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5430947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1.4875320763409776E-2"/>
                  <c:y val="-2.6966292134831545E-2"/>
                </c:manualLayout>
              </c:layout>
              <c:tx>
                <c:rich>
                  <a:bodyPr/>
                  <a:lstStyle/>
                  <a:p>
                    <a:fld id="{39A443D0-08A3-4AFB-B558-9D4012C31808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86759315925963E-2"/>
                      <c:h val="5.662921348314606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3.718854592785422E-2"/>
                  <c:y val="1.3483146067415731E-2"/>
                </c:manualLayout>
              </c:layout>
              <c:tx>
                <c:rich>
                  <a:bodyPr/>
                  <a:lstStyle/>
                  <a:p>
                    <a:fld id="{8A2D3D8D-BFEC-4557-8E4D-76B3F4343B90}" type="VALUE">
                      <a:rPr lang="en-US" sz="800" baseline="0">
                        <a:solidFill>
                          <a:srgbClr val="001D77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1.487541837114187E-2"/>
                  <c:y val="4.4943820224718689E-3"/>
                </c:manualLayout>
              </c:layout>
              <c:tx>
                <c:rich>
                  <a:bodyPr/>
                  <a:lstStyle/>
                  <a:p>
                    <a:fld id="{8F09638E-A2B3-4D22-8DEF-0F1275EDD65A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5"/>
              <c:layout>
                <c:manualLayout>
                  <c:x val="-2.7271600347093094E-2"/>
                  <c:y val="8.5393258426966295E-2"/>
                </c:manualLayout>
              </c:layout>
              <c:tx>
                <c:rich>
                  <a:bodyPr/>
                  <a:lstStyle/>
                  <a:p>
                    <a:fld id="{E19ECB2D-16DF-4120-8A19-3693191A5DEF}" type="VALUE">
                      <a:rPr lang="en-US" sz="800" baseline="0">
                        <a:solidFill>
                          <a:srgbClr val="339D68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27451056"/>
        <c:axId val="-2127452688"/>
      </c:lineChart>
      <c:catAx>
        <c:axId val="-2127451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27452688"/>
        <c:crosses val="autoZero"/>
        <c:auto val="1"/>
        <c:lblAlgn val="ctr"/>
        <c:lblOffset val="100"/>
        <c:tickMarkSkip val="12"/>
        <c:noMultiLvlLbl val="0"/>
      </c:catAx>
      <c:valAx>
        <c:axId val="-212745268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2745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0.39508</cdr:x>
      <cdr:y>0.02886</cdr:y>
    </cdr:from>
    <cdr:to>
      <cdr:x>0.56526</cdr:x>
      <cdr:y>0.15466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90698" y="76200"/>
          <a:ext cx="857491" cy="3321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94,0</a:t>
          </a:r>
        </a:p>
      </cdr:txBody>
    </cdr:sp>
  </cdr:relSizeAnchor>
  <cdr:relSizeAnchor xmlns:cdr="http://schemas.openxmlformats.org/drawingml/2006/chartDrawing">
    <cdr:from>
      <cdr:x>0.40448</cdr:x>
      <cdr:y>0.13605</cdr:y>
    </cdr:from>
    <cdr:to>
      <cdr:x>0.46665</cdr:x>
      <cdr:y>0.28374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38062" y="359229"/>
          <a:ext cx="313252" cy="38992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0.06129</cdr:x>
      <cdr:y>0.30137</cdr:y>
    </cdr:from>
    <cdr:to>
      <cdr:x>1</cdr:x>
      <cdr:y>0.30137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8823" y="795712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07353-D973-4A24-9406-380F8B2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2020-11-20T12:47:00Z</cp:lastPrinted>
  <dcterms:created xsi:type="dcterms:W3CDTF">2021-02-17T11:05:00Z</dcterms:created>
  <dcterms:modified xsi:type="dcterms:W3CDTF">2021-02-18T09:26:00Z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