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="003627E7" w:rsidRPr="003627E7" w:rsidRDefault="0042517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 styczniu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9CF76FF" wp14:editId="3D30F50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1728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42149F">
                              <w:rPr>
                                <w:sz w:val="20"/>
                              </w:rPr>
                              <w:t>e</w:t>
                            </w:r>
                            <w:r w:rsidR="00D80E2D">
                              <w:rPr>
                                <w:sz w:val="20"/>
                              </w:rPr>
                              <w:t> </w:t>
                            </w:r>
                            <w:r w:rsidR="0042149F">
                              <w:rPr>
                                <w:sz w:val="20"/>
                              </w:rPr>
                              <w:t>styczniem 2020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3627E7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76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1728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42149F">
                        <w:rPr>
                          <w:sz w:val="20"/>
                        </w:rPr>
                        <w:t>e</w:t>
                      </w:r>
                      <w:r w:rsidR="00D80E2D">
                        <w:rPr>
                          <w:sz w:val="20"/>
                        </w:rPr>
                        <w:t> </w:t>
                      </w:r>
                      <w:r w:rsidR="0042149F">
                        <w:rPr>
                          <w:sz w:val="20"/>
                        </w:rPr>
                        <w:t>styczniem 2020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="003627E7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824BA78" wp14:editId="54125B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A78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42149F">
        <w:rPr>
          <w:b/>
          <w:noProof/>
          <w:szCs w:val="19"/>
          <w:lang w:eastAsia="pl-PL"/>
        </w:rPr>
        <w:t xml:space="preserve"> styczniu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172831">
        <w:rPr>
          <w:b/>
          <w:noProof/>
          <w:szCs w:val="19"/>
          <w:lang w:eastAsia="pl-PL"/>
        </w:rPr>
        <w:t>0,9</w:t>
      </w:r>
      <w:r w:rsidR="004C7303">
        <w:rPr>
          <w:b/>
          <w:noProof/>
          <w:szCs w:val="19"/>
          <w:lang w:eastAsia="pl-PL"/>
        </w:rPr>
        <w:t>% w porównaniu z</w:t>
      </w:r>
      <w:r w:rsidR="0042149F">
        <w:rPr>
          <w:b/>
          <w:noProof/>
          <w:szCs w:val="19"/>
          <w:lang w:eastAsia="pl-PL"/>
        </w:rPr>
        <w:t>e</w:t>
      </w:r>
      <w:r w:rsidR="004C7303">
        <w:rPr>
          <w:b/>
          <w:noProof/>
          <w:szCs w:val="19"/>
          <w:lang w:eastAsia="pl-PL"/>
        </w:rPr>
        <w:t xml:space="preserve"> </w:t>
      </w:r>
      <w:r w:rsidR="0042149F">
        <w:rPr>
          <w:b/>
          <w:noProof/>
          <w:szCs w:val="19"/>
          <w:lang w:eastAsia="pl-PL"/>
        </w:rPr>
        <w:t>styczniem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 xml:space="preserve">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</w:t>
      </w:r>
      <w:r w:rsidR="006D2BB5">
        <w:rPr>
          <w:b/>
          <w:noProof/>
          <w:szCs w:val="19"/>
          <w:lang w:eastAsia="pl-PL"/>
        </w:rPr>
        <w:t xml:space="preserve"> </w:t>
      </w:r>
      <w:r w:rsidR="00023342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172831">
        <w:rPr>
          <w:b/>
          <w:noProof/>
          <w:szCs w:val="19"/>
          <w:lang w:eastAsia="pl-PL"/>
        </w:rPr>
        <w:t>1,1</w:t>
      </w:r>
      <w:r w:rsidRPr="003627E7">
        <w:rPr>
          <w:b/>
          <w:noProof/>
          <w:szCs w:val="19"/>
          <w:lang w:eastAsia="pl-PL"/>
        </w:rPr>
        <w:t>%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B23F4F">
        <w:rPr>
          <w:b/>
          <w:noProof/>
          <w:szCs w:val="19"/>
          <w:lang w:eastAsia="pl-PL"/>
        </w:rPr>
        <w:t> </w:t>
      </w:r>
      <w:r w:rsidR="0042149F">
        <w:rPr>
          <w:b/>
          <w:noProof/>
          <w:szCs w:val="19"/>
          <w:lang w:eastAsia="pl-PL"/>
        </w:rPr>
        <w:t>grudniem ub.</w:t>
      </w:r>
      <w:r w:rsidR="004C7303">
        <w:rPr>
          <w:b/>
          <w:noProof/>
          <w:szCs w:val="19"/>
          <w:lang w:eastAsia="pl-PL"/>
        </w:rPr>
        <w:t xml:space="preserve"> </w:t>
      </w:r>
      <w:r w:rsidR="00D65596">
        <w:rPr>
          <w:b/>
          <w:noProof/>
          <w:szCs w:val="19"/>
          <w:lang w:eastAsia="pl-PL"/>
        </w:rPr>
        <w:t>r</w:t>
      </w:r>
      <w:r w:rsidR="00241CA5">
        <w:rPr>
          <w:b/>
          <w:noProof/>
          <w:szCs w:val="19"/>
          <w:lang w:eastAsia="pl-PL"/>
        </w:rPr>
        <w:t>oku</w:t>
      </w:r>
      <w:r w:rsidR="00D65596">
        <w:rPr>
          <w:b/>
          <w:noProof/>
          <w:szCs w:val="19"/>
          <w:lang w:eastAsia="pl-PL"/>
        </w:rPr>
        <w:t xml:space="preserve"> </w:t>
      </w:r>
      <w:r w:rsidR="009546F0">
        <w:rPr>
          <w:b/>
          <w:noProof/>
          <w:szCs w:val="19"/>
          <w:lang w:eastAsia="pl-PL"/>
        </w:rPr>
        <w:t>spadła</w:t>
      </w:r>
      <w:r w:rsidR="004C7303">
        <w:rPr>
          <w:b/>
          <w:noProof/>
          <w:szCs w:val="19"/>
          <w:lang w:eastAsia="pl-PL"/>
        </w:rPr>
        <w:t xml:space="preserve"> o </w:t>
      </w:r>
      <w:r w:rsidR="00172831">
        <w:rPr>
          <w:b/>
          <w:noProof/>
          <w:szCs w:val="19"/>
          <w:lang w:eastAsia="pl-PL"/>
        </w:rPr>
        <w:t>5,1</w:t>
      </w:r>
      <w:r w:rsidR="004C7303">
        <w:rPr>
          <w:b/>
          <w:noProof/>
          <w:szCs w:val="19"/>
          <w:lang w:eastAsia="pl-PL"/>
        </w:rPr>
        <w:t xml:space="preserve">%. </w:t>
      </w: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42149F" w:rsidRDefault="0042149F" w:rsidP="003627E7">
      <w:pPr>
        <w:jc w:val="both"/>
        <w:rPr>
          <w:b/>
          <w:noProof/>
          <w:szCs w:val="19"/>
          <w:lang w:eastAsia="pl-PL"/>
        </w:rPr>
      </w:pPr>
    </w:p>
    <w:p w:rsidR="0042149F" w:rsidRDefault="0042149F" w:rsidP="003627E7">
      <w:pPr>
        <w:jc w:val="both"/>
        <w:rPr>
          <w:b/>
          <w:noProof/>
          <w:szCs w:val="19"/>
          <w:lang w:eastAsia="pl-PL"/>
        </w:rPr>
      </w:pPr>
    </w:p>
    <w:p w:rsidR="0042149F" w:rsidRDefault="0042149F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F4DD38F" wp14:editId="160B0B62">
                <wp:simplePos x="0" y="0"/>
                <wp:positionH relativeFrom="column">
                  <wp:posOffset>5240323</wp:posOffset>
                </wp:positionH>
                <wp:positionV relativeFrom="paragraph">
                  <wp:posOffset>103588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42149F">
                              <w:t>styczniu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116426">
                              <w:t>5,7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38F" id="_x0000_s1028" type="#_x0000_t202" style="position:absolute;left:0;text-align:left;margin-left:412.6pt;margin-top:8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" filled="f" stroked="f">
                <v:textbox>
                  <w:txbxContent>
                    <w:p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42149F">
                        <w:t>styczniu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116426">
                        <w:t>5,7</w:t>
                      </w:r>
                      <w:r w:rsidRPr="00AE62E1">
                        <w:t xml:space="preserve">% w skali roku </w:t>
                      </w:r>
                    </w:p>
                    <w:p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 xml:space="preserve">arakterze sezonowym, w </w:t>
      </w:r>
      <w:r w:rsidR="00C4192F">
        <w:rPr>
          <w:noProof/>
          <w:szCs w:val="19"/>
          <w:lang w:eastAsia="pl-PL"/>
        </w:rPr>
        <w:t>styczniu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C4192F">
        <w:rPr>
          <w:noProof/>
          <w:szCs w:val="19"/>
          <w:lang w:eastAsia="pl-PL"/>
        </w:rPr>
        <w:t>5,7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C4192F">
        <w:rPr>
          <w:noProof/>
          <w:szCs w:val="19"/>
          <w:lang w:eastAsia="pl-PL"/>
        </w:rPr>
        <w:t>1,7</w:t>
      </w:r>
      <w:r w:rsidR="00AE62E1">
        <w:rPr>
          <w:noProof/>
          <w:szCs w:val="19"/>
          <w:lang w:eastAsia="pl-PL"/>
        </w:rPr>
        <w:t>% wy</w:t>
      </w:r>
      <w:r w:rsidRPr="00AE62E1">
        <w:rPr>
          <w:noProof/>
          <w:szCs w:val="19"/>
          <w:lang w:eastAsia="pl-PL"/>
        </w:rPr>
        <w:t xml:space="preserve">ższym w porównaniu z </w:t>
      </w:r>
      <w:r w:rsidR="00C4192F">
        <w:rPr>
          <w:noProof/>
          <w:szCs w:val="19"/>
          <w:lang w:eastAsia="pl-PL"/>
        </w:rPr>
        <w:t>grudniem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="00D65596">
        <w:rPr>
          <w:noProof/>
          <w:szCs w:val="19"/>
          <w:lang w:eastAsia="pl-PL"/>
        </w:rPr>
        <w:t>.</w:t>
      </w: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8E773F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238760</wp:posOffset>
            </wp:positionV>
            <wp:extent cx="5175885" cy="3151505"/>
            <wp:effectExtent l="0" t="0" r="571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C4192F" w:rsidRPr="00071006" w:rsidRDefault="00C4192F" w:rsidP="00C4192F">
      <w:pPr>
        <w:spacing w:before="0" w:after="0" w:line="240" w:lineRule="auto"/>
        <w:rPr>
          <w:rFonts w:eastAsia="Calibri" w:cs="Times New Roman"/>
        </w:rPr>
      </w:pPr>
      <w:r w:rsidRPr="00DD58F4">
        <w:rPr>
          <w:rFonts w:eastAsia="Calibri" w:cs="Times New Roman"/>
        </w:rPr>
        <w:t xml:space="preserve">W </w:t>
      </w:r>
      <w:r>
        <w:rPr>
          <w:rFonts w:eastAsia="Calibri" w:cs="Times New Roman"/>
        </w:rPr>
        <w:t>trzech</w:t>
      </w:r>
      <w:r w:rsidRPr="00DD58F4">
        <w:rPr>
          <w:rFonts w:eastAsia="Calibri" w:cs="Times New Roman"/>
        </w:rPr>
        <w:t xml:space="preserve"> gł</w:t>
      </w:r>
      <w:r>
        <w:rPr>
          <w:rFonts w:eastAsia="Calibri" w:cs="Times New Roman"/>
        </w:rPr>
        <w:t>ównych grupowaniach przemysłowych w styczniu br.</w:t>
      </w:r>
      <w:r w:rsidRPr="00DD58F4">
        <w:rPr>
          <w:rFonts w:eastAsia="Calibri" w:cs="Times New Roman"/>
        </w:rPr>
        <w:t xml:space="preserve"> odnotowano </w:t>
      </w:r>
      <w:r>
        <w:rPr>
          <w:rFonts w:eastAsia="Calibri" w:cs="Times New Roman"/>
        </w:rPr>
        <w:t>spadek</w:t>
      </w:r>
      <w:r w:rsidRPr="00DD58F4">
        <w:rPr>
          <w:rFonts w:eastAsia="Calibri" w:cs="Times New Roman"/>
        </w:rPr>
        <w:t xml:space="preserve"> produkcji w skali roku. Produkcja dóbr konsumpcyjnych nietrwałych</w:t>
      </w:r>
      <w:r>
        <w:rPr>
          <w:rFonts w:eastAsia="Calibri" w:cs="Times New Roman"/>
        </w:rPr>
        <w:t xml:space="preserve"> zmniejszyła się o 5,2%, </w:t>
      </w:r>
      <w:r w:rsidRPr="00DD58F4">
        <w:rPr>
          <w:rFonts w:eastAsia="Calibri" w:cs="Times New Roman"/>
        </w:rPr>
        <w:t>dóbr związanych z energią</w:t>
      </w:r>
      <w:r w:rsidR="00D44D3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> 4,9%, a</w:t>
      </w:r>
      <w:r w:rsidRPr="00C4192F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 xml:space="preserve">– </w:t>
      </w:r>
      <w:r w:rsidRPr="00DD58F4">
        <w:rPr>
          <w:rFonts w:eastAsia="Calibri" w:cs="Times New Roman"/>
        </w:rPr>
        <w:t>o</w:t>
      </w:r>
      <w:r>
        <w:rPr>
          <w:rFonts w:eastAsia="Calibri" w:cs="Times New Roman"/>
        </w:rPr>
        <w:t xml:space="preserve"> 1,3</w:t>
      </w:r>
      <w:r w:rsidRPr="00DD58F4">
        <w:rPr>
          <w:rFonts w:eastAsia="Calibri" w:cs="Times New Roman"/>
        </w:rPr>
        <w:t>%.</w:t>
      </w:r>
      <w:r>
        <w:rPr>
          <w:rFonts w:eastAsia="Calibri" w:cs="Times New Roman"/>
        </w:rPr>
        <w:t xml:space="preserve"> Zwiększyła</w:t>
      </w:r>
      <w:r w:rsidRPr="00DD58F4">
        <w:rPr>
          <w:rFonts w:eastAsia="Calibri" w:cs="Times New Roman"/>
        </w:rPr>
        <w:t xml:space="preserve"> się natomiast </w:t>
      </w:r>
      <w:r>
        <w:rPr>
          <w:rFonts w:eastAsia="Calibri" w:cs="Times New Roman"/>
        </w:rPr>
        <w:t xml:space="preserve">produkcja dóbr </w:t>
      </w:r>
      <w:r w:rsidRPr="00DD58F4">
        <w:rPr>
          <w:rFonts w:eastAsia="Calibri" w:cs="Times New Roman"/>
        </w:rPr>
        <w:t>zaopatrzeniowych</w:t>
      </w:r>
      <w:r w:rsidR="0011642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– o </w:t>
      </w:r>
      <w:r w:rsidR="00116426">
        <w:rPr>
          <w:rFonts w:eastAsia="Calibri" w:cs="Times New Roman"/>
        </w:rPr>
        <w:t>4,4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 oraz dóbr konsumpcyjnych trwałych </w:t>
      </w:r>
      <w:r w:rsidR="00116426">
        <w:rPr>
          <w:rFonts w:eastAsia="Calibri" w:cs="Times New Roman"/>
        </w:rPr>
        <w:t>– o 3,7</w:t>
      </w:r>
      <w:r w:rsidRPr="00DD58F4">
        <w:rPr>
          <w:rFonts w:eastAsia="Calibri" w:cs="Times New Roman"/>
        </w:rPr>
        <w:t>%</w:t>
      </w:r>
      <w:r w:rsidR="00241CA5">
        <w:rPr>
          <w:rFonts w:eastAsia="Calibri" w:cs="Times New Roman"/>
        </w:rPr>
        <w:t>.</w:t>
      </w:r>
    </w:p>
    <w:p w:rsidR="00B77982" w:rsidRDefault="00B7798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1C130A" w:rsidRDefault="001C130A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RPr="003627E7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2"/>
        <w:gridCol w:w="1701"/>
      </w:tblGrid>
      <w:tr w:rsidR="0042149F" w:rsidRPr="003627E7" w:rsidTr="0042149F">
        <w:trPr>
          <w:trHeight w:val="57"/>
        </w:trPr>
        <w:tc>
          <w:tcPr>
            <w:tcW w:w="2552" w:type="dxa"/>
            <w:vMerge w:val="restart"/>
            <w:vAlign w:val="center"/>
          </w:tcPr>
          <w:p w:rsidR="0042149F" w:rsidRPr="003627E7" w:rsidRDefault="0042149F" w:rsidP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386" w:type="dxa"/>
            <w:gridSpan w:val="3"/>
            <w:vAlign w:val="center"/>
          </w:tcPr>
          <w:p w:rsidR="0042149F" w:rsidRPr="003627E7" w:rsidRDefault="0042149F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335C67"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</w:tr>
      <w:tr w:rsidR="0042149F" w:rsidRPr="003627E7" w:rsidTr="0042149F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42149F" w:rsidRPr="003627E7" w:rsidRDefault="0042149F" w:rsidP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bottom w:val="single" w:sz="12" w:space="0" w:color="212492"/>
            </w:tcBorders>
            <w:vAlign w:val="center"/>
          </w:tcPr>
          <w:p w:rsidR="0042149F" w:rsidRPr="003627E7" w:rsidRDefault="0042149F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XII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2020=100</w:t>
            </w:r>
          </w:p>
        </w:tc>
        <w:tc>
          <w:tcPr>
            <w:tcW w:w="1842" w:type="dxa"/>
            <w:tcBorders>
              <w:bottom w:val="single" w:sz="12" w:space="0" w:color="212492"/>
            </w:tcBorders>
            <w:vAlign w:val="center"/>
          </w:tcPr>
          <w:p w:rsidR="0042149F" w:rsidRPr="003627E7" w:rsidRDefault="0042149F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335C67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701" w:type="dxa"/>
            <w:tcBorders>
              <w:bottom w:val="single" w:sz="12" w:space="0" w:color="212492"/>
            </w:tcBorders>
            <w:vAlign w:val="center"/>
          </w:tcPr>
          <w:p w:rsidR="0042149F" w:rsidRPr="003627E7" w:rsidRDefault="0042149F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42149F" w:rsidRPr="003627E7" w:rsidRDefault="0042149F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</w:tr>
      <w:tr w:rsidR="0042149F" w:rsidRPr="003627E7" w:rsidTr="0042149F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42149F" w:rsidRPr="003627E7" w:rsidRDefault="0042149F" w:rsidP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:rsidR="0042149F" w:rsidRPr="003627E7" w:rsidRDefault="00172831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94,9</w:t>
            </w:r>
          </w:p>
        </w:tc>
        <w:tc>
          <w:tcPr>
            <w:tcW w:w="1842" w:type="dxa"/>
            <w:tcBorders>
              <w:top w:val="single" w:sz="12" w:space="0" w:color="212492"/>
            </w:tcBorders>
            <w:vAlign w:val="center"/>
          </w:tcPr>
          <w:p w:rsidR="0042149F" w:rsidRPr="003627E7" w:rsidRDefault="00172831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100,9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:rsidR="0042149F" w:rsidRPr="003627E7" w:rsidRDefault="00116426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120,2</w:t>
            </w:r>
          </w:p>
        </w:tc>
      </w:tr>
      <w:tr w:rsidR="0042149F" w:rsidRPr="003627E7" w:rsidTr="0042149F">
        <w:trPr>
          <w:trHeight w:val="57"/>
        </w:trPr>
        <w:tc>
          <w:tcPr>
            <w:tcW w:w="2552" w:type="dxa"/>
            <w:vAlign w:val="center"/>
          </w:tcPr>
          <w:p w:rsidR="0042149F" w:rsidRPr="003627E7" w:rsidRDefault="0042149F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843" w:type="dxa"/>
            <w:vAlign w:val="center"/>
          </w:tcPr>
          <w:p w:rsidR="0042149F" w:rsidRPr="003627E7" w:rsidRDefault="00172831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71,7</w:t>
            </w:r>
          </w:p>
        </w:tc>
        <w:tc>
          <w:tcPr>
            <w:tcW w:w="1842" w:type="dxa"/>
            <w:vAlign w:val="center"/>
          </w:tcPr>
          <w:p w:rsidR="0042149F" w:rsidRPr="003627E7" w:rsidRDefault="00172831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1701" w:type="dxa"/>
            <w:vAlign w:val="center"/>
          </w:tcPr>
          <w:p w:rsidR="0042149F" w:rsidRPr="003627E7" w:rsidRDefault="0011642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67,0</w:t>
            </w:r>
          </w:p>
        </w:tc>
      </w:tr>
      <w:tr w:rsidR="0042149F" w:rsidRPr="003627E7" w:rsidTr="0042149F">
        <w:trPr>
          <w:trHeight w:val="57"/>
        </w:trPr>
        <w:tc>
          <w:tcPr>
            <w:tcW w:w="2552" w:type="dxa"/>
            <w:vAlign w:val="center"/>
          </w:tcPr>
          <w:p w:rsidR="0042149F" w:rsidRPr="003627E7" w:rsidRDefault="0042149F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843" w:type="dxa"/>
            <w:vAlign w:val="center"/>
          </w:tcPr>
          <w:p w:rsidR="0042149F" w:rsidRPr="003627E7" w:rsidRDefault="00172831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94,7</w:t>
            </w:r>
          </w:p>
        </w:tc>
        <w:tc>
          <w:tcPr>
            <w:tcW w:w="1842" w:type="dxa"/>
            <w:vAlign w:val="center"/>
          </w:tcPr>
          <w:p w:rsidR="0042149F" w:rsidRPr="003627E7" w:rsidRDefault="00172831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1701" w:type="dxa"/>
            <w:vAlign w:val="center"/>
          </w:tcPr>
          <w:p w:rsidR="0042149F" w:rsidRPr="003627E7" w:rsidRDefault="0011642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120,8</w:t>
            </w:r>
          </w:p>
        </w:tc>
      </w:tr>
      <w:tr w:rsidR="0042149F" w:rsidRPr="003627E7" w:rsidTr="0042149F">
        <w:trPr>
          <w:trHeight w:val="57"/>
        </w:trPr>
        <w:tc>
          <w:tcPr>
            <w:tcW w:w="2552" w:type="dxa"/>
            <w:vAlign w:val="center"/>
          </w:tcPr>
          <w:p w:rsidR="0042149F" w:rsidRPr="003627E7" w:rsidRDefault="0042149F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843" w:type="dxa"/>
            <w:vAlign w:val="center"/>
          </w:tcPr>
          <w:p w:rsidR="0042149F" w:rsidRPr="003627E7" w:rsidRDefault="00172831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106,8</w:t>
            </w:r>
          </w:p>
        </w:tc>
        <w:tc>
          <w:tcPr>
            <w:tcW w:w="1842" w:type="dxa"/>
            <w:vAlign w:val="center"/>
          </w:tcPr>
          <w:p w:rsidR="0042149F" w:rsidRPr="003627E7" w:rsidRDefault="00172831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</w:t>
            </w:r>
          </w:p>
        </w:tc>
        <w:tc>
          <w:tcPr>
            <w:tcW w:w="1701" w:type="dxa"/>
            <w:vAlign w:val="center"/>
          </w:tcPr>
          <w:p w:rsidR="0042149F" w:rsidRPr="003627E7" w:rsidRDefault="0011642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137,8</w:t>
            </w:r>
          </w:p>
        </w:tc>
      </w:tr>
      <w:tr w:rsidR="0042149F" w:rsidRPr="003627E7" w:rsidTr="0042149F">
        <w:trPr>
          <w:trHeight w:val="624"/>
        </w:trPr>
        <w:tc>
          <w:tcPr>
            <w:tcW w:w="2552" w:type="dxa"/>
            <w:vAlign w:val="center"/>
          </w:tcPr>
          <w:p w:rsidR="0042149F" w:rsidRPr="003627E7" w:rsidRDefault="0042149F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2149F" w:rsidRPr="003627E7" w:rsidRDefault="00172831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87,6</w:t>
            </w:r>
          </w:p>
        </w:tc>
        <w:tc>
          <w:tcPr>
            <w:tcW w:w="1842" w:type="dxa"/>
            <w:vAlign w:val="center"/>
          </w:tcPr>
          <w:p w:rsidR="0042149F" w:rsidRPr="003627E7" w:rsidRDefault="00172831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105,6</w:t>
            </w:r>
          </w:p>
        </w:tc>
        <w:tc>
          <w:tcPr>
            <w:tcW w:w="1701" w:type="dxa"/>
            <w:vAlign w:val="center"/>
          </w:tcPr>
          <w:p w:rsidR="0042149F" w:rsidRPr="003627E7" w:rsidRDefault="0011642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123,8</w:t>
            </w:r>
          </w:p>
        </w:tc>
      </w:tr>
    </w:tbl>
    <w:p w:rsidR="003627E7" w:rsidRPr="003627E7" w:rsidRDefault="005E7DEB" w:rsidP="005E7DEB">
      <w:pPr>
        <w:spacing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2A72D40">
                <wp:simplePos x="0" y="0"/>
                <wp:positionH relativeFrom="rightMargin">
                  <wp:posOffset>136883</wp:posOffset>
                </wp:positionH>
                <wp:positionV relativeFrom="paragraph">
                  <wp:posOffset>3254126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stycznia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E87B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52,3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B1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9" type="#_x0000_t202" style="position:absolute;margin-left:10.8pt;margin-top:256.2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" filled="f" stroked="f">
                <v:textbox>
                  <w:txbxContent>
                    <w:p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stycznia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E87B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52,3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:rsidR="0000629F" w:rsidRDefault="003627E7" w:rsidP="00CE3CA2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</w:t>
      </w:r>
      <w:r w:rsidR="00172831">
        <w:rPr>
          <w:shd w:val="clear" w:color="auto" w:fill="FFFFFF"/>
        </w:rPr>
        <w:t>styczniu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72831">
        <w:rPr>
          <w:shd w:val="clear" w:color="auto" w:fill="FFFFFF"/>
        </w:rPr>
        <w:t>stycznia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00629F">
        <w:rPr>
          <w:shd w:val="clear" w:color="auto" w:fill="FFFFFF"/>
        </w:rPr>
        <w:t>15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00629F">
        <w:rPr>
          <w:shd w:val="clear" w:color="auto" w:fill="FFFFFF"/>
        </w:rPr>
        <w:t>urządzeń elektrycznych – o 31,3%, w gospodarce odpadami; odzysk</w:t>
      </w:r>
      <w:r w:rsidR="00D44D32">
        <w:rPr>
          <w:shd w:val="clear" w:color="auto" w:fill="FFFFFF"/>
        </w:rPr>
        <w:t>u</w:t>
      </w:r>
      <w:r w:rsidR="0000629F">
        <w:rPr>
          <w:shd w:val="clear" w:color="auto" w:fill="FFFFFF"/>
        </w:rPr>
        <w:t xml:space="preserve"> surowców – o 12,5%, w produkcji </w:t>
      </w:r>
      <w:r w:rsidR="000D785C" w:rsidRPr="001932FE">
        <w:rPr>
          <w:shd w:val="clear" w:color="auto" w:fill="FFFFFF"/>
        </w:rPr>
        <w:t>komputerów, wyrobów elektronicznych</w:t>
      </w:r>
      <w:r w:rsidR="000D785C">
        <w:rPr>
          <w:shd w:val="clear" w:color="auto" w:fill="FFFFFF"/>
        </w:rPr>
        <w:t xml:space="preserve"> </w:t>
      </w:r>
      <w:r w:rsidR="000D785C" w:rsidRPr="001932FE">
        <w:rPr>
          <w:shd w:val="clear" w:color="auto" w:fill="FFFFFF"/>
        </w:rPr>
        <w:t>i</w:t>
      </w:r>
      <w:r w:rsidR="000D785C">
        <w:rPr>
          <w:shd w:val="clear" w:color="auto" w:fill="FFFFFF"/>
        </w:rPr>
        <w:t> </w:t>
      </w:r>
      <w:r w:rsidR="000D785C" w:rsidRPr="001932FE">
        <w:rPr>
          <w:shd w:val="clear" w:color="auto" w:fill="FFFFFF"/>
        </w:rPr>
        <w:t>optycznych</w:t>
      </w:r>
      <w:r w:rsidR="000D785C">
        <w:rPr>
          <w:shd w:val="clear" w:color="auto" w:fill="FFFFFF"/>
        </w:rPr>
        <w:t xml:space="preserve"> – o </w:t>
      </w:r>
      <w:r w:rsidR="0000629F">
        <w:rPr>
          <w:shd w:val="clear" w:color="auto" w:fill="FFFFFF"/>
        </w:rPr>
        <w:t>8,6</w:t>
      </w:r>
      <w:r w:rsidR="000D785C">
        <w:rPr>
          <w:shd w:val="clear" w:color="auto" w:fill="FFFFFF"/>
        </w:rPr>
        <w:t xml:space="preserve">%, </w:t>
      </w:r>
      <w:r w:rsidR="00CE4344">
        <w:rPr>
          <w:shd w:val="clear" w:color="auto" w:fill="FFFFFF"/>
        </w:rPr>
        <w:t>wyrobów z </w:t>
      </w:r>
      <w:r w:rsidR="000D785C" w:rsidRPr="003627E7">
        <w:rPr>
          <w:shd w:val="clear" w:color="auto" w:fill="FFFFFF"/>
        </w:rPr>
        <w:t>gumy i tworzyw sztucznych – o </w:t>
      </w:r>
      <w:r w:rsidR="0000629F">
        <w:rPr>
          <w:shd w:val="clear" w:color="auto" w:fill="FFFFFF"/>
        </w:rPr>
        <w:t>5,9</w:t>
      </w:r>
      <w:r w:rsidR="000D785C">
        <w:rPr>
          <w:shd w:val="clear" w:color="auto" w:fill="FFFFFF"/>
        </w:rPr>
        <w:t xml:space="preserve">%, </w:t>
      </w:r>
      <w:r w:rsidR="0000629F">
        <w:rPr>
          <w:shd w:val="clear" w:color="auto" w:fill="FFFFFF"/>
        </w:rPr>
        <w:t>w wydobywaniu</w:t>
      </w:r>
      <w:r w:rsidR="0000629F" w:rsidRPr="0000629F">
        <w:rPr>
          <w:shd w:val="clear" w:color="auto" w:fill="FFFFFF"/>
        </w:rPr>
        <w:t xml:space="preserve"> węgla kamiennego i węgla brunatnego (lignitu)</w:t>
      </w:r>
      <w:r w:rsidR="0000629F">
        <w:rPr>
          <w:shd w:val="clear" w:color="auto" w:fill="FFFFFF"/>
        </w:rPr>
        <w:t xml:space="preserve"> – o 4,9%, w produkcji metali – o 4,6%, chemikaliów i wyrobów chemicznych</w:t>
      </w:r>
      <w:r w:rsidR="0000629F" w:rsidRPr="003627E7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– o 4,3%.</w:t>
      </w:r>
    </w:p>
    <w:p w:rsidR="000344F6" w:rsidRPr="00CE4344" w:rsidRDefault="009278E9" w:rsidP="00CE434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00629F">
        <w:rPr>
          <w:shd w:val="clear" w:color="auto" w:fill="FFFFFF"/>
        </w:rPr>
        <w:t>e</w:t>
      </w:r>
      <w:r w:rsidR="004C7303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styczniem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 w</w:t>
      </w:r>
      <w:r w:rsidR="00DA7723">
        <w:rPr>
          <w:shd w:val="clear" w:color="auto" w:fill="FFFFFF"/>
        </w:rPr>
        <w:t> </w:t>
      </w:r>
      <w:r w:rsidR="0000629F">
        <w:rPr>
          <w:shd w:val="clear" w:color="auto" w:fill="FFFFFF"/>
        </w:rPr>
        <w:t>19</w:t>
      </w:r>
      <w:r w:rsidR="003627E7" w:rsidRPr="003627E7">
        <w:rPr>
          <w:shd w:val="clear" w:color="auto" w:fill="FFFFFF"/>
        </w:rPr>
        <w:t xml:space="preserve"> działach, m.in. </w:t>
      </w:r>
      <w:r w:rsidR="000D785C" w:rsidRPr="003627E7">
        <w:rPr>
          <w:shd w:val="clear" w:color="auto" w:fill="FFFFFF"/>
        </w:rPr>
        <w:t>w produkcji</w:t>
      </w:r>
      <w:r w:rsidR="000D785C" w:rsidRPr="00B31B63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 xml:space="preserve">koksu </w:t>
      </w:r>
      <w:r w:rsidR="0000629F" w:rsidRPr="00D71FEF">
        <w:rPr>
          <w:shd w:val="clear" w:color="auto" w:fill="FFFFFF"/>
        </w:rPr>
        <w:t>i</w:t>
      </w:r>
      <w:r w:rsidR="0000629F">
        <w:rPr>
          <w:shd w:val="clear" w:color="auto" w:fill="FFFFFF"/>
        </w:rPr>
        <w:t> </w:t>
      </w:r>
      <w:r w:rsidR="0000629F" w:rsidRPr="00D71FEF">
        <w:rPr>
          <w:shd w:val="clear" w:color="auto" w:fill="FFFFFF"/>
        </w:rPr>
        <w:t>produktów rafinacji ropy naftowej</w:t>
      </w:r>
      <w:r w:rsidR="0000629F">
        <w:rPr>
          <w:shd w:val="clear" w:color="auto" w:fill="FFFFFF"/>
        </w:rPr>
        <w:t xml:space="preserve"> – o 20,4%, napojów –</w:t>
      </w:r>
      <w:r w:rsidR="00CE4344">
        <w:rPr>
          <w:shd w:val="clear" w:color="auto" w:fill="FFFFFF"/>
        </w:rPr>
        <w:t xml:space="preserve"> o </w:t>
      </w:r>
      <w:r w:rsidR="0000629F">
        <w:rPr>
          <w:shd w:val="clear" w:color="auto" w:fill="FFFFFF"/>
        </w:rPr>
        <w:t xml:space="preserve">11,3%, wyrobów farmaceutycznych – o 6,1%, </w:t>
      </w:r>
      <w:r w:rsidR="000D785C">
        <w:rPr>
          <w:shd w:val="clear" w:color="auto" w:fill="FFFFFF"/>
        </w:rPr>
        <w:t xml:space="preserve">pozostałego sprzętu transportowego – o </w:t>
      </w:r>
      <w:r w:rsidR="0000629F">
        <w:rPr>
          <w:shd w:val="clear" w:color="auto" w:fill="FFFFFF"/>
        </w:rPr>
        <w:t>5,7</w:t>
      </w:r>
      <w:r w:rsidR="000D785C">
        <w:rPr>
          <w:shd w:val="clear" w:color="auto" w:fill="FFFFFF"/>
        </w:rPr>
        <w:t xml:space="preserve">%, </w:t>
      </w:r>
      <w:r w:rsidR="00CE4344" w:rsidRPr="003627E7">
        <w:rPr>
          <w:shd w:val="clear" w:color="auto" w:fill="FFFFFF"/>
        </w:rPr>
        <w:t xml:space="preserve">pojazdów samochodowych, przyczep i naczep – o </w:t>
      </w:r>
      <w:r w:rsidR="00CE4344">
        <w:rPr>
          <w:shd w:val="clear" w:color="auto" w:fill="FFFFFF"/>
        </w:rPr>
        <w:t xml:space="preserve">3,5%. </w:t>
      </w:r>
    </w:p>
    <w:p w:rsidR="007B0FEC" w:rsidRDefault="007B0FEC" w:rsidP="003627E7">
      <w:pPr>
        <w:suppressAutoHyphens/>
        <w:spacing w:before="0" w:after="0"/>
        <w:rPr>
          <w:shd w:val="clear" w:color="auto" w:fill="FFFFFF"/>
        </w:rPr>
      </w:pPr>
    </w:p>
    <w:p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7B2B99" w:rsidRDefault="00D80612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5008880" cy="4102735"/>
            <wp:effectExtent l="0" t="0" r="1270" b="0"/>
            <wp:wrapSquare wrapText="bothSides"/>
            <wp:docPr id="12" name="Wykres 1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:rsidR="00D80612" w:rsidRPr="00CE4344" w:rsidRDefault="00D80612" w:rsidP="00334B93">
      <w:pPr>
        <w:suppressAutoHyphens/>
        <w:spacing w:before="0" w:after="0"/>
        <w:rPr>
          <w:noProof/>
          <w:lang w:eastAsia="pl-PL"/>
        </w:rPr>
      </w:pPr>
    </w:p>
    <w:p w:rsidR="00B963B7" w:rsidRDefault="00BE0B67" w:rsidP="006C65C6">
      <w:pPr>
        <w:spacing w:before="0" w:after="0"/>
        <w:rPr>
          <w:shd w:val="clear" w:color="auto" w:fill="FFFFFF"/>
        </w:rPr>
      </w:pPr>
      <w:r>
        <w:t xml:space="preserve">W porównaniu z </w:t>
      </w:r>
      <w:r w:rsidR="00B963B7">
        <w:t>grudniem ub.</w:t>
      </w:r>
      <w:r w:rsidR="007B2B99">
        <w:t xml:space="preserve"> </w:t>
      </w:r>
      <w:r w:rsidR="00241CA5">
        <w:t>roku</w:t>
      </w:r>
      <w:r w:rsidR="00A6597F">
        <w:t xml:space="preserve">, </w:t>
      </w:r>
      <w:r w:rsidR="001A0AD1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</w:t>
      </w:r>
      <w:r w:rsidR="00B963B7">
        <w:rPr>
          <w:shd w:val="clear" w:color="auto" w:fill="FFFFFF"/>
        </w:rPr>
        <w:t>styczniu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B963B7">
        <w:rPr>
          <w:shd w:val="clear" w:color="auto" w:fill="FFFFFF"/>
        </w:rPr>
        <w:t>26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7B2B99">
        <w:rPr>
          <w:shd w:val="clear" w:color="auto" w:fill="FFFFFF"/>
        </w:rPr>
        <w:t xml:space="preserve">w produkcji </w:t>
      </w:r>
      <w:r w:rsidR="00B963B7">
        <w:rPr>
          <w:shd w:val="clear" w:color="auto" w:fill="FFFFFF"/>
        </w:rPr>
        <w:t xml:space="preserve">pozostałego sprzętu transportowego – o 44,8%, napojów – o 30,1%, </w:t>
      </w:r>
      <w:r w:rsidR="00B963B7" w:rsidRPr="003627E7">
        <w:rPr>
          <w:shd w:val="clear" w:color="auto" w:fill="FFFFFF"/>
        </w:rPr>
        <w:t xml:space="preserve">maszyn i urządzeń </w:t>
      </w:r>
      <w:r w:rsidR="00B963B7" w:rsidRPr="003627E7">
        <w:rPr>
          <w:noProof/>
          <w:spacing w:val="-2"/>
          <w:szCs w:val="19"/>
          <w:lang w:eastAsia="pl-PL"/>
        </w:rPr>
        <w:t>–</w:t>
      </w:r>
      <w:r w:rsidR="00B963B7" w:rsidRPr="003627E7">
        <w:rPr>
          <w:shd w:val="clear" w:color="auto" w:fill="FFFFFF"/>
        </w:rPr>
        <w:t xml:space="preserve"> o </w:t>
      </w:r>
      <w:r w:rsidR="00B963B7">
        <w:rPr>
          <w:shd w:val="clear" w:color="auto" w:fill="FFFFFF"/>
        </w:rPr>
        <w:t>29,5</w:t>
      </w:r>
      <w:r w:rsidR="00B963B7" w:rsidRPr="003627E7">
        <w:rPr>
          <w:shd w:val="clear" w:color="auto" w:fill="FFFFFF"/>
        </w:rPr>
        <w:t>%,</w:t>
      </w:r>
      <w:r w:rsidR="00B963B7" w:rsidRPr="00B963B7">
        <w:rPr>
          <w:shd w:val="clear" w:color="auto" w:fill="FFFFFF"/>
        </w:rPr>
        <w:t xml:space="preserve"> </w:t>
      </w:r>
      <w:r w:rsidR="00B963B7" w:rsidRPr="001932FE">
        <w:rPr>
          <w:shd w:val="clear" w:color="auto" w:fill="FFFFFF"/>
        </w:rPr>
        <w:t>komputerów, wyrobów elektronicznych</w:t>
      </w:r>
      <w:r w:rsidR="00B963B7">
        <w:rPr>
          <w:shd w:val="clear" w:color="auto" w:fill="FFFFFF"/>
        </w:rPr>
        <w:t xml:space="preserve"> </w:t>
      </w:r>
      <w:r w:rsidR="00B963B7" w:rsidRPr="001932FE">
        <w:rPr>
          <w:shd w:val="clear" w:color="auto" w:fill="FFFFFF"/>
        </w:rPr>
        <w:t>i</w:t>
      </w:r>
      <w:r w:rsidR="00B963B7">
        <w:rPr>
          <w:shd w:val="clear" w:color="auto" w:fill="FFFFFF"/>
        </w:rPr>
        <w:t> </w:t>
      </w:r>
      <w:r w:rsidR="00B963B7" w:rsidRPr="001932FE">
        <w:rPr>
          <w:shd w:val="clear" w:color="auto" w:fill="FFFFFF"/>
        </w:rPr>
        <w:t>optycznych</w:t>
      </w:r>
      <w:r w:rsidR="00B963B7">
        <w:rPr>
          <w:shd w:val="clear" w:color="auto" w:fill="FFFFFF"/>
        </w:rPr>
        <w:t xml:space="preserve"> – o 13,9%,</w:t>
      </w:r>
      <w:r w:rsidR="00B963B7" w:rsidRPr="00B963B7">
        <w:rPr>
          <w:shd w:val="clear" w:color="auto" w:fill="FFFFFF"/>
        </w:rPr>
        <w:t xml:space="preserve"> </w:t>
      </w:r>
      <w:r w:rsidR="00B963B7">
        <w:rPr>
          <w:shd w:val="clear" w:color="auto" w:fill="FFFFFF"/>
        </w:rPr>
        <w:t>wyrobów farmaceutycznych – o 12,7%,</w:t>
      </w:r>
      <w:r w:rsidR="00B963B7" w:rsidRPr="00B963B7">
        <w:rPr>
          <w:shd w:val="clear" w:color="auto" w:fill="FFFFFF"/>
        </w:rPr>
        <w:t xml:space="preserve"> </w:t>
      </w:r>
      <w:r w:rsidR="00B963B7">
        <w:rPr>
          <w:shd w:val="clear" w:color="auto" w:fill="FFFFFF"/>
        </w:rPr>
        <w:t>w wydobywaniu</w:t>
      </w:r>
      <w:r w:rsidR="00B963B7" w:rsidRPr="0000629F">
        <w:rPr>
          <w:shd w:val="clear" w:color="auto" w:fill="FFFFFF"/>
        </w:rPr>
        <w:t xml:space="preserve"> węgla kamiennego i węgla brunatnego (lignitu)</w:t>
      </w:r>
      <w:r w:rsidR="00B963B7">
        <w:rPr>
          <w:shd w:val="clear" w:color="auto" w:fill="FFFFFF"/>
        </w:rPr>
        <w:t xml:space="preserve"> – o 9,7%,</w:t>
      </w:r>
      <w:r w:rsidR="00B963B7" w:rsidRPr="00B963B7">
        <w:rPr>
          <w:shd w:val="clear" w:color="auto" w:fill="FFFFFF"/>
        </w:rPr>
        <w:t xml:space="preserve"> </w:t>
      </w:r>
      <w:r w:rsidR="00B963B7" w:rsidRPr="003627E7">
        <w:rPr>
          <w:shd w:val="clear" w:color="auto" w:fill="FFFFFF"/>
        </w:rPr>
        <w:t>w produkcji</w:t>
      </w:r>
      <w:r w:rsidR="00B963B7" w:rsidRPr="00B31B63">
        <w:rPr>
          <w:shd w:val="clear" w:color="auto" w:fill="FFFFFF"/>
        </w:rPr>
        <w:t xml:space="preserve"> </w:t>
      </w:r>
      <w:r w:rsidR="00B963B7">
        <w:rPr>
          <w:shd w:val="clear" w:color="auto" w:fill="FFFFFF"/>
        </w:rPr>
        <w:t xml:space="preserve">koksu </w:t>
      </w:r>
      <w:r w:rsidR="00B963B7" w:rsidRPr="00D71FEF">
        <w:rPr>
          <w:shd w:val="clear" w:color="auto" w:fill="FFFFFF"/>
        </w:rPr>
        <w:t>i</w:t>
      </w:r>
      <w:r w:rsidR="00B963B7">
        <w:rPr>
          <w:shd w:val="clear" w:color="auto" w:fill="FFFFFF"/>
        </w:rPr>
        <w:t> </w:t>
      </w:r>
      <w:r w:rsidR="00B963B7" w:rsidRPr="00D71FEF">
        <w:rPr>
          <w:shd w:val="clear" w:color="auto" w:fill="FFFFFF"/>
        </w:rPr>
        <w:t>produktów rafinacji ropy naftowej</w:t>
      </w:r>
      <w:r w:rsidR="00B963B7">
        <w:rPr>
          <w:shd w:val="clear" w:color="auto" w:fill="FFFFFF"/>
        </w:rPr>
        <w:t xml:space="preserve"> – o 8,1%,</w:t>
      </w:r>
      <w:r w:rsidR="00B963B7" w:rsidRPr="00B963B7">
        <w:rPr>
          <w:shd w:val="clear" w:color="auto" w:fill="FFFFFF"/>
        </w:rPr>
        <w:t xml:space="preserve"> </w:t>
      </w:r>
      <w:r w:rsidR="00B963B7">
        <w:rPr>
          <w:shd w:val="clear" w:color="auto" w:fill="FFFFFF"/>
        </w:rPr>
        <w:t>wyrobów z pozostałych mineralnych s</w:t>
      </w:r>
      <w:r w:rsidR="00C45A17">
        <w:rPr>
          <w:shd w:val="clear" w:color="auto" w:fill="FFFFFF"/>
        </w:rPr>
        <w:t>urowców niemetalicznych – o 7,3%.</w:t>
      </w:r>
    </w:p>
    <w:p w:rsidR="00CE4344" w:rsidRDefault="00B31B63" w:rsidP="00CE434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A6597F">
        <w:rPr>
          <w:shd w:val="clear" w:color="auto" w:fill="FFFFFF"/>
        </w:rPr>
        <w:t xml:space="preserve">emysłu, w porównaniu z </w:t>
      </w:r>
      <w:r w:rsidR="00B963B7">
        <w:rPr>
          <w:shd w:val="clear" w:color="auto" w:fill="FFFFFF"/>
        </w:rPr>
        <w:t>grudniem</w:t>
      </w:r>
      <w:r>
        <w:rPr>
          <w:shd w:val="clear" w:color="auto" w:fill="FFFFFF"/>
        </w:rPr>
        <w:t xml:space="preserve"> </w:t>
      </w:r>
      <w:r w:rsidR="00241CA5">
        <w:rPr>
          <w:shd w:val="clear" w:color="auto" w:fill="FFFFFF"/>
        </w:rPr>
        <w:t>ub. roku</w:t>
      </w:r>
      <w:r w:rsidR="00B963B7">
        <w:rPr>
          <w:shd w:val="clear" w:color="auto" w:fill="FFFFFF"/>
        </w:rPr>
        <w:t>, wystąpił w 8</w:t>
      </w:r>
      <w:r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działach, m.in.</w:t>
      </w:r>
      <w:r w:rsidR="00BE0B67" w:rsidRPr="00BE0B67">
        <w:rPr>
          <w:shd w:val="clear" w:color="auto" w:fill="FFFFFF"/>
        </w:rPr>
        <w:t xml:space="preserve"> </w:t>
      </w:r>
      <w:r w:rsidR="000D1206" w:rsidRPr="003627E7">
        <w:rPr>
          <w:shd w:val="clear" w:color="auto" w:fill="FFFFFF"/>
        </w:rPr>
        <w:t xml:space="preserve">w produkcji </w:t>
      </w:r>
      <w:r w:rsidR="00B963B7">
        <w:rPr>
          <w:shd w:val="clear" w:color="auto" w:fill="FFFFFF"/>
        </w:rPr>
        <w:t>metali – o 45,0%, chemikaliów i wyrobów chemicznych</w:t>
      </w:r>
      <w:r w:rsidR="00B963B7" w:rsidRPr="003627E7">
        <w:rPr>
          <w:shd w:val="clear" w:color="auto" w:fill="FFFFFF"/>
        </w:rPr>
        <w:t xml:space="preserve"> </w:t>
      </w:r>
      <w:r w:rsidR="00241CA5">
        <w:rPr>
          <w:shd w:val="clear" w:color="auto" w:fill="FFFFFF"/>
        </w:rPr>
        <w:t>– o </w:t>
      </w:r>
      <w:r w:rsidR="00B963B7">
        <w:rPr>
          <w:shd w:val="clear" w:color="auto" w:fill="FFFFFF"/>
        </w:rPr>
        <w:t>11,3%,</w:t>
      </w:r>
      <w:r w:rsidR="00B963B7" w:rsidRPr="000D1206">
        <w:rPr>
          <w:shd w:val="clear" w:color="auto" w:fill="FFFFFF"/>
        </w:rPr>
        <w:t xml:space="preserve"> </w:t>
      </w:r>
      <w:r w:rsidR="00B963B7" w:rsidRPr="001932FE">
        <w:rPr>
          <w:shd w:val="clear" w:color="auto" w:fill="FFFFFF"/>
        </w:rPr>
        <w:t>wyrobów z</w:t>
      </w:r>
      <w:r w:rsidR="00B963B7">
        <w:rPr>
          <w:shd w:val="clear" w:color="auto" w:fill="FFFFFF"/>
        </w:rPr>
        <w:t> </w:t>
      </w:r>
      <w:r w:rsidR="00B963B7" w:rsidRPr="001932FE">
        <w:rPr>
          <w:shd w:val="clear" w:color="auto" w:fill="FFFFFF"/>
        </w:rPr>
        <w:t>drewna, korka, słomy i wikliny</w:t>
      </w:r>
      <w:r w:rsidR="00B963B7">
        <w:rPr>
          <w:shd w:val="clear" w:color="auto" w:fill="FFFFFF"/>
        </w:rPr>
        <w:t xml:space="preserve"> – o 9,9%,</w:t>
      </w:r>
      <w:r w:rsidR="00B963B7" w:rsidRPr="00B963B7">
        <w:rPr>
          <w:shd w:val="clear" w:color="auto" w:fill="FFFFFF"/>
        </w:rPr>
        <w:t xml:space="preserve"> </w:t>
      </w:r>
      <w:r w:rsidR="00B963B7" w:rsidRPr="003627E7">
        <w:rPr>
          <w:shd w:val="clear" w:color="auto" w:fill="FFFFFF"/>
        </w:rPr>
        <w:t>wyrobów z gumy i tworzyw sztucznych – o </w:t>
      </w:r>
      <w:r w:rsidR="00B963B7">
        <w:rPr>
          <w:shd w:val="clear" w:color="auto" w:fill="FFFFFF"/>
        </w:rPr>
        <w:t>9,0%,</w:t>
      </w:r>
      <w:r w:rsidR="00B963B7" w:rsidRPr="00B963B7">
        <w:rPr>
          <w:shd w:val="clear" w:color="auto" w:fill="FFFFFF"/>
        </w:rPr>
        <w:t xml:space="preserve"> </w:t>
      </w:r>
      <w:r w:rsidR="00B963B7">
        <w:rPr>
          <w:shd w:val="clear" w:color="auto" w:fill="FFFFFF"/>
        </w:rPr>
        <w:t>papieru i wyrobów z papieru – o 8,4%.</w:t>
      </w:r>
      <w:r w:rsidR="00B963B7" w:rsidRPr="00B963B7">
        <w:rPr>
          <w:shd w:val="clear" w:color="auto" w:fill="FFFFFF"/>
        </w:rPr>
        <w:t xml:space="preserve"> </w:t>
      </w:r>
    </w:p>
    <w:p w:rsidR="00525DD4" w:rsidRDefault="00525DD4" w:rsidP="00525DD4">
      <w:pPr>
        <w:spacing w:before="0" w:after="0"/>
      </w:pPr>
    </w:p>
    <w:p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RDefault="008A577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231775</wp:posOffset>
            </wp:positionV>
            <wp:extent cx="5122545" cy="3282950"/>
            <wp:effectExtent l="0" t="0" r="190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:rsidR="001F6AC7" w:rsidRDefault="001F6AC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8E773F" w:rsidRDefault="008E773F" w:rsidP="00BA0518">
      <w:pPr>
        <w:spacing w:line="240" w:lineRule="auto"/>
        <w:rPr>
          <w:noProof/>
          <w:lang w:eastAsia="pl-PL"/>
        </w:rPr>
      </w:pPr>
    </w:p>
    <w:p w:rsidR="008E773F" w:rsidRDefault="008E773F" w:rsidP="00BA0518">
      <w:pPr>
        <w:spacing w:line="240" w:lineRule="auto"/>
        <w:rPr>
          <w:noProof/>
          <w:lang w:eastAsia="pl-PL"/>
        </w:rPr>
      </w:pPr>
    </w:p>
    <w:p w:rsidR="00394389" w:rsidRDefault="00394389" w:rsidP="00BA0518">
      <w:pPr>
        <w:spacing w:line="240" w:lineRule="auto"/>
        <w:rPr>
          <w:noProof/>
          <w:lang w:eastAsia="pl-PL"/>
        </w:rPr>
      </w:pPr>
    </w:p>
    <w:p w:rsidR="008E773F" w:rsidRDefault="008E773F" w:rsidP="00BA0518">
      <w:pPr>
        <w:spacing w:line="240" w:lineRule="auto"/>
        <w:rPr>
          <w:noProof/>
          <w:lang w:eastAsia="pl-PL"/>
        </w:rPr>
      </w:pPr>
    </w:p>
    <w:p w:rsidR="008E773F" w:rsidRDefault="008E773F" w:rsidP="00BA0518">
      <w:pPr>
        <w:spacing w:line="240" w:lineRule="auto"/>
        <w:rPr>
          <w:noProof/>
          <w:lang w:eastAsia="pl-PL"/>
        </w:rPr>
      </w:pPr>
    </w:p>
    <w:p w:rsidR="008E773F" w:rsidRDefault="008E773F" w:rsidP="00BA0518">
      <w:pPr>
        <w:spacing w:line="240" w:lineRule="auto"/>
        <w:rPr>
          <w:noProof/>
          <w:lang w:eastAsia="pl-PL"/>
        </w:rPr>
      </w:pPr>
    </w:p>
    <w:p w:rsidR="008E773F" w:rsidRDefault="008E773F" w:rsidP="00BA0518">
      <w:pPr>
        <w:spacing w:line="240" w:lineRule="auto"/>
        <w:rPr>
          <w:noProof/>
          <w:lang w:eastAsia="pl-PL"/>
        </w:rPr>
      </w:pPr>
    </w:p>
    <w:p w:rsidR="00E00A60" w:rsidRDefault="00E00A60" w:rsidP="00BA0518">
      <w:pPr>
        <w:spacing w:line="240" w:lineRule="auto"/>
        <w:rPr>
          <w:szCs w:val="19"/>
        </w:rPr>
      </w:pPr>
    </w:p>
    <w:p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8E773F">
        <w:t>.</w:t>
      </w:r>
    </w:p>
    <w:p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:rsidTr="00F84574">
        <w:trPr>
          <w:trHeight w:val="1344"/>
        </w:trPr>
        <w:tc>
          <w:tcPr>
            <w:tcW w:w="4218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19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90980A8" wp14:editId="7C99B5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3627E7" w:rsidRPr="003627E7" w:rsidRDefault="002972DA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FC29B18" wp14:editId="57C4C1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2425C9F" wp14:editId="36E819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8E773F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"https://stat.gov.pl/obszary-tematyczne/inne-opracowania/informacje-o-sytuacji-spoleczno-gospodarczej/biuletyn-statystyczny-nr-122020,4,107.html"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8E773F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"https://stat.gov.pl/obszary-tematyczne/inne-opracowania/informacje-o-sytuacji-spoleczno-gospodarczej/sytuacja-spoleczno-gospodarcza-kraju-w-2020-r-,1,104.html"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3627E7" w:rsidRPr="00364866" w:rsidRDefault="002972DA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2972DA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3627E7" w:rsidRPr="00364866" w:rsidRDefault="002972DA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3627E7" w:rsidRDefault="003627E7" w:rsidP="003627E7">
                      <w:pPr>
                        <w:rPr>
                          <w:b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8E773F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"https://stat.gov.pl/obszary-tematyczne/inne-opracowania/informacje-o-sytuacji-spoleczno-gospodarczej/biuletyn-statystyczny-nr-122020,4,107.html"</w:instrText>
                      </w:r>
                      <w:r w:rsidR="008E773F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8E773F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"https://stat.gov.pl/obszary-tematyczne/inne-opracowania/informacje-o-sytuacji-spoleczno-gospodarczej/sytuacja-spoleczno-gospodarcza-kraju-w-2020-r-,1,104.html"</w:instrText>
                      </w:r>
                      <w:r w:rsidR="008E773F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3627E7" w:rsidRPr="00364866" w:rsidRDefault="007F0F28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7F0F28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3627E7" w:rsidRPr="00364866" w:rsidRDefault="007F0F28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DA" w:rsidRDefault="002972DA" w:rsidP="000662E2">
      <w:pPr>
        <w:spacing w:after="0" w:line="240" w:lineRule="auto"/>
      </w:pPr>
      <w:r>
        <w:separator/>
      </w:r>
    </w:p>
  </w:endnote>
  <w:endnote w:type="continuationSeparator" w:id="0">
    <w:p w:rsidR="002972DA" w:rsidRDefault="002972D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Fira Sans Eight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Book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7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DA" w:rsidRDefault="002972DA" w:rsidP="000662E2">
      <w:pPr>
        <w:spacing w:after="0" w:line="240" w:lineRule="auto"/>
      </w:pPr>
      <w:r>
        <w:separator/>
      </w:r>
    </w:p>
  </w:footnote>
  <w:footnote w:type="continuationSeparator" w:id="0">
    <w:p w:rsidR="002972DA" w:rsidRDefault="002972D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42517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42517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85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29F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241C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2005"/>
    <w:rsid w:val="001F23B3"/>
    <w:rsid w:val="001F31BD"/>
    <w:rsid w:val="001F3686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7C71"/>
    <w:rsid w:val="00250FEE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20924"/>
    <w:rsid w:val="00322EDD"/>
    <w:rsid w:val="003231A1"/>
    <w:rsid w:val="00324C9B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0337"/>
    <w:rsid w:val="003F13A9"/>
    <w:rsid w:val="003F1512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4901"/>
    <w:rsid w:val="00484E17"/>
    <w:rsid w:val="00486128"/>
    <w:rsid w:val="004862B6"/>
    <w:rsid w:val="00486543"/>
    <w:rsid w:val="0048727B"/>
    <w:rsid w:val="004937A5"/>
    <w:rsid w:val="00493B1C"/>
    <w:rsid w:val="00494385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82F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6E90"/>
    <w:rsid w:val="00567A72"/>
    <w:rsid w:val="00567F82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3FF7"/>
    <w:rsid w:val="006562A7"/>
    <w:rsid w:val="00661419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12AA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60F9"/>
    <w:rsid w:val="00746187"/>
    <w:rsid w:val="00747F2B"/>
    <w:rsid w:val="00750A83"/>
    <w:rsid w:val="00753265"/>
    <w:rsid w:val="00753DA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575"/>
    <w:rsid w:val="00771D52"/>
    <w:rsid w:val="00773B02"/>
    <w:rsid w:val="00773B09"/>
    <w:rsid w:val="00773CF3"/>
    <w:rsid w:val="00774F4E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713F"/>
    <w:rsid w:val="007E76BE"/>
    <w:rsid w:val="007E7CE3"/>
    <w:rsid w:val="007F0F28"/>
    <w:rsid w:val="007F1316"/>
    <w:rsid w:val="007F2685"/>
    <w:rsid w:val="007F324B"/>
    <w:rsid w:val="007F3EEC"/>
    <w:rsid w:val="007F4497"/>
    <w:rsid w:val="007F4DFE"/>
    <w:rsid w:val="007F6B07"/>
    <w:rsid w:val="007F7483"/>
    <w:rsid w:val="007F771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B0F20"/>
    <w:rsid w:val="008B1B16"/>
    <w:rsid w:val="008B27B5"/>
    <w:rsid w:val="008B2D5B"/>
    <w:rsid w:val="008B3CA0"/>
    <w:rsid w:val="008B4F21"/>
    <w:rsid w:val="008B5601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6F47"/>
    <w:rsid w:val="008E773F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189"/>
    <w:rsid w:val="00A00674"/>
    <w:rsid w:val="00A016DC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8065E"/>
    <w:rsid w:val="00A80820"/>
    <w:rsid w:val="00A80EF8"/>
    <w:rsid w:val="00A810F9"/>
    <w:rsid w:val="00A82472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87A"/>
    <w:rsid w:val="00AA10B9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178"/>
    <w:rsid w:val="00AD7503"/>
    <w:rsid w:val="00AE19DE"/>
    <w:rsid w:val="00AE29E7"/>
    <w:rsid w:val="00AE2D4B"/>
    <w:rsid w:val="00AE3FB3"/>
    <w:rsid w:val="00AE4F99"/>
    <w:rsid w:val="00AE53E5"/>
    <w:rsid w:val="00AE62E1"/>
    <w:rsid w:val="00AE6D6D"/>
    <w:rsid w:val="00AF19C9"/>
    <w:rsid w:val="00AF6719"/>
    <w:rsid w:val="00AF7709"/>
    <w:rsid w:val="00B049BC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BA7"/>
    <w:rsid w:val="00B21C01"/>
    <w:rsid w:val="00B23F4F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2455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34D3"/>
    <w:rsid w:val="00BE458D"/>
    <w:rsid w:val="00BF01CB"/>
    <w:rsid w:val="00BF3A4D"/>
    <w:rsid w:val="00BF3D5D"/>
    <w:rsid w:val="00BF5111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434F"/>
    <w:rsid w:val="00C561ED"/>
    <w:rsid w:val="00C61781"/>
    <w:rsid w:val="00C61988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40A5"/>
    <w:rsid w:val="00CC5FFD"/>
    <w:rsid w:val="00CC70D5"/>
    <w:rsid w:val="00CC739E"/>
    <w:rsid w:val="00CD03DC"/>
    <w:rsid w:val="00CD07B6"/>
    <w:rsid w:val="00CD0BFC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0DFD"/>
    <w:rsid w:val="00D0453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504E4"/>
    <w:rsid w:val="00D50A55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3FA"/>
    <w:rsid w:val="00D766FB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60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D26"/>
    <w:rsid w:val="00E774A7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175C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48F4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019D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047"/>
    <w:rsid w:val="00F91606"/>
    <w:rsid w:val="00F9379A"/>
    <w:rsid w:val="00F95943"/>
    <w:rsid w:val="00F9616E"/>
    <w:rsid w:val="00F968FA"/>
    <w:rsid w:val="00F97A74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18FB"/>
    <w:rsid w:val="00FC2AED"/>
    <w:rsid w:val="00FC4EB3"/>
    <w:rsid w:val="00FC625D"/>
    <w:rsid w:val="00FC6658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'2021'!$A$6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'2021'!$A$7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'2021'!$A$8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'2021'!$A$9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9"/>
            <c:spPr>
              <a:solidFill>
                <a:srgbClr val="001D77"/>
              </a:solidFill>
              <a:ln w="9525">
                <a:noFill/>
              </a:ln>
              <a:effectLst/>
            </c:spPr>
          </c:marker>
          <c:dPt>
            <c:idx val="0"/>
            <c:marker>
              <c:symbol val="circle"/>
              <c:size val="9"/>
              <c:spPr>
                <a:solidFill>
                  <a:srgbClr val="001D77"/>
                </a:solidFill>
                <a:ln w="9525">
                  <a:noFill/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'2021'!$B$9:$M$9</c:f>
              <c:numCache>
                <c:formatCode>General</c:formatCode>
                <c:ptCount val="12"/>
                <c:pt idx="0" formatCode="0.0">
                  <c:v>120.2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08628832"/>
        <c:axId val="-708628288"/>
      </c:lineChart>
      <c:catAx>
        <c:axId val="-70862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8628288"/>
        <c:crossesAt val="100"/>
        <c:auto val="1"/>
        <c:lblAlgn val="ctr"/>
        <c:lblOffset val="100"/>
        <c:noMultiLvlLbl val="0"/>
      </c:catAx>
      <c:valAx>
        <c:axId val="-708628288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862883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 2021'!$B$1</c:f>
              <c:strCache>
                <c:ptCount val="1"/>
                <c:pt idx="0">
                  <c:v>I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 2021'!$A$2:$A$13</c:f>
              <c:strCache>
                <c:ptCount val="12"/>
                <c:pt idx="0">
                  <c:v>Produkcja urządzeń elektrycznych</c:v>
                </c:pt>
                <c:pt idx="1">
                  <c:v>Gospodarka odpadami; odzysk surowców</c:v>
                </c:pt>
                <c:pt idx="2">
                  <c:v>Produkcja komputerów, wyrobów elektronicznych 
i optycznych</c:v>
                </c:pt>
                <c:pt idx="3">
                  <c:v>Naprawa, konserwacja 
i instalowanie maszyn i urządzeń </c:v>
                </c:pt>
                <c:pt idx="4">
                  <c:v>Produkcja wyrobów z gumy i tworzyw sztucznych</c:v>
                </c:pt>
                <c:pt idx="5">
                  <c:v>Wydobywanie węgla kamiennego i węgla brunatnego (lignitu) </c:v>
                </c:pt>
                <c:pt idx="6">
                  <c:v>Produkcja pozostałego sprzętu transportowego</c:v>
                </c:pt>
                <c:pt idx="7">
                  <c:v>Produkcja wyrobów farmaceutycznych</c:v>
                </c:pt>
                <c:pt idx="8">
                  <c:v>Produkcja odzieży</c:v>
                </c:pt>
                <c:pt idx="9">
                  <c:v>Produkcja napojów</c:v>
                </c:pt>
                <c:pt idx="10">
                  <c:v>Produkcja koksu i produktów rafinacji ropy naftowej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'I 2021'!$B$2:$B$13</c:f>
              <c:numCache>
                <c:formatCode>0.0_ ;[Red]\-0.0\ </c:formatCode>
                <c:ptCount val="12"/>
                <c:pt idx="0">
                  <c:v>105.5</c:v>
                </c:pt>
                <c:pt idx="1">
                  <c:v>104.8</c:v>
                </c:pt>
                <c:pt idx="2">
                  <c:v>108.3</c:v>
                </c:pt>
                <c:pt idx="3">
                  <c:v>110.8</c:v>
                </c:pt>
                <c:pt idx="4">
                  <c:v>102.3</c:v>
                </c:pt>
                <c:pt idx="5">
                  <c:v>72.7</c:v>
                </c:pt>
                <c:pt idx="6">
                  <c:v>109.3</c:v>
                </c:pt>
                <c:pt idx="7">
                  <c:v>91.3</c:v>
                </c:pt>
                <c:pt idx="8">
                  <c:v>93.2</c:v>
                </c:pt>
                <c:pt idx="9">
                  <c:v>105.4</c:v>
                </c:pt>
                <c:pt idx="10">
                  <c:v>103.7</c:v>
                </c:pt>
                <c:pt idx="11">
                  <c:v>112.1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 2021'!$C$1</c:f>
              <c:strCache>
                <c:ptCount val="1"/>
                <c:pt idx="0">
                  <c:v>I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 2021'!$A$2:$A$13</c:f>
              <c:strCache>
                <c:ptCount val="12"/>
                <c:pt idx="0">
                  <c:v>Produkcja urządzeń elektrycznych</c:v>
                </c:pt>
                <c:pt idx="1">
                  <c:v>Gospodarka odpadami; odzysk surowców</c:v>
                </c:pt>
                <c:pt idx="2">
                  <c:v>Produkcja komputerów, wyrobów elektronicznych 
i optycznych</c:v>
                </c:pt>
                <c:pt idx="3">
                  <c:v>Naprawa, konserwacja 
i instalowanie maszyn i urządzeń </c:v>
                </c:pt>
                <c:pt idx="4">
                  <c:v>Produkcja wyrobów z gumy i tworzyw sztucznych</c:v>
                </c:pt>
                <c:pt idx="5">
                  <c:v>Wydobywanie węgla kamiennego i węgla brunatnego (lignitu) </c:v>
                </c:pt>
                <c:pt idx="6">
                  <c:v>Produkcja pozostałego sprzętu transportowego</c:v>
                </c:pt>
                <c:pt idx="7">
                  <c:v>Produkcja wyrobów farmaceutycznych</c:v>
                </c:pt>
                <c:pt idx="8">
                  <c:v>Produkcja odzieży</c:v>
                </c:pt>
                <c:pt idx="9">
                  <c:v>Produkcja napojów</c:v>
                </c:pt>
                <c:pt idx="10">
                  <c:v>Produkcja koksu i produktów rafinacji ropy naftowej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'I 2021'!$C$2:$C$13</c:f>
              <c:numCache>
                <c:formatCode>0.0_ ;[Red]\-0.0\ </c:formatCode>
                <c:ptCount val="12"/>
                <c:pt idx="0">
                  <c:v>131.30000000000001</c:v>
                </c:pt>
                <c:pt idx="1">
                  <c:v>112.5</c:v>
                </c:pt>
                <c:pt idx="2">
                  <c:v>108.6</c:v>
                </c:pt>
                <c:pt idx="3">
                  <c:v>106.8</c:v>
                </c:pt>
                <c:pt idx="4">
                  <c:v>105.9</c:v>
                </c:pt>
                <c:pt idx="5">
                  <c:v>104.9</c:v>
                </c:pt>
                <c:pt idx="6">
                  <c:v>94.3</c:v>
                </c:pt>
                <c:pt idx="7">
                  <c:v>93.9</c:v>
                </c:pt>
                <c:pt idx="8">
                  <c:v>93.7</c:v>
                </c:pt>
                <c:pt idx="9">
                  <c:v>88.7</c:v>
                </c:pt>
                <c:pt idx="10">
                  <c:v>79.599999999999994</c:v>
                </c:pt>
                <c:pt idx="11">
                  <c:v>72.400000000000006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53378880"/>
        <c:axId val="-853377248"/>
      </c:barChart>
      <c:catAx>
        <c:axId val="-8533788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853377248"/>
        <c:crossesAt val="100"/>
        <c:auto val="1"/>
        <c:lblAlgn val="ctr"/>
        <c:lblOffset val="20"/>
        <c:noMultiLvlLbl val="0"/>
      </c:catAx>
      <c:valAx>
        <c:axId val="-853377248"/>
        <c:scaling>
          <c:orientation val="minMax"/>
          <c:max val="14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853378880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519826560201937E-2"/>
          <c:y val="4.9640652922536825E-2"/>
          <c:w val="0.94017052055920225"/>
          <c:h val="0.54903263555262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styczeń'!$C$1:$C$2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styczeń'!$C$3:$C$11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tx>
            <c:strRef>
              <c:f>'wykres słupkowy - styczeń'!$D$1:$D$2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3394D3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styczeń'!$A$3:$B$21</c:f>
            </c:multiLvlStrRef>
          </c:cat>
          <c:val>
            <c:numRef>
              <c:f>'wykres słupkowy - styczeń'!$D$3:$D$21</c:f>
              <c:numCache>
                <c:formatCode>0.0_ ;[Red]\-0.0\ </c:formatCode>
                <c:ptCount val="19"/>
                <c:pt idx="1">
                  <c:v>55.7</c:v>
                </c:pt>
                <c:pt idx="2">
                  <c:v>42.5</c:v>
                </c:pt>
                <c:pt idx="4">
                  <c:v>72.099999999999994</c:v>
                </c:pt>
                <c:pt idx="5">
                  <c:v>70.5</c:v>
                </c:pt>
                <c:pt idx="7">
                  <c:v>110.7</c:v>
                </c:pt>
                <c:pt idx="8">
                  <c:v>86.1</c:v>
                </c:pt>
                <c:pt idx="10">
                  <c:v>87.4</c:v>
                </c:pt>
                <c:pt idx="11">
                  <c:v>90.3</c:v>
                </c:pt>
                <c:pt idx="13">
                  <c:v>109.7</c:v>
                </c:pt>
                <c:pt idx="14">
                  <c:v>91.9</c:v>
                </c:pt>
                <c:pt idx="16">
                  <c:v>107.3</c:v>
                </c:pt>
                <c:pt idx="17">
                  <c:v>92.7</c:v>
                </c:pt>
              </c:numCache>
            </c:numRef>
          </c:val>
        </c:ser>
        <c:ser>
          <c:idx val="2"/>
          <c:order val="2"/>
          <c:tx>
            <c:strRef>
              <c:f>'wykres słupkowy - styczeń'!$E$1:$E$2</c:f>
              <c:strCache>
                <c:ptCount val="2"/>
                <c:pt idx="1">
                  <c:v>I 2020</c:v>
                </c:pt>
              </c:strCache>
            </c:strRef>
          </c:tx>
          <c:spPr>
            <a:solidFill>
              <a:srgbClr val="3394D3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styczeń'!$E$3:$E$11</c:f>
              <c:numCache>
                <c:formatCode>General</c:formatCode>
                <c:ptCount val="9"/>
              </c:numCache>
            </c:numRef>
          </c:val>
        </c:ser>
        <c:ser>
          <c:idx val="3"/>
          <c:order val="3"/>
          <c:tx>
            <c:strRef>
              <c:f>'wykres słupkowy - styczeń'!$F$1:$F$2</c:f>
              <c:strCache>
                <c:ptCount val="2"/>
                <c:pt idx="1">
                  <c:v>I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styczeń'!$F$3:$F$11</c:f>
              <c:numCache>
                <c:formatCode>General</c:formatCode>
                <c:ptCount val="9"/>
              </c:numCache>
            </c:numRef>
          </c:val>
        </c:ser>
        <c:ser>
          <c:idx val="4"/>
          <c:order val="4"/>
          <c:tx>
            <c:strRef>
              <c:f>'wykres słupkowy - styczeń'!$G$1:$G$2</c:f>
              <c:strCache>
                <c:ptCount val="2"/>
                <c:pt idx="1">
                  <c:v>I 2021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styczeń'!$G$3:$G$11</c:f>
              <c:numCache>
                <c:formatCode>General</c:formatCode>
                <c:ptCount val="9"/>
              </c:numCache>
            </c:numRef>
          </c:val>
        </c:ser>
        <c:ser>
          <c:idx val="5"/>
          <c:order val="5"/>
          <c:tx>
            <c:strRef>
              <c:f>'wykres słupkowy - styczeń'!$H$1:$H$2</c:f>
              <c:strCache>
                <c:ptCount val="2"/>
                <c:pt idx="1">
                  <c:v>I 2021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styczeń'!$H$3:$H$11</c:f>
              <c:numCache>
                <c:formatCode>General</c:formatCode>
                <c:ptCount val="9"/>
              </c:numCache>
            </c:numRef>
          </c:val>
        </c:ser>
        <c:ser>
          <c:idx val="6"/>
          <c:order val="6"/>
          <c:tx>
            <c:strRef>
              <c:f>'wykres słupkowy - styczeń'!$I$1:$I$2</c:f>
              <c:strCache>
                <c:ptCount val="2"/>
                <c:pt idx="1">
                  <c:v>I 2021</c:v>
                </c:pt>
              </c:strCache>
            </c:strRef>
          </c:tx>
          <c:spPr>
            <a:solidFill>
              <a:srgbClr val="338187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styczeń'!$I$3:$I$11</c:f>
              <c:numCache>
                <c:formatCode>General</c:formatCode>
                <c:ptCount val="9"/>
              </c:numCache>
            </c:numRef>
          </c:val>
        </c:ser>
        <c:ser>
          <c:idx val="7"/>
          <c:order val="7"/>
          <c:tx>
            <c:strRef>
              <c:f>'wykres słupkowy - styczeń'!$J$1:$J$2</c:f>
              <c:strCache>
                <c:ptCount val="2"/>
                <c:pt idx="1">
                  <c:v>I 2021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styczeń'!$J$3:$J$11</c:f>
              <c:numCache>
                <c:formatCode>General</c:formatCode>
                <c:ptCount val="9"/>
              </c:numCache>
            </c:numRef>
          </c:val>
        </c:ser>
        <c:ser>
          <c:idx val="8"/>
          <c:order val="8"/>
          <c:tx>
            <c:strRef>
              <c:f>'wykres słupkowy - styczeń'!$K$1:$K$2</c:f>
              <c:strCache>
                <c:ptCount val="2"/>
                <c:pt idx="1">
                  <c:v>I 2021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styczeń'!$K$3:$K$11</c:f>
              <c:numCache>
                <c:formatCode>General</c:formatCode>
                <c:ptCount val="9"/>
              </c:numCache>
            </c:numRef>
          </c:val>
        </c:ser>
        <c:ser>
          <c:idx val="9"/>
          <c:order val="9"/>
          <c:tx>
            <c:strRef>
              <c:f>'wykres słupkowy - styczeń'!$L$1:$L$2</c:f>
              <c:strCache>
                <c:ptCount val="2"/>
                <c:pt idx="1">
                  <c:v>I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styczeń'!$A$3:$B$21</c:f>
            </c:multiLvlStrRef>
          </c:cat>
          <c:val>
            <c:numRef>
              <c:f>'wykres słupkowy - styczeń'!$L$3:$L$11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-703509904"/>
        <c:axId val="-703506096"/>
      </c:barChart>
      <c:catAx>
        <c:axId val="-70350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3506096"/>
        <c:crossesAt val="100"/>
        <c:auto val="1"/>
        <c:lblAlgn val="ctr"/>
        <c:lblOffset val="100"/>
        <c:noMultiLvlLbl val="0"/>
      </c:catAx>
      <c:valAx>
        <c:axId val="-703506096"/>
        <c:scaling>
          <c:orientation val="minMax"/>
          <c:max val="120"/>
          <c:min val="4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35099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2771486853700626"/>
          <c:y val="0.9087990983718911"/>
          <c:w val="0.44677175800680563"/>
          <c:h val="7.23282413682815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0.18941</cdr:x>
      <cdr:y>0.72805</cdr:y>
    </cdr:from>
    <cdr:to>
      <cdr:x>0.2192</cdr:x>
      <cdr:y>0.79212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174460" y="2447925"/>
          <a:ext cx="184731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none" rtlCol="0" anchor="t">
          <a:spAutoFit/>
        </a:bodyPr>
        <a:lstStyle xmlns:a="http://schemas.openxmlformats.org/drawingml/2006/main"/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0.05496</cdr:x>
      <cdr:y>0.59986</cdr:y>
    </cdr:from>
    <cdr:to>
      <cdr:x>0.21886</cdr:x>
      <cdr:y>0.83529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81535" y="1969310"/>
          <a:ext cx="839599" cy="7729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Naprawa, konserwacja        i instalowanie maszyn                 i urządzeń </a:t>
          </a:r>
        </a:p>
      </cdr:txBody>
    </cdr:sp>
  </cdr:relSizeAnchor>
  <cdr:relSizeAnchor xmlns:cdr="http://schemas.openxmlformats.org/drawingml/2006/chartDrawing">
    <cdr:from>
      <cdr:x>0.20503</cdr:x>
      <cdr:y>0.60117</cdr:y>
    </cdr:from>
    <cdr:to>
      <cdr:x>0.38961</cdr:x>
      <cdr:y>0.81939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050251" y="1973611"/>
          <a:ext cx="945525" cy="7164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komputerów, wyrobów elektronicznych i optycznych</a:t>
          </a:r>
        </a:p>
      </cdr:txBody>
    </cdr:sp>
  </cdr:relSizeAnchor>
  <cdr:relSizeAnchor xmlns:cdr="http://schemas.openxmlformats.org/drawingml/2006/chartDrawing">
    <cdr:from>
      <cdr:x>0.35358</cdr:x>
      <cdr:y>0.60258</cdr:y>
    </cdr:from>
    <cdr:to>
      <cdr:x>0.54243</cdr:x>
      <cdr:y>0.87941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1811212" y="1978240"/>
          <a:ext cx="967393" cy="90881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Wydobywanie węgla kamiennego          i węgla brunatnego (lignitu) </a:t>
          </a:r>
        </a:p>
      </cdr:txBody>
    </cdr:sp>
  </cdr:relSizeAnchor>
  <cdr:relSizeAnchor xmlns:cdr="http://schemas.openxmlformats.org/drawingml/2006/chartDrawing">
    <cdr:from>
      <cdr:x>0.53319</cdr:x>
      <cdr:y>0.60486</cdr:y>
    </cdr:from>
    <cdr:to>
      <cdr:x>0.66988</cdr:x>
      <cdr:y>0.76176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2731284" y="1985725"/>
          <a:ext cx="700200" cy="51509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maszyn                i urządzeń </a:t>
          </a:r>
        </a:p>
      </cdr:txBody>
    </cdr:sp>
  </cdr:relSizeAnchor>
  <cdr:relSizeAnchor xmlns:cdr="http://schemas.openxmlformats.org/drawingml/2006/chartDrawing">
    <cdr:from>
      <cdr:x>0.66628</cdr:x>
      <cdr:y>0.6</cdr:y>
    </cdr:from>
    <cdr:to>
      <cdr:x>0.82276</cdr:x>
      <cdr:y>0.8417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3413043" y="1969764"/>
          <a:ext cx="801576" cy="79348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koksu              i produktów rafinacji ropy naftowej</a:t>
          </a:r>
        </a:p>
      </cdr:txBody>
    </cdr:sp>
  </cdr:relSizeAnchor>
  <cdr:relSizeAnchor xmlns:cdr="http://schemas.openxmlformats.org/drawingml/2006/chartDrawing">
    <cdr:from>
      <cdr:x>0.81475</cdr:x>
      <cdr:y>0.59807</cdr:y>
    </cdr:from>
    <cdr:to>
      <cdr:x>0.99652</cdr:x>
      <cdr:y>0.89118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4173594" y="1963434"/>
          <a:ext cx="931144" cy="9622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wyrobów                z pozostałych mineralnych surowców niemetalicznych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BB401-DADD-4EC4-9381-F6DBE07A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2021-02-09T08:38:00Z</dcterms:created>
  <dcterms:modified xsi:type="dcterms:W3CDTF">2021-02-16T10:00:00Z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