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xdr="http://schemas.openxmlformats.org/drawingml/2006/spreadsheetDrawing" xmlns:a16="http://schemas.microsoft.com/office/drawing/2014/main" xmlns:lc="http://schemas.openxmlformats.org/drawingml/2006/lockedCanvas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name="_GoBack" w:id="0"/>
      <w:bookmarkEnd w:id="0"/>
    </w:p>
    <w:p w:rsidRPr="003627E7" w:rsidR="003627E7" w:rsidP="003627E7" w:rsidRDefault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Pr="003627E7" w:rsidR="003627E7" w:rsidP="003627E7" w:rsidRDefault="0042517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B9798A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Pr="003627E7" w:rsid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:rsidRPr="003627E7" w:rsidR="003627E7" w:rsidP="003627E7" w:rsidRDefault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Pr="003627E7" w:rsidR="00DF7110" w:rsidP="00DF7110" w:rsidRDefault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editId="3D30F504" wp14:anchorId="29CF76F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2E20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2,7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Pr="009546F0" w:rsidR="003627E7" w:rsidP="003627E7" w:rsidRDefault="00CE5C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 w:rsidR="003627E7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Pr="00364866" w:rsidR="003627E7">
                              <w:rPr>
                                <w:sz w:val="20"/>
                              </w:rPr>
                              <w:t>z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lutym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2020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Pr="00364866" w:rsidR="003627E7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CF76FF">
                <v:stroke joinstyle="miter"/>
                <v:path gradientshapeok="t" o:connecttype="rect"/>
              </v:shapetype>
              <v:shape id="Pole tekstowe 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2E20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2,7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9546F0" w:rsidR="003627E7" w:rsidP="003627E7" w:rsidRDefault="00CE5CA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 w:rsidR="003627E7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Pr="00364866" w:rsidR="003627E7">
                        <w:rPr>
                          <w:sz w:val="20"/>
                        </w:rPr>
                        <w:t>z</w:t>
                      </w:r>
                      <w:r w:rsidR="002E206E">
                        <w:rPr>
                          <w:sz w:val="20"/>
                        </w:rPr>
                        <w:t xml:space="preserve"> lutym</w:t>
                      </w:r>
                      <w:r w:rsidR="0042149F">
                        <w:rPr>
                          <w:sz w:val="20"/>
                        </w:rPr>
                        <w:t xml:space="preserve"> 2020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Pr="00364866" w:rsidR="003627E7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editId="54125B85" wp14:anchorId="1824BA78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3627E7" w:rsidP="003627E7" w:rsidRDefault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Pr="003F3148" w:rsidR="003627E7" w:rsidP="003627E7" w:rsidRDefault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w14:anchorId="1824BA78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2E206E">
        <w:rPr>
          <w:b/>
          <w:noProof/>
          <w:szCs w:val="19"/>
          <w:lang w:eastAsia="pl-PL"/>
        </w:rPr>
        <w:t>lutym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2E206E">
        <w:rPr>
          <w:b/>
          <w:noProof/>
          <w:szCs w:val="19"/>
          <w:lang w:eastAsia="pl-PL"/>
        </w:rPr>
        <w:t>2,7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lutym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 xml:space="preserve">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542B73">
        <w:rPr>
          <w:b/>
          <w:noProof/>
          <w:szCs w:val="19"/>
          <w:lang w:eastAsia="pl-PL"/>
        </w:rPr>
        <w:t>4,8</w:t>
      </w:r>
      <w:r w:rsidRPr="003627E7">
        <w:rPr>
          <w:b/>
          <w:noProof/>
          <w:szCs w:val="19"/>
          <w:lang w:eastAsia="pl-PL"/>
        </w:rPr>
        <w:t>%</w:t>
      </w:r>
      <w:r w:rsidRPr="00542B73" w:rsidR="00542B73">
        <w:rPr>
          <w:b/>
        </w:rPr>
        <w:t xml:space="preserve"> </w:t>
      </w:r>
      <w:r w:rsidRPr="005C1EA6" w:rsidR="00542B73">
        <w:rPr>
          <w:b/>
        </w:rPr>
        <w:t>w stosunku</w:t>
      </w:r>
      <w:r w:rsidR="00542B73">
        <w:t xml:space="preserve"> </w:t>
      </w:r>
      <w:r w:rsidRPr="00C74841" w:rsidR="00542B73">
        <w:rPr>
          <w:b/>
          <w:noProof/>
          <w:szCs w:val="19"/>
          <w:lang w:eastAsia="pl-PL"/>
        </w:rPr>
        <w:t>do an</w:t>
      </w:r>
      <w:r w:rsidRPr="00B55FEA" w:rsidR="00542B73">
        <w:rPr>
          <w:b/>
          <w:noProof/>
          <w:szCs w:val="19"/>
          <w:lang w:eastAsia="pl-PL"/>
        </w:rPr>
        <w:t>a</w:t>
      </w:r>
      <w:r w:rsidRPr="00C74841" w:rsidR="00542B73">
        <w:rPr>
          <w:b/>
          <w:noProof/>
          <w:szCs w:val="19"/>
          <w:lang w:eastAsia="pl-PL"/>
        </w:rPr>
        <w:t>logicznego okresu roku poprzedniego</w:t>
      </w:r>
      <w:r w:rsidRPr="00C74841" w:rsid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542B73">
        <w:rPr>
          <w:b/>
          <w:noProof/>
          <w:szCs w:val="19"/>
          <w:lang w:eastAsia="pl-PL"/>
        </w:rPr>
        <w:t>e styczniem br.</w:t>
      </w:r>
      <w:r w:rsidR="00D65596">
        <w:rPr>
          <w:b/>
          <w:noProof/>
          <w:szCs w:val="19"/>
          <w:lang w:eastAsia="pl-PL"/>
        </w:rPr>
        <w:t xml:space="preserve"> </w:t>
      </w:r>
      <w:r w:rsidR="00542B73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542B73">
        <w:rPr>
          <w:b/>
          <w:noProof/>
          <w:szCs w:val="19"/>
          <w:lang w:eastAsia="pl-PL"/>
        </w:rPr>
        <w:t>4,3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 xml:space="preserve">W okresie styczeń – </w:t>
      </w:r>
      <w:r w:rsidR="00542B73">
        <w:rPr>
          <w:b/>
          <w:noProof/>
          <w:szCs w:val="19"/>
          <w:lang w:eastAsia="pl-PL"/>
        </w:rPr>
        <w:t>luty</w:t>
      </w:r>
      <w:r w:rsidR="00DF7110">
        <w:rPr>
          <w:b/>
          <w:noProof/>
          <w:szCs w:val="19"/>
          <w:lang w:eastAsia="pl-PL"/>
        </w:rPr>
        <w:t xml:space="preserve"> br.</w:t>
      </w:r>
      <w:r w:rsidRPr="003627E7" w:rsidR="00DF7110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542B73">
        <w:rPr>
          <w:b/>
          <w:noProof/>
          <w:szCs w:val="19"/>
          <w:lang w:eastAsia="pl-PL"/>
        </w:rPr>
        <w:t>2,0</w:t>
      </w:r>
      <w:r w:rsidRPr="003627E7" w:rsidR="00DF7110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Pr="003627E7" w:rsidR="00DF7110">
        <w:rPr>
          <w:b/>
          <w:noProof/>
          <w:szCs w:val="19"/>
          <w:lang w:eastAsia="pl-PL"/>
        </w:rPr>
        <w:t>ższa w porównaniu z analogicznym okresem ub. r</w:t>
      </w:r>
      <w:r w:rsidR="00542B73">
        <w:rPr>
          <w:b/>
          <w:noProof/>
          <w:szCs w:val="19"/>
          <w:lang w:eastAsia="pl-PL"/>
        </w:rPr>
        <w:t>oku, kiedy notowano wzrost o 2,7</w:t>
      </w:r>
      <w:r w:rsidRPr="003627E7" w:rsidR="00DF7110">
        <w:rPr>
          <w:b/>
          <w:noProof/>
          <w:szCs w:val="19"/>
          <w:lang w:eastAsia="pl-PL"/>
        </w:rPr>
        <w:t xml:space="preserve">%. </w:t>
      </w: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3627E7">
      <w:pPr>
        <w:spacing w:before="0" w:after="0"/>
        <w:rPr>
          <w:b/>
          <w:noProof/>
          <w:szCs w:val="19"/>
          <w:lang w:eastAsia="pl-PL"/>
        </w:rPr>
      </w:pPr>
    </w:p>
    <w:p w:rsidRPr="003627E7" w:rsidR="003627E7" w:rsidP="003627E7" w:rsidRDefault="00F47E84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editId="160B0B62" wp14:anchorId="5F4DD38F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E62E1" w:rsidR="003627E7" w:rsidP="003627E7" w:rsidRDefault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542B73">
                              <w:t>lutym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542B73">
                              <w:t>4,5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Pr="00AE62E1"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w14:anchorId="5F4DD38F">
                <v:textbox>
                  <w:txbxContent>
                    <w:p w:rsidRPr="00AE62E1" w:rsidR="003627E7" w:rsidP="003627E7" w:rsidRDefault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542B73">
                        <w:t>lutym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542B73">
                        <w:t>4,5</w:t>
                      </w:r>
                      <w:r w:rsidRPr="00AE62E1">
                        <w:t xml:space="preserve">% w skali roku </w:t>
                      </w:r>
                    </w:p>
                    <w:p w:rsidRPr="00AE62E1" w:rsidR="003627E7" w:rsidP="003627E7" w:rsidRDefault="003627E7"/>
                  </w:txbxContent>
                </v:textbox>
                <w10:wrap type="tight"/>
              </v:shape>
            </w:pict>
          </mc:Fallback>
        </mc:AlternateContent>
      </w:r>
    </w:p>
    <w:p w:rsidRPr="00AE62E1" w:rsidR="003627E7" w:rsidP="003627E7" w:rsidRDefault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542B73">
        <w:rPr>
          <w:noProof/>
          <w:szCs w:val="19"/>
          <w:lang w:eastAsia="pl-PL"/>
        </w:rPr>
        <w:t>lutym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542B73">
        <w:rPr>
          <w:noProof/>
          <w:szCs w:val="19"/>
          <w:lang w:eastAsia="pl-PL"/>
        </w:rPr>
        <w:t>4,5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542B73">
        <w:rPr>
          <w:noProof/>
          <w:szCs w:val="19"/>
          <w:lang w:eastAsia="pl-PL"/>
        </w:rPr>
        <w:t>0,4</w:t>
      </w:r>
      <w:r w:rsidR="00AE62E1">
        <w:rPr>
          <w:noProof/>
          <w:szCs w:val="19"/>
          <w:lang w:eastAsia="pl-PL"/>
        </w:rPr>
        <w:t>% wy</w:t>
      </w:r>
      <w:r w:rsidR="00542B73">
        <w:rPr>
          <w:noProof/>
          <w:szCs w:val="19"/>
          <w:lang w:eastAsia="pl-PL"/>
        </w:rPr>
        <w:t>ższym w porównaniu ze styczniem br</w:t>
      </w:r>
      <w:r w:rsidR="00D65596">
        <w:rPr>
          <w:noProof/>
          <w:szCs w:val="19"/>
          <w:lang w:eastAsia="pl-PL"/>
        </w:rPr>
        <w:t>.</w:t>
      </w:r>
    </w:p>
    <w:p w:rsidRPr="003627E7" w:rsidR="003627E7" w:rsidP="003627E7" w:rsidRDefault="003627E7">
      <w:pPr>
        <w:jc w:val="both"/>
        <w:rPr>
          <w:b/>
          <w:noProof/>
          <w:szCs w:val="19"/>
          <w:lang w:eastAsia="pl-PL"/>
        </w:rPr>
      </w:pPr>
    </w:p>
    <w:p w:rsidRPr="003627E7" w:rsidR="003627E7" w:rsidP="003627E7" w:rsidRDefault="008605D4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-95534</wp:posOffset>
            </wp:positionH>
            <wp:positionV relativeFrom="paragraph">
              <wp:posOffset>234969</wp:posOffset>
            </wp:positionV>
            <wp:extent cx="5122545" cy="3151505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Pr="003627E7" w:rsidR="003627E7">
        <w:rPr>
          <w:b/>
          <w:spacing w:val="-2"/>
          <w:sz w:val="18"/>
          <w:szCs w:val="18"/>
        </w:rPr>
        <w:t>Wykres 1.</w:t>
      </w:r>
      <w:r w:rsidRPr="003627E7" w:rsid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071006" w:rsidR="00C4192F" w:rsidP="00C4192F" w:rsidRDefault="00C4192F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 xml:space="preserve">W </w:t>
      </w:r>
      <w:r>
        <w:rPr>
          <w:rFonts w:eastAsia="Calibri" w:cs="Times New Roman"/>
        </w:rPr>
        <w:t>trzech</w:t>
      </w:r>
      <w:r w:rsidRPr="00DD58F4">
        <w:rPr>
          <w:rFonts w:eastAsia="Calibri" w:cs="Times New Roman"/>
        </w:rPr>
        <w:t xml:space="preserve"> gł</w:t>
      </w:r>
      <w:r>
        <w:rPr>
          <w:rFonts w:eastAsia="Calibri" w:cs="Times New Roman"/>
        </w:rPr>
        <w:t xml:space="preserve">ównych grupowaniach przemysłowych w </w:t>
      </w:r>
      <w:r w:rsidR="00542B73">
        <w:rPr>
          <w:rFonts w:eastAsia="Calibri" w:cs="Times New Roman"/>
        </w:rPr>
        <w:t>lutym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spadek</w:t>
      </w:r>
      <w:r w:rsidRPr="00DD58F4">
        <w:rPr>
          <w:rFonts w:eastAsia="Calibri" w:cs="Times New Roman"/>
        </w:rPr>
        <w:t xml:space="preserve"> produkcji w skali roku. Produkcja </w:t>
      </w:r>
      <w:r w:rsidRPr="00DD58F4" w:rsidR="00542B73">
        <w:rPr>
          <w:rFonts w:eastAsia="Calibri" w:cs="Times New Roman"/>
        </w:rPr>
        <w:t>dóbr inwestycyjnych</w:t>
      </w:r>
      <w:r w:rsidR="00542B73">
        <w:rPr>
          <w:rFonts w:eastAsia="Calibri" w:cs="Times New Roman"/>
        </w:rPr>
        <w:t xml:space="preserve"> zmniejszyła się o 3,5</w:t>
      </w:r>
      <w:r>
        <w:rPr>
          <w:rFonts w:eastAsia="Calibri" w:cs="Times New Roman"/>
        </w:rPr>
        <w:t xml:space="preserve">%, </w:t>
      </w:r>
      <w:r w:rsidRPr="00DD58F4">
        <w:rPr>
          <w:rFonts w:eastAsia="Calibri" w:cs="Times New Roman"/>
        </w:rPr>
        <w:t>dóbr związanych z energią</w:t>
      </w:r>
      <w:r w:rsidR="00D44D3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 w:rsidR="00542B73">
        <w:rPr>
          <w:rFonts w:eastAsia="Calibri" w:cs="Times New Roman"/>
        </w:rPr>
        <w:t> 2</w:t>
      </w:r>
      <w:r>
        <w:rPr>
          <w:rFonts w:eastAsia="Calibri" w:cs="Times New Roman"/>
        </w:rPr>
        <w:t>,9%, a</w:t>
      </w:r>
      <w:r w:rsidRPr="00C4192F">
        <w:rPr>
          <w:rFonts w:eastAsia="Calibri" w:cs="Times New Roman"/>
        </w:rPr>
        <w:t xml:space="preserve"> </w:t>
      </w:r>
      <w:r w:rsidRPr="00DD58F4" w:rsidR="00542B73">
        <w:rPr>
          <w:rFonts w:eastAsia="Calibri" w:cs="Times New Roman"/>
        </w:rPr>
        <w:t>dóbr konsumpcyjnych nietrwałych</w:t>
      </w:r>
      <w:r w:rsidR="00542B7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– </w:t>
      </w:r>
      <w:r w:rsidRPr="00DD58F4">
        <w:rPr>
          <w:rFonts w:eastAsia="Calibri" w:cs="Times New Roman"/>
        </w:rPr>
        <w:t>o</w:t>
      </w:r>
      <w:r>
        <w:rPr>
          <w:rFonts w:eastAsia="Calibri" w:cs="Times New Roman"/>
        </w:rPr>
        <w:t xml:space="preserve"> </w:t>
      </w:r>
      <w:r w:rsidR="00542B73">
        <w:rPr>
          <w:rFonts w:eastAsia="Calibri" w:cs="Times New Roman"/>
        </w:rPr>
        <w:t>2,1</w:t>
      </w:r>
      <w:r w:rsidRPr="00DD58F4">
        <w:rPr>
          <w:rFonts w:eastAsia="Calibri" w:cs="Times New Roman"/>
        </w:rPr>
        <w:t>%.</w:t>
      </w:r>
      <w:r>
        <w:rPr>
          <w:rFonts w:eastAsia="Calibri" w:cs="Times New Roman"/>
        </w:rPr>
        <w:t xml:space="preserve"> Zwiększyła</w:t>
      </w:r>
      <w:r w:rsidRPr="00DD58F4">
        <w:rPr>
          <w:rFonts w:eastAsia="Calibri" w:cs="Times New Roman"/>
        </w:rPr>
        <w:t xml:space="preserve"> się natomiast </w:t>
      </w:r>
      <w:r>
        <w:rPr>
          <w:rFonts w:eastAsia="Calibri" w:cs="Times New Roman"/>
        </w:rPr>
        <w:t xml:space="preserve">produkcja </w:t>
      </w:r>
      <w:r w:rsidR="00542B73">
        <w:rPr>
          <w:rFonts w:eastAsia="Calibri" w:cs="Times New Roman"/>
        </w:rPr>
        <w:t>dóbr konsumpcyjnych trwałych</w:t>
      </w:r>
      <w:r w:rsidR="00E31A7A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 o </w:t>
      </w:r>
      <w:r w:rsidR="00542B73">
        <w:rPr>
          <w:rFonts w:eastAsia="Calibri" w:cs="Times New Roman"/>
        </w:rPr>
        <w:t>13,3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</w:t>
      </w:r>
      <w:r w:rsidR="00542B73">
        <w:rPr>
          <w:rFonts w:eastAsia="Calibri" w:cs="Times New Roman"/>
        </w:rPr>
        <w:t xml:space="preserve">dóbr </w:t>
      </w:r>
      <w:r w:rsidRPr="00DD58F4" w:rsidR="00542B73">
        <w:rPr>
          <w:rFonts w:eastAsia="Calibri" w:cs="Times New Roman"/>
        </w:rPr>
        <w:t>zaopatrzeniowych</w:t>
      </w:r>
      <w:r w:rsidR="00542B73">
        <w:rPr>
          <w:rFonts w:eastAsia="Calibri" w:cs="Times New Roman"/>
        </w:rPr>
        <w:t xml:space="preserve"> </w:t>
      </w:r>
      <w:r w:rsidR="00116426">
        <w:rPr>
          <w:rFonts w:eastAsia="Calibri" w:cs="Times New Roman"/>
        </w:rPr>
        <w:t>– o </w:t>
      </w:r>
      <w:r w:rsidR="00542B73">
        <w:rPr>
          <w:rFonts w:eastAsia="Calibri" w:cs="Times New Roman"/>
        </w:rPr>
        <w:t>6,2</w:t>
      </w:r>
      <w:r w:rsidRPr="00DD58F4">
        <w:rPr>
          <w:rFonts w:eastAsia="Calibri" w:cs="Times New Roman"/>
        </w:rPr>
        <w:t>%</w:t>
      </w:r>
      <w:r w:rsidR="00241CA5">
        <w:rPr>
          <w:rFonts w:eastAsia="Calibri" w:cs="Times New Roman"/>
        </w:rPr>
        <w:t>.</w:t>
      </w:r>
    </w:p>
    <w:p w:rsidR="00B77982" w:rsidP="003627E7" w:rsidRDefault="00B77982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1C130A" w:rsidP="003627E7" w:rsidRDefault="001C130A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071006" w:rsidP="003627E7" w:rsidRDefault="00071006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Pr="003627E7" w:rsidR="003627E7" w:rsidP="003627E7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Pr="003627E7" w:rsidR="003627E7" w:rsidP="003627E7" w:rsidRDefault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Pr="003627E7" w:rsidR="00DF7110" w:rsidTr="00B9798A">
        <w:trPr>
          <w:trHeight w:val="57"/>
        </w:trPr>
        <w:tc>
          <w:tcPr>
            <w:tcW w:w="2349" w:type="dxa"/>
            <w:vMerge w:val="restart"/>
            <w:vAlign w:val="center"/>
          </w:tcPr>
          <w:p w:rsidRPr="003627E7" w:rsidR="00DF7110" w:rsidP="003627E7" w:rsidRDefault="00DF711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:rsidRPr="003627E7" w:rsidR="00DF7110" w:rsidP="003627E7" w:rsidRDefault="00DF711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2021</w:t>
            </w:r>
          </w:p>
        </w:tc>
        <w:tc>
          <w:tcPr>
            <w:tcW w:w="1417" w:type="dxa"/>
          </w:tcPr>
          <w:p w:rsidR="00DF7110" w:rsidP="003627E7" w:rsidRDefault="00DF711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Pr="003627E7" w:rsidR="00B9798A" w:rsidTr="00B9798A">
        <w:trPr>
          <w:trHeight w:val="57"/>
        </w:trPr>
        <w:tc>
          <w:tcPr>
            <w:tcW w:w="2349" w:type="dxa"/>
            <w:vMerge/>
            <w:tcBorders>
              <w:bottom w:val="single" w:color="212492" w:sz="12" w:space="0"/>
            </w:tcBorders>
            <w:vAlign w:val="center"/>
          </w:tcPr>
          <w:p w:rsidRPr="003627E7" w:rsidR="00DF7110" w:rsidP="003627E7" w:rsidRDefault="00DF711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color="212492" w:sz="12" w:space="0"/>
            </w:tcBorders>
            <w:vAlign w:val="center"/>
          </w:tcPr>
          <w:p w:rsidRPr="003627E7" w:rsidR="00DF7110" w:rsidP="003627E7" w:rsidRDefault="00DF711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2021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color="212492" w:sz="12" w:space="0"/>
            </w:tcBorders>
            <w:vAlign w:val="center"/>
          </w:tcPr>
          <w:p w:rsidRPr="003627E7" w:rsidR="00DF7110" w:rsidP="003627E7" w:rsidRDefault="00DF711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II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3627E7" w:rsidR="00DF7110" w:rsidP="003627E7" w:rsidRDefault="00DF711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Pr="003627E7" w:rsidR="00DF7110" w:rsidP="003627E7" w:rsidRDefault="00DF711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color="212492" w:sz="12" w:space="0"/>
            </w:tcBorders>
          </w:tcPr>
          <w:p w:rsidR="00DF7110" w:rsidP="003627E7" w:rsidRDefault="00DF711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:rsidRPr="003627E7" w:rsidR="00DF7110" w:rsidP="003627E7" w:rsidRDefault="00DF711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I-II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3627E7" w:rsidR="00B9798A" w:rsidTr="00B9798A">
        <w:trPr>
          <w:trHeight w:val="57"/>
        </w:trPr>
        <w:tc>
          <w:tcPr>
            <w:tcW w:w="2349" w:type="dxa"/>
            <w:tcBorders>
              <w:top w:val="single" w:color="212492" w:sz="12" w:space="0"/>
            </w:tcBorders>
            <w:vAlign w:val="center"/>
          </w:tcPr>
          <w:p w:rsidRPr="003627E7" w:rsidR="00DF7110" w:rsidP="003627E7" w:rsidRDefault="00DF711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color="212492" w:sz="12" w:space="0"/>
            </w:tcBorders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1417" w:type="dxa"/>
            <w:tcBorders>
              <w:top w:val="single" w:color="212492" w:sz="12" w:space="0"/>
            </w:tcBorders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125,0</w:t>
            </w:r>
          </w:p>
        </w:tc>
        <w:tc>
          <w:tcPr>
            <w:tcW w:w="1417" w:type="dxa"/>
            <w:tcBorders>
              <w:top w:val="single" w:color="212492" w:sz="12" w:space="0"/>
            </w:tcBorders>
          </w:tcPr>
          <w:p w:rsidR="00DF7110" w:rsidP="003627E7" w:rsidRDefault="00542B7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102,0</w:t>
            </w:r>
          </w:p>
        </w:tc>
      </w:tr>
      <w:tr w:rsidRPr="003627E7" w:rsidR="00B9798A" w:rsidTr="00B9798A">
        <w:trPr>
          <w:trHeight w:val="57"/>
        </w:trPr>
        <w:tc>
          <w:tcPr>
            <w:tcW w:w="2349" w:type="dxa"/>
            <w:vAlign w:val="center"/>
          </w:tcPr>
          <w:p w:rsidRPr="003627E7" w:rsidR="00DF7110" w:rsidP="003627E7" w:rsidRDefault="00DF711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112,0</w:t>
            </w:r>
          </w:p>
        </w:tc>
        <w:tc>
          <w:tcPr>
            <w:tcW w:w="1417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93,9</w:t>
            </w:r>
          </w:p>
        </w:tc>
        <w:tc>
          <w:tcPr>
            <w:tcW w:w="1418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74,9</w:t>
            </w:r>
          </w:p>
        </w:tc>
        <w:tc>
          <w:tcPr>
            <w:tcW w:w="1417" w:type="dxa"/>
          </w:tcPr>
          <w:p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95,5</w:t>
            </w:r>
          </w:p>
        </w:tc>
      </w:tr>
      <w:tr w:rsidRPr="003627E7" w:rsidR="00B9798A" w:rsidTr="00B9798A">
        <w:trPr>
          <w:trHeight w:val="57"/>
        </w:trPr>
        <w:tc>
          <w:tcPr>
            <w:tcW w:w="2349" w:type="dxa"/>
            <w:vAlign w:val="center"/>
          </w:tcPr>
          <w:p w:rsidRPr="003627E7" w:rsidR="00DF7110" w:rsidP="003627E7" w:rsidRDefault="00DF711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</w:t>
            </w:r>
          </w:p>
        </w:tc>
        <w:tc>
          <w:tcPr>
            <w:tcW w:w="1417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1418" w:type="dxa"/>
            <w:vAlign w:val="center"/>
          </w:tcPr>
          <w:p w:rsidRPr="003627E7"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126,3</w:t>
            </w:r>
          </w:p>
        </w:tc>
        <w:tc>
          <w:tcPr>
            <w:tcW w:w="1417" w:type="dxa"/>
          </w:tcPr>
          <w:p w:rsidR="00DF7110" w:rsidP="003627E7" w:rsidRDefault="00542B73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</w:tr>
      <w:tr w:rsidRPr="003627E7" w:rsidR="00B9798A" w:rsidTr="00B9798A">
        <w:trPr>
          <w:trHeight w:val="57"/>
        </w:trPr>
        <w:tc>
          <w:tcPr>
            <w:tcW w:w="2349" w:type="dxa"/>
            <w:vAlign w:val="center"/>
          </w:tcPr>
          <w:p w:rsidRPr="003627E7" w:rsidR="00DF7110" w:rsidP="003627E7" w:rsidRDefault="00DF711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97,2</w:t>
            </w:r>
          </w:p>
        </w:tc>
        <w:tc>
          <w:tcPr>
            <w:tcW w:w="1417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1418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133,5</w:t>
            </w:r>
          </w:p>
        </w:tc>
        <w:tc>
          <w:tcPr>
            <w:tcW w:w="1417" w:type="dxa"/>
          </w:tcPr>
          <w:p w:rsidR="006D223B" w:rsidP="003627E7" w:rsidRDefault="006D223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</w:tr>
      <w:tr w:rsidRPr="003627E7" w:rsidR="00B9798A" w:rsidTr="00B9798A">
        <w:trPr>
          <w:trHeight w:val="624"/>
        </w:trPr>
        <w:tc>
          <w:tcPr>
            <w:tcW w:w="2349" w:type="dxa"/>
            <w:vAlign w:val="center"/>
          </w:tcPr>
          <w:p w:rsidRPr="003627E7" w:rsidR="00DF7110" w:rsidP="003627E7" w:rsidRDefault="00DF711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1417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1418" w:type="dxa"/>
            <w:vAlign w:val="center"/>
          </w:tcPr>
          <w:p w:rsidRPr="003627E7" w:rsidR="00DF7110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127,5</w:t>
            </w:r>
          </w:p>
        </w:tc>
        <w:tc>
          <w:tcPr>
            <w:tcW w:w="1417" w:type="dxa"/>
          </w:tcPr>
          <w:p w:rsidR="00542B73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:rsidR="00542B73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108,0</w:t>
            </w:r>
          </w:p>
          <w:p w:rsidR="00542B73" w:rsidP="003627E7" w:rsidRDefault="00542B73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</w:tr>
    </w:tbl>
    <w:p w:rsidR="00DF7110" w:rsidP="00246352" w:rsidRDefault="00DF7110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 xml:space="preserve">ormacji o produkcji i cenach w styczniu </w:t>
      </w:r>
      <w:r w:rsidRPr="00DF7110">
        <w:rPr>
          <w:sz w:val="16"/>
          <w:szCs w:val="16"/>
          <w:shd w:val="clear" w:color="auto" w:fill="FFFFFF"/>
        </w:rPr>
        <w:t>oraz meldunkowych w </w:t>
      </w:r>
      <w:r w:rsidR="00246352">
        <w:rPr>
          <w:sz w:val="16"/>
          <w:szCs w:val="16"/>
          <w:shd w:val="clear" w:color="auto" w:fill="FFFFFF"/>
        </w:rPr>
        <w:t>lutym</w:t>
      </w:r>
      <w:r w:rsidRPr="00DF7110">
        <w:rPr>
          <w:sz w:val="16"/>
          <w:szCs w:val="16"/>
          <w:shd w:val="clear" w:color="auto" w:fill="FFFFFF"/>
        </w:rPr>
        <w:t>.</w:t>
      </w:r>
    </w:p>
    <w:p w:rsidR="003627E7" w:rsidP="00DF7110" w:rsidRDefault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Pr="003627E7" w:rsidR="00DF7110" w:rsidP="00DF7110" w:rsidRDefault="00B9798A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editId="22A72D40" wp14:anchorId="36474B1A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3627E7" w:rsidP="003627E7" w:rsidRDefault="005E4AF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Pr="00B55FEA" w:rsid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977C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lutego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977C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66,5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5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w14:anchorId="36474B1A">
                <v:textbox>
                  <w:txbxContent>
                    <w:p w:rsidRPr="00D616D2" w:rsidR="003627E7" w:rsidP="003627E7" w:rsidRDefault="005E4AF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Pr="00B55FEA" w:rsid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977C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lutego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977C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66,5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542B73" w:rsidP="00CE3CA2" w:rsidRDefault="003627E7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542B73">
        <w:rPr>
          <w:shd w:val="clear" w:color="auto" w:fill="FFFFFF"/>
        </w:rPr>
        <w:t>lutym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542B73">
        <w:rPr>
          <w:shd w:val="clear" w:color="auto" w:fill="FFFFFF"/>
        </w:rPr>
        <w:t>lutego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542B73">
        <w:rPr>
          <w:shd w:val="clear" w:color="auto" w:fill="FFFFFF"/>
        </w:rPr>
        <w:t>17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00629F">
        <w:rPr>
          <w:shd w:val="clear" w:color="auto" w:fill="FFFFFF"/>
        </w:rPr>
        <w:t xml:space="preserve">urządzeń elektrycznych – o </w:t>
      </w:r>
      <w:r w:rsidR="00542B73">
        <w:rPr>
          <w:shd w:val="clear" w:color="auto" w:fill="FFFFFF"/>
        </w:rPr>
        <w:t>41,4</w:t>
      </w:r>
      <w:r w:rsidR="007F3AA9">
        <w:rPr>
          <w:shd w:val="clear" w:color="auto" w:fill="FFFFFF"/>
        </w:rPr>
        <w:t xml:space="preserve">%, </w:t>
      </w:r>
      <w:r w:rsidRPr="001932FE" w:rsidR="00542B73">
        <w:rPr>
          <w:shd w:val="clear" w:color="auto" w:fill="FFFFFF"/>
        </w:rPr>
        <w:t>komputerów, wyrobów elektronicznych</w:t>
      </w:r>
      <w:r w:rsidR="00542B73">
        <w:rPr>
          <w:shd w:val="clear" w:color="auto" w:fill="FFFFFF"/>
        </w:rPr>
        <w:t xml:space="preserve"> </w:t>
      </w:r>
      <w:r w:rsidRPr="001932FE" w:rsidR="00542B73">
        <w:rPr>
          <w:shd w:val="clear" w:color="auto" w:fill="FFFFFF"/>
        </w:rPr>
        <w:t>i</w:t>
      </w:r>
      <w:r w:rsidR="00542B73">
        <w:rPr>
          <w:shd w:val="clear" w:color="auto" w:fill="FFFFFF"/>
        </w:rPr>
        <w:t> </w:t>
      </w:r>
      <w:r w:rsidRPr="001932FE" w:rsidR="00542B73">
        <w:rPr>
          <w:shd w:val="clear" w:color="auto" w:fill="FFFFFF"/>
        </w:rPr>
        <w:t>optycznych</w:t>
      </w:r>
      <w:r w:rsidR="00542B73">
        <w:rPr>
          <w:shd w:val="clear" w:color="auto" w:fill="FFFFFF"/>
        </w:rPr>
        <w:t xml:space="preserve"> – o 12,6%,</w:t>
      </w:r>
      <w:r w:rsidRPr="007F3AA9" w:rsidR="007F3AA9">
        <w:rPr>
          <w:shd w:val="clear" w:color="auto" w:fill="FFFFFF"/>
        </w:rPr>
        <w:t xml:space="preserve"> </w:t>
      </w:r>
      <w:r w:rsidR="007F3AA9">
        <w:rPr>
          <w:shd w:val="clear" w:color="auto" w:fill="FFFFFF"/>
        </w:rPr>
        <w:t>wyrobów z </w:t>
      </w:r>
      <w:r w:rsidRPr="003627E7" w:rsidR="007F3AA9">
        <w:rPr>
          <w:shd w:val="clear" w:color="auto" w:fill="FFFFFF"/>
        </w:rPr>
        <w:t>gumy i tworzyw sztucznych – o </w:t>
      </w:r>
      <w:r w:rsidR="007F3AA9">
        <w:rPr>
          <w:shd w:val="clear" w:color="auto" w:fill="FFFFFF"/>
        </w:rPr>
        <w:t xml:space="preserve">9,6%, </w:t>
      </w:r>
      <w:r w:rsidRPr="001932FE" w:rsidR="007F3AA9">
        <w:rPr>
          <w:shd w:val="clear" w:color="auto" w:fill="FFFFFF"/>
        </w:rPr>
        <w:t>wyrobów z</w:t>
      </w:r>
      <w:r w:rsidR="007F3AA9">
        <w:rPr>
          <w:shd w:val="clear" w:color="auto" w:fill="FFFFFF"/>
        </w:rPr>
        <w:t> </w:t>
      </w:r>
      <w:r w:rsidRPr="001932FE" w:rsidR="007F3AA9">
        <w:rPr>
          <w:shd w:val="clear" w:color="auto" w:fill="FFFFFF"/>
        </w:rPr>
        <w:t>drewna, korka, słomy i wikliny</w:t>
      </w:r>
      <w:r w:rsidR="007F3AA9">
        <w:rPr>
          <w:shd w:val="clear" w:color="auto" w:fill="FFFFFF"/>
        </w:rPr>
        <w:t xml:space="preserve"> – o 7,0%, wyrobów z metali – o 6,5%, chemikaliów i wyrobów chemicznych</w:t>
      </w:r>
      <w:r w:rsidRPr="003627E7" w:rsidR="007F3AA9">
        <w:rPr>
          <w:shd w:val="clear" w:color="auto" w:fill="FFFFFF"/>
        </w:rPr>
        <w:t xml:space="preserve"> </w:t>
      </w:r>
      <w:r w:rsidR="007F3AA9">
        <w:rPr>
          <w:shd w:val="clear" w:color="auto" w:fill="FFFFFF"/>
        </w:rPr>
        <w:t>– o 6,4%, papieru i wyrobów z papieru – o 5,9%, artykułów spożywczych – o 3,2%.</w:t>
      </w:r>
    </w:p>
    <w:p w:rsidR="007F3AA9" w:rsidP="007F3AA9" w:rsidRDefault="009278E9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 w:rsid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lutym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Pr="003627E7" w:rsidR="003627E7">
        <w:rPr>
          <w:shd w:val="clear" w:color="auto" w:fill="FFFFFF"/>
        </w:rPr>
        <w:t>, wystąpił w</w:t>
      </w:r>
      <w:r w:rsidR="00DA7723">
        <w:rPr>
          <w:shd w:val="clear" w:color="auto" w:fill="FFFFFF"/>
        </w:rPr>
        <w:t> </w:t>
      </w:r>
      <w:r w:rsidR="007F3AA9">
        <w:rPr>
          <w:shd w:val="clear" w:color="auto" w:fill="FFFFFF"/>
        </w:rPr>
        <w:t>16</w:t>
      </w:r>
      <w:r w:rsidRPr="003627E7" w:rsidR="003627E7">
        <w:rPr>
          <w:shd w:val="clear" w:color="auto" w:fill="FFFFFF"/>
        </w:rPr>
        <w:t xml:space="preserve"> działach, m.in. </w:t>
      </w:r>
      <w:r w:rsidRPr="003627E7" w:rsidR="000D785C">
        <w:rPr>
          <w:shd w:val="clear" w:color="auto" w:fill="FFFFFF"/>
        </w:rPr>
        <w:t>w produkcji</w:t>
      </w:r>
      <w:r w:rsidRPr="00B31B63"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 xml:space="preserve">koksu </w:t>
      </w:r>
      <w:r w:rsidRPr="00D71FEF" w:rsidR="0000629F">
        <w:rPr>
          <w:shd w:val="clear" w:color="auto" w:fill="FFFFFF"/>
        </w:rPr>
        <w:t>i</w:t>
      </w:r>
      <w:r w:rsidR="0000629F">
        <w:rPr>
          <w:shd w:val="clear" w:color="auto" w:fill="FFFFFF"/>
        </w:rPr>
        <w:t> </w:t>
      </w:r>
      <w:r w:rsidRPr="00D71FEF" w:rsidR="0000629F">
        <w:rPr>
          <w:shd w:val="clear" w:color="auto" w:fill="FFFFFF"/>
        </w:rPr>
        <w:t>produktów rafinacji ropy naftowej</w:t>
      </w:r>
      <w:r w:rsidR="0000629F">
        <w:rPr>
          <w:shd w:val="clear" w:color="auto" w:fill="FFFFFF"/>
        </w:rPr>
        <w:t xml:space="preserve"> – o </w:t>
      </w:r>
      <w:r w:rsidR="007F3AA9">
        <w:rPr>
          <w:shd w:val="clear" w:color="auto" w:fill="FFFFFF"/>
        </w:rPr>
        <w:t>18,9</w:t>
      </w:r>
      <w:r w:rsidR="0000629F">
        <w:rPr>
          <w:shd w:val="clear" w:color="auto" w:fill="FFFFFF"/>
        </w:rPr>
        <w:t xml:space="preserve">%, </w:t>
      </w:r>
      <w:r w:rsidR="007F3AA9">
        <w:rPr>
          <w:shd w:val="clear" w:color="auto" w:fill="FFFFFF"/>
        </w:rPr>
        <w:t>w naprawie</w:t>
      </w:r>
      <w:r w:rsidRPr="001932FE" w:rsidR="007F3AA9">
        <w:rPr>
          <w:shd w:val="clear" w:color="auto" w:fill="FFFFFF"/>
        </w:rPr>
        <w:t>, kons</w:t>
      </w:r>
      <w:r w:rsidR="007F3AA9">
        <w:rPr>
          <w:shd w:val="clear" w:color="auto" w:fill="FFFFFF"/>
        </w:rPr>
        <w:t>erwacji i instalowaniu</w:t>
      </w:r>
      <w:r w:rsidRPr="001932FE" w:rsidR="007F3AA9">
        <w:rPr>
          <w:shd w:val="clear" w:color="auto" w:fill="FFFFFF"/>
        </w:rPr>
        <w:t xml:space="preserve"> maszyn i urządzeń</w:t>
      </w:r>
      <w:r w:rsidR="007F3AA9">
        <w:rPr>
          <w:shd w:val="clear" w:color="auto" w:fill="FFFFFF"/>
        </w:rPr>
        <w:t xml:space="preserve"> – o 18,5%, </w:t>
      </w:r>
      <w:r w:rsidR="00CE45C8">
        <w:rPr>
          <w:shd w:val="clear" w:color="auto" w:fill="FFFFFF"/>
        </w:rPr>
        <w:t xml:space="preserve">w produkcji </w:t>
      </w:r>
      <w:r w:rsidR="007F3AA9">
        <w:rPr>
          <w:shd w:val="clear" w:color="auto" w:fill="FFFFFF"/>
        </w:rPr>
        <w:t xml:space="preserve">pozostałego sprzętu transportowego – o </w:t>
      </w:r>
      <w:r w:rsidR="00CE45C8">
        <w:rPr>
          <w:shd w:val="clear" w:color="auto" w:fill="FFFFFF"/>
        </w:rPr>
        <w:t>16,5</w:t>
      </w:r>
      <w:r w:rsidR="007F3AA9">
        <w:rPr>
          <w:shd w:val="clear" w:color="auto" w:fill="FFFFFF"/>
        </w:rPr>
        <w:t xml:space="preserve">%, </w:t>
      </w:r>
      <w:r w:rsidR="0000629F">
        <w:rPr>
          <w:shd w:val="clear" w:color="auto" w:fill="FFFFFF"/>
        </w:rPr>
        <w:t>napojów –</w:t>
      </w:r>
      <w:r w:rsidR="00CE4344">
        <w:rPr>
          <w:shd w:val="clear" w:color="auto" w:fill="FFFFFF"/>
        </w:rPr>
        <w:t xml:space="preserve"> o </w:t>
      </w:r>
      <w:r w:rsidR="007F3AA9">
        <w:rPr>
          <w:shd w:val="clear" w:color="auto" w:fill="FFFFFF"/>
        </w:rPr>
        <w:t>11,4</w:t>
      </w:r>
      <w:r w:rsidR="0000629F">
        <w:rPr>
          <w:shd w:val="clear" w:color="auto" w:fill="FFFFFF"/>
        </w:rPr>
        <w:t xml:space="preserve">%, </w:t>
      </w:r>
      <w:r w:rsidR="007F3AA9">
        <w:rPr>
          <w:shd w:val="clear" w:color="auto" w:fill="FFFFFF"/>
        </w:rPr>
        <w:t>wyrobów z pozostałych mineralnych surowców niemetalicznych – o 7,9%, metali – o 5,2%.</w:t>
      </w:r>
    </w:p>
    <w:p w:rsidR="007B0FEC" w:rsidP="003627E7" w:rsidRDefault="007B0FEC">
      <w:pPr>
        <w:suppressAutoHyphens/>
        <w:spacing w:before="0" w:after="0"/>
        <w:rPr>
          <w:shd w:val="clear" w:color="auto" w:fill="FFFFFF"/>
        </w:rPr>
      </w:pPr>
    </w:p>
    <w:p w:rsidRPr="003627E7" w:rsidR="003627E7" w:rsidP="003627E7" w:rsidRDefault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Pr="00CE4344" w:rsidR="007E5DEE" w:rsidP="00334B93" w:rsidRDefault="00753FF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425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5062855" cy="3711575"/>
            <wp:effectExtent l="0" t="0" r="4445" b="3175"/>
            <wp:wrapSquare wrapText="bothSides"/>
            <wp:docPr id="9" name="Wykres 9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7E7" w:rsid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Pr="008548EA" w:rsidR="008548EA">
        <w:rPr>
          <w:noProof/>
          <w:lang w:eastAsia="pl-PL"/>
        </w:rPr>
        <w:t xml:space="preserve"> </w:t>
      </w:r>
    </w:p>
    <w:p w:rsidR="00753FF3" w:rsidP="006C65C6" w:rsidRDefault="00BE0B67">
      <w:pPr>
        <w:spacing w:before="0" w:after="0"/>
        <w:rPr>
          <w:shd w:val="clear" w:color="auto" w:fill="FFFFFF"/>
        </w:rPr>
      </w:pPr>
      <w:r>
        <w:lastRenderedPageBreak/>
        <w:t>W porównaniu z</w:t>
      </w:r>
      <w:r w:rsidR="00753FF3">
        <w:t>e</w:t>
      </w:r>
      <w:r>
        <w:t xml:space="preserve"> </w:t>
      </w:r>
      <w:r w:rsidR="00753FF3">
        <w:t>styczniem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246352">
        <w:t>wzrost</w:t>
      </w:r>
      <w:r w:rsidRPr="00730CB8" w:rsidR="00730CB8">
        <w:t xml:space="preserve"> </w:t>
      </w:r>
      <w:r w:rsidRPr="003627E7" w:rsidR="00A6597F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753FF3">
        <w:rPr>
          <w:shd w:val="clear" w:color="auto" w:fill="FFFFFF"/>
        </w:rPr>
        <w:t>lutym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753FF3">
        <w:rPr>
          <w:shd w:val="clear" w:color="auto" w:fill="FFFFFF"/>
        </w:rPr>
        <w:t>25</w:t>
      </w:r>
      <w:r w:rsidRPr="003627E7" w:rsidR="00A6597F">
        <w:rPr>
          <w:shd w:val="clear" w:color="auto" w:fill="FFFFFF"/>
        </w:rPr>
        <w:t xml:space="preserve"> działach przemysłu, m.in.</w:t>
      </w:r>
      <w:r w:rsidRPr="00A6597F" w:rsidR="006752D3">
        <w:t xml:space="preserve"> </w:t>
      </w:r>
      <w:r w:rsidR="007B2B99">
        <w:rPr>
          <w:shd w:val="clear" w:color="auto" w:fill="FFFFFF"/>
        </w:rPr>
        <w:t xml:space="preserve">w produkcji </w:t>
      </w:r>
      <w:r w:rsidRPr="003627E7" w:rsidR="00753FF3">
        <w:rPr>
          <w:shd w:val="clear" w:color="auto" w:fill="FFFFFF"/>
        </w:rPr>
        <w:t xml:space="preserve">maszyn i urządzeń </w:t>
      </w:r>
      <w:r w:rsidRPr="003627E7" w:rsidR="00753FF3">
        <w:rPr>
          <w:noProof/>
          <w:spacing w:val="-2"/>
          <w:szCs w:val="19"/>
          <w:lang w:eastAsia="pl-PL"/>
        </w:rPr>
        <w:t>–</w:t>
      </w:r>
      <w:r w:rsidRPr="003627E7" w:rsidR="00753FF3">
        <w:rPr>
          <w:shd w:val="clear" w:color="auto" w:fill="FFFFFF"/>
        </w:rPr>
        <w:t xml:space="preserve"> o </w:t>
      </w:r>
      <w:r w:rsidR="00753FF3">
        <w:rPr>
          <w:shd w:val="clear" w:color="auto" w:fill="FFFFFF"/>
        </w:rPr>
        <w:t>15,7</w:t>
      </w:r>
      <w:r w:rsidRPr="003627E7" w:rsidR="00753FF3">
        <w:rPr>
          <w:shd w:val="clear" w:color="auto" w:fill="FFFFFF"/>
        </w:rPr>
        <w:t>%,</w:t>
      </w:r>
      <w:r w:rsidR="00753FF3">
        <w:rPr>
          <w:shd w:val="clear" w:color="auto" w:fill="FFFFFF"/>
        </w:rPr>
        <w:t xml:space="preserve"> napojów – o 13,2%,</w:t>
      </w:r>
      <w:r w:rsidRPr="00753FF3" w:rsidR="00753FF3">
        <w:rPr>
          <w:shd w:val="clear" w:color="auto" w:fill="FFFFFF"/>
        </w:rPr>
        <w:t xml:space="preserve"> </w:t>
      </w:r>
      <w:r w:rsidR="00753FF3">
        <w:rPr>
          <w:shd w:val="clear" w:color="auto" w:fill="FFFFFF"/>
        </w:rPr>
        <w:t>pozostałego sprzętu transportowego – o 12,9%,</w:t>
      </w:r>
      <w:r w:rsidRPr="00753FF3" w:rsidR="00753FF3">
        <w:rPr>
          <w:shd w:val="clear" w:color="auto" w:fill="FFFFFF"/>
        </w:rPr>
        <w:t xml:space="preserve"> </w:t>
      </w:r>
      <w:r w:rsidR="00753FF3">
        <w:rPr>
          <w:shd w:val="clear" w:color="auto" w:fill="FFFFFF"/>
        </w:rPr>
        <w:t xml:space="preserve">wyrobów z metali – o 12,2%, urządzeń elektrycznych – o </w:t>
      </w:r>
      <w:r w:rsidR="00CE45C8">
        <w:rPr>
          <w:shd w:val="clear" w:color="auto" w:fill="FFFFFF"/>
        </w:rPr>
        <w:t>11,0%,</w:t>
      </w:r>
      <w:r w:rsidRPr="00CE45C8" w:rsidR="00CE45C8">
        <w:rPr>
          <w:shd w:val="clear" w:color="auto" w:fill="FFFFFF"/>
        </w:rPr>
        <w:t xml:space="preserve"> </w:t>
      </w:r>
      <w:r w:rsidRPr="003627E7" w:rsidR="00CE45C8">
        <w:rPr>
          <w:shd w:val="clear" w:color="auto" w:fill="FFFFFF"/>
        </w:rPr>
        <w:t xml:space="preserve">pojazdów samochodowych, przyczep i naczep – o </w:t>
      </w:r>
      <w:r w:rsidR="00CE45C8">
        <w:rPr>
          <w:shd w:val="clear" w:color="auto" w:fill="FFFFFF"/>
        </w:rPr>
        <w:t xml:space="preserve">9,0%, </w:t>
      </w:r>
      <w:r w:rsidRPr="003627E7" w:rsidR="00CE45C8">
        <w:rPr>
          <w:shd w:val="clear" w:color="auto" w:fill="FFFFFF"/>
        </w:rPr>
        <w:t>wyrobów z gumy i tworzyw sztucznych – o </w:t>
      </w:r>
      <w:r w:rsidR="00CE45C8">
        <w:rPr>
          <w:shd w:val="clear" w:color="auto" w:fill="FFFFFF"/>
        </w:rPr>
        <w:t>7,3%.</w:t>
      </w:r>
    </w:p>
    <w:p w:rsidR="00CE45C8" w:rsidP="00CE45C8" w:rsidRDefault="00246352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 w:rsidR="00A6597F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ze styczniem</w:t>
      </w:r>
      <w:r w:rsidR="00B31B63">
        <w:rPr>
          <w:shd w:val="clear" w:color="auto" w:fill="FFFFFF"/>
        </w:rPr>
        <w:t xml:space="preserve"> </w:t>
      </w:r>
      <w:r>
        <w:rPr>
          <w:shd w:val="clear" w:color="auto" w:fill="FFFFFF"/>
        </w:rPr>
        <w:t>br.</w:t>
      </w:r>
      <w:r w:rsidR="00CE45C8">
        <w:rPr>
          <w:shd w:val="clear" w:color="auto" w:fill="FFFFFF"/>
        </w:rPr>
        <w:t>, wystąpił w 9</w:t>
      </w:r>
      <w:r w:rsidR="00B31B63">
        <w:rPr>
          <w:shd w:val="clear" w:color="auto" w:fill="FFFFFF"/>
        </w:rPr>
        <w:t> </w:t>
      </w:r>
      <w:r w:rsidRPr="003627E7" w:rsidR="00A6597F">
        <w:rPr>
          <w:shd w:val="clear" w:color="auto" w:fill="FFFFFF"/>
        </w:rPr>
        <w:t>działach, m.in.</w:t>
      </w:r>
      <w:r w:rsidRPr="00BE0B67" w:rsidR="00BE0B67">
        <w:rPr>
          <w:shd w:val="clear" w:color="auto" w:fill="FFFFFF"/>
        </w:rPr>
        <w:t xml:space="preserve"> </w:t>
      </w:r>
      <w:r w:rsidRPr="003627E7" w:rsidR="000D1206">
        <w:rPr>
          <w:shd w:val="clear" w:color="auto" w:fill="FFFFFF"/>
        </w:rPr>
        <w:t xml:space="preserve">w produkcji </w:t>
      </w:r>
      <w:r w:rsidR="00B963B7">
        <w:rPr>
          <w:shd w:val="clear" w:color="auto" w:fill="FFFFFF"/>
        </w:rPr>
        <w:t xml:space="preserve">metali – o </w:t>
      </w:r>
      <w:r w:rsidR="00CE45C8">
        <w:rPr>
          <w:shd w:val="clear" w:color="auto" w:fill="FFFFFF"/>
        </w:rPr>
        <w:t>9,9</w:t>
      </w:r>
      <w:r w:rsidR="00B963B7">
        <w:rPr>
          <w:shd w:val="clear" w:color="auto" w:fill="FFFFFF"/>
        </w:rPr>
        <w:t xml:space="preserve">%, </w:t>
      </w:r>
      <w:r w:rsidR="00CE45C8">
        <w:rPr>
          <w:shd w:val="clear" w:color="auto" w:fill="FFFFFF"/>
        </w:rPr>
        <w:t>w naprawie</w:t>
      </w:r>
      <w:r w:rsidRPr="001932FE" w:rsidR="00CE45C8">
        <w:rPr>
          <w:shd w:val="clear" w:color="auto" w:fill="FFFFFF"/>
        </w:rPr>
        <w:t>, kons</w:t>
      </w:r>
      <w:r w:rsidR="00CE45C8">
        <w:rPr>
          <w:shd w:val="clear" w:color="auto" w:fill="FFFFFF"/>
        </w:rPr>
        <w:t>erwacji i instalowaniu</w:t>
      </w:r>
      <w:r w:rsidRPr="001932FE" w:rsidR="00CE45C8">
        <w:rPr>
          <w:shd w:val="clear" w:color="auto" w:fill="FFFFFF"/>
        </w:rPr>
        <w:t xml:space="preserve"> maszyn i urządzeń</w:t>
      </w:r>
      <w:r w:rsidR="00CE45C8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6,9</w:t>
      </w:r>
      <w:r w:rsidR="00CE45C8">
        <w:rPr>
          <w:shd w:val="clear" w:color="auto" w:fill="FFFFFF"/>
        </w:rPr>
        <w:t>%,</w:t>
      </w:r>
      <w:r w:rsidRPr="00CE45C8" w:rsidR="00CE45C8">
        <w:rPr>
          <w:shd w:val="clear" w:color="auto" w:fill="FFFFFF"/>
        </w:rPr>
        <w:t xml:space="preserve"> </w:t>
      </w:r>
      <w:r w:rsidR="00CE45C8">
        <w:rPr>
          <w:shd w:val="clear" w:color="auto" w:fill="FFFFFF"/>
        </w:rPr>
        <w:t xml:space="preserve">w produkcji </w:t>
      </w:r>
      <w:r w:rsidRPr="001932FE" w:rsidR="00CE45C8">
        <w:rPr>
          <w:shd w:val="clear" w:color="auto" w:fill="FFFFFF"/>
        </w:rPr>
        <w:t>komputerów, wyrobów elektronicznych</w:t>
      </w:r>
      <w:r w:rsidR="00CE45C8">
        <w:rPr>
          <w:shd w:val="clear" w:color="auto" w:fill="FFFFFF"/>
        </w:rPr>
        <w:t xml:space="preserve"> </w:t>
      </w:r>
      <w:r w:rsidRPr="001932FE" w:rsidR="00CE45C8">
        <w:rPr>
          <w:shd w:val="clear" w:color="auto" w:fill="FFFFFF"/>
        </w:rPr>
        <w:t>i</w:t>
      </w:r>
      <w:r w:rsidR="00CE45C8">
        <w:rPr>
          <w:shd w:val="clear" w:color="auto" w:fill="FFFFFF"/>
        </w:rPr>
        <w:t> </w:t>
      </w:r>
      <w:r w:rsidRPr="001932FE" w:rsidR="00CE45C8">
        <w:rPr>
          <w:shd w:val="clear" w:color="auto" w:fill="FFFFFF"/>
        </w:rPr>
        <w:t>optycznych</w:t>
      </w:r>
      <w:r w:rsidR="00CE45C8">
        <w:rPr>
          <w:shd w:val="clear" w:color="auto" w:fill="FFFFFF"/>
        </w:rPr>
        <w:t xml:space="preserve"> – o 5,2%,</w:t>
      </w:r>
      <w:r w:rsidRPr="00CE45C8" w:rsidR="00CE45C8">
        <w:rPr>
          <w:shd w:val="clear" w:color="auto" w:fill="FFFFFF"/>
        </w:rPr>
        <w:t xml:space="preserve"> </w:t>
      </w:r>
      <w:r w:rsidR="00CE45C8">
        <w:rPr>
          <w:shd w:val="clear" w:color="auto" w:fill="FFFFFF"/>
        </w:rPr>
        <w:t xml:space="preserve">koksu </w:t>
      </w:r>
      <w:r w:rsidRPr="00D71FEF" w:rsidR="00CE45C8">
        <w:rPr>
          <w:shd w:val="clear" w:color="auto" w:fill="FFFFFF"/>
        </w:rPr>
        <w:t>i</w:t>
      </w:r>
      <w:r w:rsidR="00CE45C8">
        <w:rPr>
          <w:shd w:val="clear" w:color="auto" w:fill="FFFFFF"/>
        </w:rPr>
        <w:t> </w:t>
      </w:r>
      <w:r w:rsidRPr="00D71FEF" w:rsidR="00CE45C8">
        <w:rPr>
          <w:shd w:val="clear" w:color="auto" w:fill="FFFFFF"/>
        </w:rPr>
        <w:t>produktów rafinacji ropy naftowej</w:t>
      </w:r>
      <w:r w:rsidR="00CE45C8">
        <w:rPr>
          <w:shd w:val="clear" w:color="auto" w:fill="FFFFFF"/>
        </w:rPr>
        <w:t xml:space="preserve"> – o 3,5%,</w:t>
      </w:r>
      <w:r w:rsidRPr="00CE45C8" w:rsidR="00CE45C8">
        <w:rPr>
          <w:shd w:val="clear" w:color="auto" w:fill="FFFFFF"/>
        </w:rPr>
        <w:t xml:space="preserve"> </w:t>
      </w:r>
      <w:r w:rsidR="00CE45C8">
        <w:rPr>
          <w:shd w:val="clear" w:color="auto" w:fill="FFFFFF"/>
        </w:rPr>
        <w:t>w wytwarzaniu i zaopatrywaniu</w:t>
      </w:r>
      <w:r w:rsidR="006D223B">
        <w:rPr>
          <w:shd w:val="clear" w:color="auto" w:fill="FFFFFF"/>
        </w:rPr>
        <w:t xml:space="preserve"> w </w:t>
      </w:r>
      <w:r w:rsidRPr="00A6597F" w:rsidR="00CE45C8">
        <w:rPr>
          <w:shd w:val="clear" w:color="auto" w:fill="FFFFFF"/>
        </w:rPr>
        <w:t>energię elektryczną, gaz, parę wodną i gorącą wodę</w:t>
      </w:r>
      <w:r w:rsidR="00CE45C8">
        <w:rPr>
          <w:shd w:val="clear" w:color="auto" w:fill="FFFFFF"/>
        </w:rPr>
        <w:t xml:space="preserve"> – o 2,8%.</w:t>
      </w:r>
    </w:p>
    <w:p w:rsidR="00525DD4" w:rsidP="00525DD4" w:rsidRDefault="00525DD4">
      <w:pPr>
        <w:spacing w:before="0" w:after="0"/>
      </w:pPr>
    </w:p>
    <w:p w:rsidRPr="003627E7" w:rsidR="00F52A68" w:rsidP="00F52A68" w:rsidRDefault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P="00F52A68" w:rsidRDefault="00BE2BB0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-61301</wp:posOffset>
            </wp:positionH>
            <wp:positionV relativeFrom="paragraph">
              <wp:posOffset>238286</wp:posOffset>
            </wp:positionV>
            <wp:extent cx="5122545" cy="3541594"/>
            <wp:effectExtent l="0" t="0" r="1905" b="190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Pr="003627E7" w:rsidR="00A64A6F">
        <w:rPr>
          <w:b/>
          <w:sz w:val="18"/>
          <w:szCs w:val="18"/>
          <w:shd w:val="clear" w:color="auto" w:fill="FFFFFF"/>
        </w:rPr>
        <w:t xml:space="preserve"> </w:t>
      </w:r>
      <w:r w:rsidRPr="003627E7" w:rsidR="00F52A68">
        <w:rPr>
          <w:b/>
          <w:sz w:val="18"/>
          <w:szCs w:val="18"/>
          <w:shd w:val="clear" w:color="auto" w:fill="FFFFFF"/>
        </w:rPr>
        <w:t>=100)</w:t>
      </w:r>
    </w:p>
    <w:p w:rsidR="001F6AC7" w:rsidP="00F52A68" w:rsidRDefault="001F6AC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3009A1" w:rsidP="00BA0518" w:rsidRDefault="003009A1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394389" w:rsidP="00BA0518" w:rsidRDefault="00394389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8E773F" w:rsidP="00BA0518" w:rsidRDefault="008E773F">
      <w:pPr>
        <w:spacing w:line="240" w:lineRule="auto"/>
        <w:rPr>
          <w:noProof/>
          <w:lang w:eastAsia="pl-PL"/>
        </w:rPr>
      </w:pPr>
    </w:p>
    <w:p w:rsidR="00E00A60" w:rsidP="00BA0518" w:rsidRDefault="00E00A60">
      <w:pPr>
        <w:spacing w:line="240" w:lineRule="auto"/>
        <w:rPr>
          <w:szCs w:val="19"/>
        </w:rPr>
      </w:pPr>
    </w:p>
    <w:p w:rsidRPr="0070018F" w:rsidR="00724458" w:rsidP="00F52A68" w:rsidRDefault="001C51BC">
      <w:pPr>
        <w:rPr>
          <w:b/>
          <w:sz w:val="18"/>
          <w:szCs w:val="18"/>
        </w:rPr>
        <w:sectPr w:rsidRPr="0070018F" w:rsidR="00724458" w:rsidSect="008E773F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Pr="00B55FEA" w:rsidR="00B96F7C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:rsidRPr="00033D0D" w:rsidR="0021268C" w:rsidP="0046503D" w:rsidRDefault="0021268C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Pr="003627E7" w:rsidR="003627E7" w:rsidTr="00F84574">
        <w:trPr>
          <w:trHeight w:val="1344"/>
        </w:trPr>
        <w:tc>
          <w:tcPr>
            <w:tcW w:w="4218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Pr="003627E7" w:rsidR="003627E7" w:rsidP="003627E7" w:rsidRDefault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cs="Arial" w:eastAsiaTheme="majorEastAsia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Pr="003627E7" w:rsidR="003627E7" w:rsidP="003627E7" w:rsidRDefault="003627E7">
            <w:pPr>
              <w:keepNext/>
              <w:keepLines/>
              <w:spacing w:before="0" w:after="0" w:line="240" w:lineRule="auto"/>
              <w:outlineLvl w:val="2"/>
              <w:rPr>
                <w:rFonts w:cs="Arial" w:eastAsiaTheme="majorEastAsia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cs="Arial" w:eastAsiaTheme="majorEastAsia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Pr="003627E7" w:rsidR="003627E7" w:rsidP="003627E7" w:rsidRDefault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3627E7" w:rsid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3627E7" w:rsidR="003627E7" w:rsidP="003627E7" w:rsidRDefault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Pr="003627E7" w:rsidR="003627E7" w:rsidP="003627E7" w:rsidRDefault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Pr="00E743D7" w:rsidR="003627E7" w:rsidP="003627E7" w:rsidRDefault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w:history="1" r:id="rId20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743D7" w:rsidR="003627E7" w:rsidP="003627E7" w:rsidRDefault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editId="7C99B506" wp14:anchorId="790980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3627E7" w:rsidR="003627E7" w:rsidP="003627E7" w:rsidRDefault="00E57D92">
            <w:pPr>
              <w:rPr>
                <w:sz w:val="20"/>
                <w:szCs w:val="20"/>
              </w:rPr>
            </w:pPr>
            <w:hyperlink w:history="1" r:id="rId22">
              <w:r w:rsidRPr="003627E7" w:rsid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editId="57C4C18F" wp14:anchorId="2FC29B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Pr="003627E7" w:rsid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Pr="003627E7" w:rsidR="003627E7" w:rsidP="003627E7" w:rsidRDefault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editId="36E81927" wp14:anchorId="32425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3627E7" w:rsidR="003627E7" w:rsidP="003627E7" w:rsidRDefault="003627E7">
            <w:pPr>
              <w:rPr>
                <w:sz w:val="20"/>
              </w:rPr>
            </w:pPr>
            <w:r w:rsidRPr="003627E7">
              <w:rPr>
                <w:sz w:val="20"/>
              </w:rPr>
              <w:t>@GlownyUrzadStatystyczny</w:t>
            </w:r>
          </w:p>
        </w:tc>
      </w:tr>
    </w:tbl>
    <w:p w:rsidRPr="003627E7" w:rsidR="003627E7" w:rsidP="003627E7" w:rsidRDefault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editId="5336DD71" wp14:anchorId="0119BB66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D223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"https://stat.gov.pl/obszary-tematyczne/inne-opracowania/informacje-o-sytuacji-spoleczno-gospodarczej/biuletyn-statystyczny-nr-12021,4,108.html"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Pr="00781CE2" w:rsidR="003627E7" w:rsidP="003627E7" w:rsidRDefault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6D223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w:history="1" r:id="rId25"/>
                          </w:p>
                          <w:p w:rsidRPr="007C79C9"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2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28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3627E7" w:rsidP="003627E7" w:rsidRDefault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P="003627E7" w:rsidRDefault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w:history="1" r:id="rId30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1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w:history="1" r:id="rId32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Pr="00364866" w:rsidR="003627E7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Pr="00364866" w:rsidR="003627E7" w:rsidP="003627E7" w:rsidRDefault="00E57D92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w:history="1" r:id="rId33">
                              <w:r w:rsidRPr="00364866" w:rsidR="003627E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4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5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6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Pr="00364866" w:rsidR="003627E7" w:rsidP="003627E7" w:rsidRDefault="00E57D92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w:history="1" r:id="rId37">
                              <w:r w:rsidRPr="00364866" w:rsidR="003627E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P="003627E7" w:rsidRDefault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w14:anchorId="0119BB66">
                <v:textbox>
                  <w:txbxContent>
                    <w:p w:rsidR="003627E7" w:rsidP="003627E7" w:rsidRDefault="003627E7">
                      <w:pPr>
                        <w:rPr>
                          <w:b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D223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"https://stat.gov.pl/obszary-tematyczne/inne-opracowania/informacje-o-sytuacji-spoleczno-gospodarczej/biuletyn-statystyczny-nr-12021,4,108.html"</w:instrText>
                      </w:r>
                      <w:r w:rsidRPr="00781CE2" w:rsidR="006D223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6D223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781CE2" w:rsidR="006D223B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w:history="1" r:id="rId38"/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3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1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Pr="007C79C9" w:rsidR="003627E7" w:rsidP="003627E7" w:rsidRDefault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3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4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5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E4659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w:history="1" r:id="rId46">
                        <w:r w:rsidRPr="00364866" w:rsidR="003627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7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8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49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Pr="00364866" w:rsidR="003627E7" w:rsidP="003627E7" w:rsidRDefault="00E4659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P="003627E7" w:rsidRDefault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Pr="00001C5B" w:rsidR="00D261A2" w:rsidP="0046503D" w:rsidRDefault="00D261A2">
      <w:pPr>
        <w:rPr>
          <w:sz w:val="18"/>
        </w:rPr>
      </w:pPr>
    </w:p>
    <w:sectPr w:rsidRPr="00001C5B" w:rsidR="00D261A2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92" w:rsidRDefault="00E57D92" w:rsidP="000662E2">
      <w:pPr>
        <w:spacing w:after="0" w:line="240" w:lineRule="auto"/>
      </w:pPr>
      <w:r>
        <w:separator/>
      </w:r>
    </w:p>
  </w:endnote>
  <w:endnote w:type="continuationSeparator" w:id="0">
    <w:p w:rsidR="00E57D92" w:rsidRDefault="00E57D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Fira Sans Eight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Book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2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2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92" w:rsidRDefault="00E57D92" w:rsidP="000662E2">
      <w:pPr>
        <w:spacing w:after="0" w:line="240" w:lineRule="auto"/>
      </w:pPr>
      <w:r>
        <w:separator/>
      </w:r>
    </w:p>
  </w:footnote>
  <w:footnote w:type="continuationSeparator" w:id="0">
    <w:p w:rsidR="00E57D92" w:rsidRDefault="00E57D9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42517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B9798A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42517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B9798A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2DE4"/>
    <w:rsid w:val="000E528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8065E"/>
    <w:rsid w:val="00A80820"/>
    <w:rsid w:val="00A80EF8"/>
    <w:rsid w:val="00A810F9"/>
    <w:rsid w:val="00A82472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2455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A4D"/>
    <w:rsid w:val="00BF3D5D"/>
    <w:rsid w:val="00BF5111"/>
    <w:rsid w:val="00BF64C4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5FFD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504E4"/>
    <w:rsid w:val="00D50A55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57D92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ProdukcjaPrzemyslowa.aspx" TargetMode="External"/><Relationship Id="rId39" Type="http://schemas.openxmlformats.org/officeDocument/2006/relationships/hyperlink" Target="http://swaid.stat.gov.pl/SitePagesDBW/ProdukcjaPrzemyslowa.aspx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317,pojecie.html" TargetMode="External"/><Relationship Id="rId42" Type="http://schemas.openxmlformats.org/officeDocument/2006/relationships/hyperlink" Target="https://bdl.stat.gov.pl/BDL/dane/podgrup/temat" TargetMode="External"/><Relationship Id="rId47" Type="http://schemas.openxmlformats.org/officeDocument/2006/relationships/hyperlink" Target="http://stat.gov.pl/metainformacje/slownik-pojec/pojecia-stosowane-w-statystyce-publicznej/1317,pojecie.html" TargetMode="External"/><Relationship Id="rId50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s://bdl.stat.gov.pl/BDL/dane/podgrup/temat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metainformacje/slownik-pojec/pojecia-stosowane-w-statystyce-publicznej/707,pojecie.html" TargetMode="External"/><Relationship Id="rId37" Type="http://schemas.openxmlformats.org/officeDocument/2006/relationships/hyperlink" Target="http://stat.gov.pl/metainformacje/slownik-pojec/pojecia-stosowane-w-statystyce-publicznej/1313,pojecie.html" TargetMode="External"/><Relationship Id="rId40" Type="http://schemas.openxmlformats.org/officeDocument/2006/relationships/hyperlink" Target="http://stat.gov.pl/wskazniki-makroekonomiczne/" TargetMode="External"/><Relationship Id="rId45" Type="http://schemas.openxmlformats.org/officeDocument/2006/relationships/hyperlink" Target="http://stat.gov.pl/metainformacje/slownik-pojec/pojecia-stosowane-w-statystyce-publicznej/707,pojecie.html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metainformacje/slownik-pojec/pojecia-stosowane-w-statystyce-publicznej/700,pojecie.html" TargetMode="External"/><Relationship Id="rId44" Type="http://schemas.openxmlformats.org/officeDocument/2006/relationships/hyperlink" Target="http://stat.gov.pl/metainformacje/slownik-pojec/pojecia-stosowane-w-statystyce-publicznej/700,pojecie.html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hyperlink" Target="http://www.stat.gov.pl" TargetMode="External"/><Relationship Id="rId27" Type="http://schemas.openxmlformats.org/officeDocument/2006/relationships/hyperlink" Target="http://stat.gov.pl/wskazniki-makroekonomiczne/" TargetMode="External"/><Relationship Id="rId30" Type="http://schemas.openxmlformats.org/officeDocument/2006/relationships/hyperlink" Target="http://stat.gov.pl/metainformacje/slownik-pojec/pojecia-stosowane-w-statystyce-publicznej/362,pojecie.html" TargetMode="External"/><Relationship Id="rId35" Type="http://schemas.openxmlformats.org/officeDocument/2006/relationships/hyperlink" Target="http://stat.gov.pl/metainformacje/slownik-pojec/pojecia-stosowane-w-statystyce-publicznej/1314,pojecie.html" TargetMode="External"/><Relationship Id="rId43" Type="http://schemas.openxmlformats.org/officeDocument/2006/relationships/hyperlink" Target="http://stat.gov.pl/metainformacje/slownik-pojec/pojecia-stosowane-w-statystyce-publicznej/362,pojecie.html" TargetMode="External"/><Relationship Id="rId48" Type="http://schemas.openxmlformats.org/officeDocument/2006/relationships/hyperlink" Target="http://stat.gov.pl/metainformacje/slownik-pojec/pojecia-stosowane-w-statystyce-publicznej/1314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3" Type="http://schemas.openxmlformats.org/officeDocument/2006/relationships/hyperlink" Target="http://stat.gov.pl/metainformacje/slownik-pojec/pojecia-stosowane-w-statystyce-publicznej/356,pojecie.html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6" Type="http://schemas.openxmlformats.org/officeDocument/2006/relationships/hyperlink" Target="http://stat.gov.pl/metainformacje/slownik-pojec/pojecia-stosowane-w-statystyce-publicznej/356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357,pojecie.html" TargetMode="External"/><Relationship Id="rId49" Type="http://schemas.openxmlformats.org/officeDocument/2006/relationships/hyperlink" Target="http://stat.gov.pl/metainformacje/slownik-pojec/pojecia-stosowane-w-statystyce-publicznej/35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9056976"/>
        <c:axId val="1769050992"/>
      </c:lineChart>
      <c:catAx>
        <c:axId val="176905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69050992"/>
        <c:crossesAt val="100"/>
        <c:auto val="1"/>
        <c:lblAlgn val="ctr"/>
        <c:lblOffset val="100"/>
        <c:noMultiLvlLbl val="0"/>
      </c:catAx>
      <c:valAx>
        <c:axId val="1769050992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6905697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 2021'!$B$1</c:f>
              <c:strCache>
                <c:ptCount val="1"/>
                <c:pt idx="0">
                  <c:v>II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'II 2021'!$A$2:$A$13</c:f>
              <c:strCache>
                <c:ptCount val="12"/>
                <c:pt idx="0">
                  <c:v>Produkcja urządzeń elektrycznych</c:v>
                </c:pt>
                <c:pt idx="1">
                  <c:v>Gospodarka odpadami; odzysk surowców</c:v>
                </c:pt>
                <c:pt idx="2">
                  <c:v>Pozostała produkcja wyrobów</c:v>
                </c:pt>
                <c:pt idx="3">
                  <c:v>Produkcja komputerów, wyrobów elektronicznych 
i optycznych</c:v>
                </c:pt>
                <c:pt idx="4">
                  <c:v>Produkcja wyrobów z gumy i tworzyw sztucznych</c:v>
                </c:pt>
                <c:pt idx="5">
                  <c:v>Produkcja wyrobów z drewna, korka, słomy 
i wikliny</c:v>
                </c:pt>
                <c:pt idx="6">
                  <c:v>Produkcja odzieży</c:v>
                </c:pt>
                <c:pt idx="7">
                  <c:v>Produkcja napojów</c:v>
                </c:pt>
                <c:pt idx="8">
                  <c:v>Produkcja pozostałego sprzętu transportowego</c:v>
                </c:pt>
                <c:pt idx="9">
                  <c:v>Naprawa, konserwacja i instalowanie maszyn 
i urządzeń </c:v>
                </c:pt>
                <c:pt idx="10">
                  <c:v>Produkcja koksu i produktów rafinacji ropy naftowej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'II 2021'!$B$2:$B$13</c:f>
              <c:numCache>
                <c:formatCode>0.0_ ;[Red]\-0.0\ </c:formatCode>
                <c:ptCount val="12"/>
                <c:pt idx="0">
                  <c:v>111.6</c:v>
                </c:pt>
                <c:pt idx="1">
                  <c:v>104.1</c:v>
                </c:pt>
                <c:pt idx="2">
                  <c:v>111.7</c:v>
                </c:pt>
                <c:pt idx="3">
                  <c:v>105.2</c:v>
                </c:pt>
                <c:pt idx="4">
                  <c:v>105.8</c:v>
                </c:pt>
                <c:pt idx="5">
                  <c:v>104.5</c:v>
                </c:pt>
                <c:pt idx="6">
                  <c:v>92.9</c:v>
                </c:pt>
                <c:pt idx="7">
                  <c:v>112.3</c:v>
                </c:pt>
                <c:pt idx="8">
                  <c:v>116.4</c:v>
                </c:pt>
                <c:pt idx="9">
                  <c:v>120.7</c:v>
                </c:pt>
                <c:pt idx="10">
                  <c:v>106.2</c:v>
                </c:pt>
                <c:pt idx="11">
                  <c:v>118.6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 2021'!$C$1</c:f>
              <c:strCache>
                <c:ptCount val="1"/>
                <c:pt idx="0">
                  <c:v>II 2021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 2021'!$A$2:$A$13</c:f>
              <c:strCache>
                <c:ptCount val="12"/>
                <c:pt idx="0">
                  <c:v>Produkcja urządzeń elektrycznych</c:v>
                </c:pt>
                <c:pt idx="1">
                  <c:v>Gospodarka odpadami; odzysk surowców</c:v>
                </c:pt>
                <c:pt idx="2">
                  <c:v>Pozostała produkcja wyrobów</c:v>
                </c:pt>
                <c:pt idx="3">
                  <c:v>Produkcja komputerów, wyrobów elektronicznych 
i optycznych</c:v>
                </c:pt>
                <c:pt idx="4">
                  <c:v>Produkcja wyrobów z gumy i tworzyw sztucznych</c:v>
                </c:pt>
                <c:pt idx="5">
                  <c:v>Produkcja wyrobów z drewna, korka, słomy 
i wikliny</c:v>
                </c:pt>
                <c:pt idx="6">
                  <c:v>Produkcja odzieży</c:v>
                </c:pt>
                <c:pt idx="7">
                  <c:v>Produkcja napojów</c:v>
                </c:pt>
                <c:pt idx="8">
                  <c:v>Produkcja pozostałego sprzętu transportowego</c:v>
                </c:pt>
                <c:pt idx="9">
                  <c:v>Naprawa, konserwacja i instalowanie maszyn 
i urządzeń </c:v>
                </c:pt>
                <c:pt idx="10">
                  <c:v>Produkcja koksu i produktów rafinacji ropy naftowej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'II 2021'!$C$2:$C$13</c:f>
              <c:numCache>
                <c:formatCode>0.0_ ;[Red]\-0.0\ </c:formatCode>
                <c:ptCount val="12"/>
                <c:pt idx="0">
                  <c:v>141.4</c:v>
                </c:pt>
                <c:pt idx="1">
                  <c:v>115.9</c:v>
                </c:pt>
                <c:pt idx="2">
                  <c:v>112.8</c:v>
                </c:pt>
                <c:pt idx="3">
                  <c:v>112.6</c:v>
                </c:pt>
                <c:pt idx="4">
                  <c:v>109.6</c:v>
                </c:pt>
                <c:pt idx="5">
                  <c:v>107</c:v>
                </c:pt>
                <c:pt idx="6">
                  <c:v>89.7</c:v>
                </c:pt>
                <c:pt idx="7">
                  <c:v>88.6</c:v>
                </c:pt>
                <c:pt idx="8">
                  <c:v>83.5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9057520"/>
        <c:axId val="1769055888"/>
      </c:barChart>
      <c:catAx>
        <c:axId val="17690575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769055888"/>
        <c:crossesAt val="100"/>
        <c:auto val="1"/>
        <c:lblAlgn val="ctr"/>
        <c:lblOffset val="20"/>
        <c:noMultiLvlLbl val="0"/>
      </c:catAx>
      <c:valAx>
        <c:axId val="1769055888"/>
        <c:scaling>
          <c:orientation val="minMax"/>
          <c:max val="150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76905752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5451329453384E-2"/>
          <c:y val="3.3639143730886847E-2"/>
          <c:w val="0.90833824032865462"/>
          <c:h val="0.629744997471646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luty (2)'!$D$2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'wykres słupkowy - luty (2)'!$C$3:$C$19</c:f>
              <c:strCache>
                <c:ptCount val="17"/>
                <c:pt idx="0">
                  <c:v>I</c:v>
                </c:pt>
                <c:pt idx="1">
                  <c:v>II</c:v>
                </c:pt>
                <c:pt idx="3">
                  <c:v>I</c:v>
                </c:pt>
                <c:pt idx="4">
                  <c:v>II</c:v>
                </c:pt>
                <c:pt idx="6">
                  <c:v>I</c:v>
                </c:pt>
                <c:pt idx="7">
                  <c:v>II</c:v>
                </c:pt>
                <c:pt idx="9">
                  <c:v>I</c:v>
                </c:pt>
                <c:pt idx="10">
                  <c:v>II</c:v>
                </c:pt>
                <c:pt idx="12">
                  <c:v>I</c:v>
                </c:pt>
                <c:pt idx="13">
                  <c:v>II</c:v>
                </c:pt>
                <c:pt idx="15">
                  <c:v>I</c:v>
                </c:pt>
                <c:pt idx="16">
                  <c:v>II</c:v>
                </c:pt>
              </c:strCache>
            </c:strRef>
          </c:cat>
          <c:val>
            <c:numRef>
              <c:f>'wykres słupkowy - luty (2)'!$D$3:$D$19</c:f>
              <c:numCache>
                <c:formatCode>0.0_ ;[Red]\-0.0\ </c:formatCode>
                <c:ptCount val="17"/>
                <c:pt idx="0">
                  <c:v>112.1</c:v>
                </c:pt>
                <c:pt idx="1">
                  <c:v>118.6</c:v>
                </c:pt>
                <c:pt idx="3">
                  <c:v>91.1</c:v>
                </c:pt>
                <c:pt idx="4">
                  <c:v>104.1</c:v>
                </c:pt>
                <c:pt idx="6">
                  <c:v>105.4</c:v>
                </c:pt>
                <c:pt idx="7">
                  <c:v>112.3</c:v>
                </c:pt>
                <c:pt idx="9">
                  <c:v>105.5</c:v>
                </c:pt>
                <c:pt idx="10">
                  <c:v>111.6</c:v>
                </c:pt>
                <c:pt idx="12">
                  <c:v>91.3</c:v>
                </c:pt>
                <c:pt idx="13">
                  <c:v>103.3</c:v>
                </c:pt>
                <c:pt idx="15">
                  <c:v>102.8</c:v>
                </c:pt>
                <c:pt idx="16">
                  <c:v>100.6</c:v>
                </c:pt>
              </c:numCache>
            </c:numRef>
          </c:val>
        </c:ser>
        <c:ser>
          <c:idx val="1"/>
          <c:order val="1"/>
          <c:tx>
            <c:strRef>
              <c:f>'wykres słupkowy - luty (2)'!$E$2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'wykres słupkowy - luty (2)'!$C$3:$C$19</c:f>
              <c:strCache>
                <c:ptCount val="17"/>
                <c:pt idx="0">
                  <c:v>I</c:v>
                </c:pt>
                <c:pt idx="1">
                  <c:v>II</c:v>
                </c:pt>
                <c:pt idx="3">
                  <c:v>I</c:v>
                </c:pt>
                <c:pt idx="4">
                  <c:v>II</c:v>
                </c:pt>
                <c:pt idx="6">
                  <c:v>I</c:v>
                </c:pt>
                <c:pt idx="7">
                  <c:v>II</c:v>
                </c:pt>
                <c:pt idx="9">
                  <c:v>I</c:v>
                </c:pt>
                <c:pt idx="10">
                  <c:v>II</c:v>
                </c:pt>
                <c:pt idx="12">
                  <c:v>I</c:v>
                </c:pt>
                <c:pt idx="13">
                  <c:v>II</c:v>
                </c:pt>
                <c:pt idx="15">
                  <c:v>I</c:v>
                </c:pt>
                <c:pt idx="16">
                  <c:v>II</c:v>
                </c:pt>
              </c:strCache>
            </c:strRef>
          </c:cat>
          <c:val>
            <c:numRef>
              <c:f>'wykres słupkowy - luty (2)'!$E$3:$E$19</c:f>
              <c:numCache>
                <c:formatCode>0.0_ ;[Red]\-0.0\ </c:formatCode>
                <c:ptCount val="17"/>
                <c:pt idx="0">
                  <c:v>89.1</c:v>
                </c:pt>
                <c:pt idx="1">
                  <c:v>119.5</c:v>
                </c:pt>
                <c:pt idx="3">
                  <c:v>71</c:v>
                </c:pt>
                <c:pt idx="4">
                  <c:v>115.7</c:v>
                </c:pt>
                <c:pt idx="6">
                  <c:v>69.400000000000006</c:v>
                </c:pt>
                <c:pt idx="7">
                  <c:v>113.2</c:v>
                </c:pt>
                <c:pt idx="9">
                  <c:v>93.3</c:v>
                </c:pt>
                <c:pt idx="10">
                  <c:v>111</c:v>
                </c:pt>
                <c:pt idx="12">
                  <c:v>87.5</c:v>
                </c:pt>
                <c:pt idx="13">
                  <c:v>107</c:v>
                </c:pt>
                <c:pt idx="15">
                  <c:v>143.69999999999999</c:v>
                </c:pt>
                <c:pt idx="16">
                  <c:v>90.1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8"/>
        <c:overlap val="-36"/>
        <c:axId val="1769048816"/>
        <c:axId val="1769046640"/>
      </c:barChart>
      <c:catAx>
        <c:axId val="176904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69046640"/>
        <c:crossesAt val="100"/>
        <c:auto val="1"/>
        <c:lblAlgn val="ctr"/>
        <c:lblOffset val="100"/>
        <c:noMultiLvlLbl val="0"/>
      </c:catAx>
      <c:valAx>
        <c:axId val="1769046640"/>
        <c:scaling>
          <c:orientation val="minMax"/>
          <c:min val="60"/>
        </c:scaling>
        <c:delete val="0"/>
        <c:axPos val="l"/>
        <c:majorGridlines>
          <c:spPr>
            <a:ln w="9525" cap="flat" cmpd="sng" algn="ctr">
              <a:solidFill>
                <a:schemeClr val="bg2">
                  <a:lumMod val="90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6904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675292747528228"/>
          <c:y val="0.93157060618019405"/>
          <c:w val="0.21955896243115103"/>
          <c:h val="4.93363150608560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0.0348</cdr:x>
      <cdr:y>0.74164</cdr:y>
    </cdr:from>
    <cdr:to>
      <cdr:x>0.21393</cdr:x>
      <cdr:y>0.88245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91175" y="2959871"/>
          <a:ext cx="984094" cy="56197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skór                  i wyrobów skórzanych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0.22261</cdr:x>
      <cdr:y>0.74156</cdr:y>
    </cdr:from>
    <cdr:to>
      <cdr:x>0.35568</cdr:x>
      <cdr:y>0.90669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140330" y="2626157"/>
          <a:ext cx="681646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maszyn                    i urządzeń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0.3687</cdr:x>
      <cdr:y>0.7439</cdr:y>
    </cdr:from>
    <cdr:to>
      <cdr:x>0.51478</cdr:x>
      <cdr:y>0.85609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025514" y="2968905"/>
          <a:ext cx="802562" cy="44773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napojów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0.52522</cdr:x>
      <cdr:y>0.74193</cdr:y>
    </cdr:from>
    <cdr:to>
      <cdr:x>0.68471</cdr:x>
      <cdr:y>0.87866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690463" y="2627478"/>
          <a:ext cx="817012" cy="48421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urządzeń elektrycznych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0.6673</cdr:x>
      <cdr:y>0.74207</cdr:y>
    </cdr:from>
    <cdr:to>
      <cdr:x>0.86988</cdr:x>
      <cdr:y>0.88444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418292" y="2627974"/>
          <a:ext cx="1037702" cy="50418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farmaceutycznych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0.85913</cdr:x>
      <cdr:y>0.74157</cdr:y>
    </cdr:from>
    <cdr:to>
      <cdr:x>0.9911</cdr:x>
      <cdr:y>0.87193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4400931" y="2626192"/>
          <a:ext cx="676035" cy="461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metali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Informacja sygnalna - luty 2021 r.docx</NazwaPliku>
  </documentManagement>
</p:properties>
</file>

<file path=customXml/itemProps1.xml><?xml version="1.0" encoding="utf-8"?>
<ds:datastoreItem xmlns:ds="http://schemas.openxmlformats.org/officeDocument/2006/customXml" ds:itemID="{AF2C65CC-6267-4863-BB32-C2300CC2B0C0}"/>
</file>

<file path=customXml/itemProps2.xml><?xml version="1.0" encoding="utf-8"?>
<ds:datastoreItem xmlns:ds="http://schemas.openxmlformats.org/officeDocument/2006/customXml" ds:itemID="{0362EA14-8707-4127-9464-24B7D8356778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2021-03-16T09:47:00Z</dcterms:created>
  <dcterms:modified xsi:type="dcterms:W3CDTF">2021-03-16T09:47:00Z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2021-68718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Ślepowrońska Joanna</vt:lpwstr>
  </property>
  <property fmtid="{D5CDD505-2E9C-101B-9397-08002B2CF9AE}" pid="8" name="AutorInicjaly">
    <vt:lpwstr>ŚJ</vt:lpwstr>
  </property>
  <property fmtid="{D5CDD505-2E9C-101B-9397-08002B2CF9AE}" pid="9" name="AutorNrTelefonu">
    <vt:lpwstr>(022) 608-3492</vt:lpwstr>
  </property>
  <property fmtid="{D5CDD505-2E9C-101B-9397-08002B2CF9AE}" pid="10" name="Stanowisko">
    <vt:lpwstr>zastępca dyrektora departamentu</vt:lpwstr>
  </property>
  <property fmtid="{D5CDD505-2E9C-101B-9397-08002B2CF9AE}" pid="11" name="OpisPisma">
    <vt:lpwstr>Informacja sygnalna "Dynamika produkcji sprzedanej przemysłu w lutym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2021-03-18</vt:lpwstr>
  </property>
  <property fmtid="{D5CDD505-2E9C-101B-9397-08002B2CF9AE}" pid="15" name="Wydzial">
    <vt:lpwstr>Dyrektor Departamentu Przedsiębiorstw</vt:lpwstr>
  </property>
  <property fmtid="{D5CDD505-2E9C-101B-9397-08002B2CF9AE}" pid="16" name="KodWydzialu">
    <vt:lpwstr>PZ</vt:lpwstr>
  </property>
  <property fmtid="{D5CDD505-2E9C-101B-9397-08002B2CF9AE}" pid="17" name="ZaakceptowanePrzez">
    <vt:lpwstr>n/d</vt:lpwstr>
  </property>
  <property fmtid="{D5CDD505-2E9C-101B-9397-08002B2CF9AE}" pid="18" name="PrzekazanieDo">
    <vt:lpwstr>Beata Kaczorowska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Mierników Produkcji(PZ-04)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