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6B" w:rsidRPr="00E76D26" w:rsidRDefault="00276811" w:rsidP="00633014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>, b</w:t>
      </w:r>
      <w:r w:rsidR="00E76D26" w:rsidRPr="00E76D26">
        <w:t xml:space="preserve">udownictwie, handlu i usługach </w:t>
      </w:r>
      <w:r w:rsidR="00F601A3">
        <w:t xml:space="preserve">– </w:t>
      </w:r>
      <w:r w:rsidR="00B46194">
        <w:t>lipiec</w:t>
      </w:r>
      <w:r w:rsidR="00F601A3">
        <w:t xml:space="preserve"> 202</w:t>
      </w:r>
      <w:r w:rsidR="00194B6A">
        <w:t>1</w:t>
      </w:r>
      <w:r w:rsidR="00003437">
        <w:t xml:space="preserve"> r.</w:t>
      </w:r>
    </w:p>
    <w:p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BC3C8E" w:rsidRDefault="0091017C" w:rsidP="00E33B50">
      <w:pPr>
        <w:pStyle w:val="LID"/>
      </w:pPr>
      <w:r w:rsidRPr="00146507">
        <w:drawing>
          <wp:anchor distT="0" distB="0" distL="114300" distR="114300" simplePos="0" relativeHeight="252268544" behindDoc="0" locked="0" layoutInCell="1" allowOverlap="1" wp14:anchorId="5C3E06CB" wp14:editId="24CB29EC">
            <wp:simplePos x="0" y="0"/>
            <wp:positionH relativeFrom="page">
              <wp:posOffset>5722620</wp:posOffset>
            </wp:positionH>
            <wp:positionV relativeFrom="paragraph">
              <wp:posOffset>658495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12E" w:rsidRPr="00146507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1CFD01" wp14:editId="16231DE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47" w:rsidRPr="00B66B19" w:rsidRDefault="00BB674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-1,4</w:t>
                            </w:r>
                          </w:p>
                          <w:p w:rsidR="00BB6747" w:rsidRPr="007D3319" w:rsidRDefault="00BB6747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:rsidR="00BB6747" w:rsidRPr="007D3319" w:rsidRDefault="00BB6747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CFD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55pt;width:177.4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" fillcolor="#001d77" stroked="f">
                <v:textbox>
                  <w:txbxContent>
                    <w:p w:rsidR="00BB6747" w:rsidRPr="00B66B19" w:rsidRDefault="00BB674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-1,4</w:t>
                      </w:r>
                    </w:p>
                    <w:p w:rsidR="00BB6747" w:rsidRPr="007D3319" w:rsidRDefault="00BB6747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:rsidR="00BB6747" w:rsidRPr="007D3319" w:rsidRDefault="00BB6747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75EC" w:rsidRPr="00146507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129D89E0" wp14:editId="40BF1F35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47" w:rsidRPr="00F22FBF" w:rsidRDefault="00BB6747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89E0" id="Pole tekstowe 4" o:spid="_x0000_s1027" type="#_x0000_t202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QvQqnN4AAAAJAQAADwAAAAAAAAAAAAAAAABrBAAAZHJzL2Rvd25yZXYueG1sUEsFBgAAAAAEAAQA&#10;8wAAAHYFAAAAAA==&#10;" filled="f" stroked="f">
                <v:textbox>
                  <w:txbxContent>
                    <w:p w:rsidR="00BB6747" w:rsidRPr="00F22FBF" w:rsidRDefault="00BB6747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6507" w:rsidRPr="00146507">
        <w:t xml:space="preserve">W </w:t>
      </w:r>
      <w:r w:rsidR="00697AFB">
        <w:t>lipcu</w:t>
      </w:r>
      <w:r w:rsidR="00146507" w:rsidRPr="00146507">
        <w:t xml:space="preserve"> br. wskaźnik ogólnego klimatu koniunktury w </w:t>
      </w:r>
      <w:r w:rsidR="00241B2E">
        <w:t>większości</w:t>
      </w:r>
      <w:r w:rsidR="00146507" w:rsidRPr="00146507">
        <w:t xml:space="preserve"> prezentowanych obszar</w:t>
      </w:r>
      <w:r w:rsidR="00241B2E">
        <w:t>ów</w:t>
      </w:r>
      <w:r w:rsidR="00146507" w:rsidRPr="00146507">
        <w:t xml:space="preserve"> gospodarki </w:t>
      </w:r>
      <w:r w:rsidR="00846FD5">
        <w:t xml:space="preserve">kształtuje się na </w:t>
      </w:r>
      <w:r w:rsidR="00146507" w:rsidRPr="00146507">
        <w:t xml:space="preserve">poziomie </w:t>
      </w:r>
      <w:r w:rsidR="00697AFB">
        <w:t xml:space="preserve">zbliżonym do notowanego </w:t>
      </w:r>
      <w:r w:rsidR="00146507" w:rsidRPr="00146507">
        <w:t xml:space="preserve">w </w:t>
      </w:r>
      <w:r w:rsidR="00697AFB">
        <w:t xml:space="preserve">czerwcu </w:t>
      </w:r>
      <w:r w:rsidR="00146507" w:rsidRPr="00DF26A9">
        <w:t xml:space="preserve">br. </w:t>
      </w:r>
      <w:r w:rsidR="00697AFB">
        <w:t>W </w:t>
      </w:r>
      <w:r w:rsidR="00BA332D">
        <w:t xml:space="preserve">większości </w:t>
      </w:r>
      <w:r w:rsidR="00BC3C8E" w:rsidRPr="00DF26A9">
        <w:t>badanych obszar</w:t>
      </w:r>
      <w:r w:rsidR="00BA332D">
        <w:t>ów</w:t>
      </w:r>
      <w:r w:rsidR="00BC3C8E" w:rsidRPr="00DF26A9">
        <w:t xml:space="preserve"> odnotowuje się poprawę </w:t>
      </w:r>
      <w:r w:rsidR="0097427D" w:rsidRPr="00DF26A9">
        <w:t xml:space="preserve">składowych </w:t>
      </w:r>
      <w:r w:rsidR="00BA332D" w:rsidRPr="00DF26A9">
        <w:t>„diagnostycznych”</w:t>
      </w:r>
      <w:r w:rsidR="00084CB5">
        <w:t>,</w:t>
      </w:r>
      <w:r w:rsidR="00BA332D" w:rsidRPr="00DF26A9">
        <w:t xml:space="preserve"> </w:t>
      </w:r>
      <w:r w:rsidR="00697AFB">
        <w:t xml:space="preserve">natomiast w przypadku „prognostycznych” </w:t>
      </w:r>
      <w:r w:rsidR="002639C3">
        <w:t xml:space="preserve">– </w:t>
      </w:r>
      <w:r w:rsidR="00697AFB" w:rsidRPr="00697AFB">
        <w:t>brak zmian</w:t>
      </w:r>
      <w:r w:rsidR="00503D60">
        <w:t xml:space="preserve"> lub pogorszenie</w:t>
      </w:r>
      <w:r w:rsidR="002639C3">
        <w:t>.</w:t>
      </w:r>
    </w:p>
    <w:p w:rsidR="00E54269" w:rsidRDefault="008C32DD" w:rsidP="00E33B50">
      <w:pPr>
        <w:pStyle w:val="LID"/>
      </w:pPr>
      <w:r>
        <w:t xml:space="preserve">Najlepiej i jednocześnie </w:t>
      </w:r>
      <w:r w:rsidR="00EA3E3E">
        <w:t>k</w:t>
      </w:r>
      <w:r w:rsidR="00B97839">
        <w:t>orzystnie</w:t>
      </w:r>
      <w:r w:rsidR="007F79AB">
        <w:rPr>
          <w:rStyle w:val="Odwoanieprzypisudolnego"/>
        </w:rPr>
        <w:footnoteReference w:id="1"/>
      </w:r>
      <w:r w:rsidR="00B97839">
        <w:t xml:space="preserve"> koniunkturę oceniają jednostki z sekcji </w:t>
      </w:r>
      <w:r w:rsidR="002D700F">
        <w:t>informacja i </w:t>
      </w:r>
      <w:r w:rsidR="00AD1BB0">
        <w:t>komunikacja</w:t>
      </w:r>
      <w:r w:rsidR="004D126E">
        <w:t>, natomiast n</w:t>
      </w:r>
      <w:r w:rsidR="00537F05" w:rsidRPr="00537F05">
        <w:t>ajbardziej pesymistyczn</w:t>
      </w:r>
      <w:r w:rsidR="004D126E">
        <w:t>i</w:t>
      </w:r>
      <w:r w:rsidR="00537F05" w:rsidRPr="00537F05">
        <w:t xml:space="preserve">e </w:t>
      </w:r>
      <w:r w:rsidR="004D126E">
        <w:t>–</w:t>
      </w:r>
      <w:r w:rsidR="0039574C">
        <w:t xml:space="preserve"> podmioty z </w:t>
      </w:r>
      <w:r w:rsidR="00537F05" w:rsidRPr="00537F05">
        <w:t xml:space="preserve">sekcji </w:t>
      </w:r>
      <w:r w:rsidR="004D126E">
        <w:t>budownictwo</w:t>
      </w:r>
      <w:r w:rsidR="005A6368">
        <w:t xml:space="preserve">. </w:t>
      </w:r>
    </w:p>
    <w:p w:rsidR="009573A7" w:rsidRDefault="0029717B" w:rsidP="0036698B">
      <w:pPr>
        <w:pStyle w:val="LID"/>
      </w:pPr>
      <w:r>
        <w:t xml:space="preserve">Do badania za </w:t>
      </w:r>
      <w:r w:rsidR="000013CF">
        <w:t>bieżący miesiąc</w:t>
      </w:r>
      <w:r>
        <w:t xml:space="preserve">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007037">
        <w:t>lipca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="004257AE" w:rsidRPr="008D372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:rsidR="00E011CF" w:rsidRPr="00083125" w:rsidRDefault="001E3B78" w:rsidP="00A82134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49D93AF4" wp14:editId="25C104D1">
            <wp:simplePos x="0" y="0"/>
            <wp:positionH relativeFrom="margin">
              <wp:align>left</wp:align>
            </wp:positionH>
            <wp:positionV relativeFrom="paragraph">
              <wp:posOffset>79917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:rsidR="004A1693" w:rsidRDefault="00BF3746" w:rsidP="00C33ADA">
      <w:r w:rsidRPr="00CB383C">
        <w:rPr>
          <w:noProof/>
          <w:lang w:eastAsia="pl-PL"/>
        </w:rPr>
        <w:drawing>
          <wp:anchor distT="0" distB="0" distL="114300" distR="114300" simplePos="0" relativeHeight="2529351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416560</wp:posOffset>
            </wp:positionV>
            <wp:extent cx="5122545" cy="1583690"/>
            <wp:effectExtent l="0" t="0" r="0" b="0"/>
            <wp:wrapTopAndBottom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83C" w:rsidRPr="00CB383C">
        <w:rPr>
          <w:noProof/>
          <w:lang w:eastAsia="pl-PL"/>
        </w:rPr>
        <w:drawing>
          <wp:anchor distT="0" distB="0" distL="114300" distR="114300" simplePos="0" relativeHeight="252936192" behindDoc="0" locked="0" layoutInCell="1" allowOverlap="1">
            <wp:simplePos x="0" y="0"/>
            <wp:positionH relativeFrom="column">
              <wp:posOffset>5303520</wp:posOffset>
            </wp:positionH>
            <wp:positionV relativeFrom="paragraph">
              <wp:posOffset>309880</wp:posOffset>
            </wp:positionV>
            <wp:extent cx="1584000" cy="1854000"/>
            <wp:effectExtent l="0" t="0" r="0" b="0"/>
            <wp:wrapTopAndBottom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007037">
        <w:rPr>
          <w:rFonts w:ascii="Fira Sans" w:hAnsi="Fira Sans"/>
          <w:noProof/>
          <w:spacing w:val="-4"/>
          <w:sz w:val="19"/>
          <w:szCs w:val="19"/>
          <w:lang w:eastAsia="pl-PL"/>
        </w:rPr>
        <w:t>lipcu</w:t>
      </w:r>
      <w:r w:rsidR="0032738E" w:rsidRPr="0032738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007037">
        <w:rPr>
          <w:rFonts w:ascii="Fira Sans" w:hAnsi="Fira Sans"/>
          <w:noProof/>
          <w:spacing w:val="-4"/>
          <w:sz w:val="19"/>
          <w:szCs w:val="19"/>
          <w:lang w:eastAsia="pl-PL"/>
        </w:rPr>
        <w:t>1,4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– </w:t>
      </w:r>
      <w:r w:rsidR="00E3044F" w:rsidRPr="00E3044F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zbliżonym do </w:t>
      </w:r>
      <w:r w:rsidR="00AA419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notowanego w </w:t>
      </w:r>
      <w:r w:rsidR="00007037">
        <w:rPr>
          <w:rFonts w:ascii="Fira Sans" w:hAnsi="Fira Sans"/>
          <w:noProof/>
          <w:spacing w:val="-4"/>
          <w:sz w:val="19"/>
          <w:szCs w:val="19"/>
          <w:lang w:eastAsia="pl-PL"/>
        </w:rPr>
        <w:t>czerwcu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007037">
        <w:rPr>
          <w:rFonts w:ascii="Fira Sans" w:hAnsi="Fira Sans"/>
          <w:noProof/>
          <w:spacing w:val="-4"/>
          <w:sz w:val="19"/>
          <w:szCs w:val="19"/>
          <w:lang w:eastAsia="pl-PL"/>
        </w:rPr>
        <w:t>0,6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719B3" w:rsidRPr="005719B3">
        <w:t xml:space="preserve"> </w:t>
      </w:r>
    </w:p>
    <w:p w:rsidR="00E011CF" w:rsidRPr="00083125" w:rsidRDefault="00BF3746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746015A6" wp14:editId="28F1B65D">
            <wp:simplePos x="0" y="0"/>
            <wp:positionH relativeFrom="margin">
              <wp:align>left</wp:align>
            </wp:positionH>
            <wp:positionV relativeFrom="paragraph">
              <wp:posOffset>1645920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  <w:r w:rsidR="006903BA" w:rsidRPr="006903BA">
        <w:rPr>
          <w:bCs w:val="0"/>
          <w:spacing w:val="-2"/>
          <w:szCs w:val="19"/>
        </w:rPr>
        <w:t xml:space="preserve"> </w:t>
      </w:r>
    </w:p>
    <w:p w:rsidR="00AC619B" w:rsidRPr="00AC619B" w:rsidRDefault="006444F1" w:rsidP="00AC619B">
      <w:pPr>
        <w:spacing w:before="120" w:after="120"/>
        <w:rPr>
          <w:noProof/>
        </w:rPr>
      </w:pPr>
      <w:r w:rsidRPr="006444F1">
        <w:rPr>
          <w:noProof/>
          <w:lang w:eastAsia="pl-PL"/>
        </w:rPr>
        <w:drawing>
          <wp:anchor distT="0" distB="0" distL="114300" distR="114300" simplePos="0" relativeHeight="252938240" behindDoc="0" locked="0" layoutInCell="1" allowOverlap="1">
            <wp:simplePos x="0" y="0"/>
            <wp:positionH relativeFrom="page">
              <wp:posOffset>5760720</wp:posOffset>
            </wp:positionH>
            <wp:positionV relativeFrom="paragraph">
              <wp:posOffset>268605</wp:posOffset>
            </wp:positionV>
            <wp:extent cx="1583690" cy="1853565"/>
            <wp:effectExtent l="0" t="0" r="0" b="0"/>
            <wp:wrapTopAndBottom/>
            <wp:docPr id="27" name="Obraz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4F1">
        <w:rPr>
          <w:noProof/>
          <w:lang w:eastAsia="pl-PL"/>
        </w:rPr>
        <w:drawing>
          <wp:anchor distT="0" distB="0" distL="114300" distR="114300" simplePos="0" relativeHeight="2529372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392538</wp:posOffset>
            </wp:positionV>
            <wp:extent cx="5122800" cy="1584000"/>
            <wp:effectExtent l="0" t="0" r="0" b="0"/>
            <wp:wrapTopAndBottom/>
            <wp:docPr id="19" name="Obraz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44F" w:rsidRPr="00E3044F">
        <w:rPr>
          <w:rFonts w:ascii="Fira Sans" w:hAnsi="Fira Sans"/>
          <w:noProof/>
          <w:spacing w:val="-4"/>
          <w:sz w:val="19"/>
          <w:szCs w:val="19"/>
          <w:lang w:eastAsia="pl-PL"/>
        </w:rPr>
        <w:t>W lipcu wskaźnik ogólnego klimatu koniunktury (NSA) kształtuje się na poziomie minus 4,9 – zbliżonym do notowanego w czerwcu (minus 5,5).</w:t>
      </w:r>
      <w:r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506FD7" w:rsidRDefault="00E011CF" w:rsidP="00E011CF">
      <w:pPr>
        <w:pStyle w:val="tytuwykresu"/>
      </w:pP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65891080" wp14:editId="4078084F">
            <wp:simplePos x="0" y="0"/>
            <wp:positionH relativeFrom="margin">
              <wp:align>left</wp:align>
            </wp:positionH>
            <wp:positionV relativeFrom="paragraph">
              <wp:posOffset>11771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D46DAF" w:rsidRPr="00083125">
        <w:rPr>
          <w:spacing w:val="-2"/>
          <w:szCs w:val="19"/>
        </w:rPr>
        <w:t>(wykres 3)</w:t>
      </w:r>
    </w:p>
    <w:p w:rsidR="00E011CF" w:rsidRPr="009E4ACC" w:rsidRDefault="00BB6747" w:rsidP="00C33455">
      <w:pPr>
        <w:spacing w:before="120" w:after="120"/>
        <w:ind w:left="1134"/>
        <w:rPr>
          <w:lang w:eastAsia="pl-PL"/>
        </w:rPr>
      </w:pPr>
      <w:r w:rsidRPr="00BB6747">
        <w:rPr>
          <w:noProof/>
          <w:lang w:eastAsia="pl-PL"/>
        </w:rPr>
        <w:drawing>
          <wp:anchor distT="0" distB="0" distL="114300" distR="114300" simplePos="0" relativeHeight="252940288" behindDoc="0" locked="0" layoutInCell="1" allowOverlap="1">
            <wp:simplePos x="0" y="0"/>
            <wp:positionH relativeFrom="column">
              <wp:posOffset>5261610</wp:posOffset>
            </wp:positionH>
            <wp:positionV relativeFrom="paragraph">
              <wp:posOffset>278765</wp:posOffset>
            </wp:positionV>
            <wp:extent cx="1584000" cy="1854000"/>
            <wp:effectExtent l="0" t="0" r="0" b="0"/>
            <wp:wrapTopAndBottom/>
            <wp:docPr id="29" name="Obraz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747">
        <w:rPr>
          <w:noProof/>
          <w:lang w:eastAsia="pl-PL"/>
        </w:rPr>
        <w:drawing>
          <wp:anchor distT="0" distB="0" distL="114300" distR="114300" simplePos="0" relativeHeight="25293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399151</wp:posOffset>
            </wp:positionV>
            <wp:extent cx="5122800" cy="1584000"/>
            <wp:effectExtent l="0" t="0" r="0" b="0"/>
            <wp:wrapTopAndBottom/>
            <wp:docPr id="28" name="Obraz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727" w:rsidRPr="0021372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213727">
        <w:rPr>
          <w:rFonts w:ascii="Fira Sans" w:hAnsi="Fira Sans"/>
          <w:noProof/>
          <w:spacing w:val="-4"/>
          <w:sz w:val="19"/>
          <w:szCs w:val="19"/>
          <w:lang w:eastAsia="pl-PL"/>
        </w:rPr>
        <w:t>lipcu</w:t>
      </w:r>
      <w:r w:rsidR="00213727" w:rsidRPr="0021372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wskaźnik ogólnego klimatu koniunktury (NSA) kształtuje się na poziomie plus 8,2 – niższym niż w czerwcu (plus 9,7).</w:t>
      </w:r>
      <w:r w:rsidR="00340C09" w:rsidRPr="00340C09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083125" w:rsidRDefault="00340C09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22CD26FD" wp14:editId="17A01C81">
            <wp:simplePos x="0" y="0"/>
            <wp:positionH relativeFrom="margin">
              <wp:align>left</wp:align>
            </wp:positionH>
            <wp:positionV relativeFrom="paragraph">
              <wp:posOffset>81783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:rsidR="000F4EBC" w:rsidRDefault="00BB6747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BB6747">
        <w:rPr>
          <w:noProof/>
          <w:lang w:eastAsia="pl-PL"/>
        </w:rPr>
        <w:drawing>
          <wp:anchor distT="0" distB="0" distL="114300" distR="114300" simplePos="0" relativeHeight="252942336" behindDoc="0" locked="0" layoutInCell="1" allowOverlap="1">
            <wp:simplePos x="0" y="0"/>
            <wp:positionH relativeFrom="column">
              <wp:posOffset>5259705</wp:posOffset>
            </wp:positionH>
            <wp:positionV relativeFrom="paragraph">
              <wp:posOffset>246380</wp:posOffset>
            </wp:positionV>
            <wp:extent cx="1583055" cy="1798320"/>
            <wp:effectExtent l="0" t="0" r="0" b="0"/>
            <wp:wrapTopAndBottom/>
            <wp:docPr id="47" name="Obraz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747">
        <w:rPr>
          <w:noProof/>
          <w:lang w:eastAsia="pl-PL"/>
        </w:rPr>
        <w:drawing>
          <wp:anchor distT="0" distB="0" distL="114300" distR="114300" simplePos="0" relativeHeight="25294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361470</wp:posOffset>
            </wp:positionV>
            <wp:extent cx="5122800" cy="1584000"/>
            <wp:effectExtent l="0" t="0" r="0" b="0"/>
            <wp:wrapTopAndBottom/>
            <wp:docPr id="33" name="Obraz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727" w:rsidRPr="00213727">
        <w:rPr>
          <w:rFonts w:ascii="Fira Sans" w:hAnsi="Fira Sans"/>
          <w:noProof/>
          <w:spacing w:val="-4"/>
          <w:sz w:val="19"/>
          <w:szCs w:val="19"/>
          <w:lang w:eastAsia="pl-PL"/>
        </w:rPr>
        <w:t>W lipcu wskaźnik ogólnego klimatu koniunktury (NSA) kształtuje się na poziomie minus 0,6 – niższym niż przed miesiącem (plus 0,6).</w:t>
      </w:r>
      <w:r w:rsidR="00AB6123">
        <w:rPr>
          <w:rFonts w:ascii="Fira Sans" w:hAnsi="Fira Sans"/>
          <w:spacing w:val="-4"/>
          <w:sz w:val="19"/>
          <w:szCs w:val="19"/>
        </w:rPr>
        <w:t xml:space="preserve"> </w:t>
      </w:r>
    </w:p>
    <w:p w:rsidR="005F2ED2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53EC5C07" wp14:editId="005CBB75">
            <wp:simplePos x="0" y="0"/>
            <wp:positionH relativeFrom="margin">
              <wp:align>left</wp:align>
            </wp:positionH>
            <wp:positionV relativeFrom="paragraph">
              <wp:posOffset>2090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:rsidR="001857EF" w:rsidRPr="001857EF" w:rsidRDefault="00776DBA" w:rsidP="000B24BC">
      <w:pPr>
        <w:spacing w:before="120" w:after="120"/>
        <w:ind w:left="1134" w:hanging="1134"/>
        <w:rPr>
          <w:noProof/>
        </w:rPr>
      </w:pPr>
      <w:r w:rsidRPr="00776DBA">
        <w:rPr>
          <w:noProof/>
          <w:lang w:eastAsia="pl-PL"/>
        </w:rPr>
        <w:drawing>
          <wp:anchor distT="0" distB="0" distL="114300" distR="114300" simplePos="0" relativeHeight="252944384" behindDoc="0" locked="0" layoutInCell="1" allowOverlap="1">
            <wp:simplePos x="0" y="0"/>
            <wp:positionH relativeFrom="column">
              <wp:posOffset>5259705</wp:posOffset>
            </wp:positionH>
            <wp:positionV relativeFrom="paragraph">
              <wp:posOffset>313055</wp:posOffset>
            </wp:positionV>
            <wp:extent cx="1583055" cy="1813560"/>
            <wp:effectExtent l="0" t="0" r="0" b="0"/>
            <wp:wrapTopAndBottom/>
            <wp:docPr id="52" name="Obraz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DBA">
        <w:rPr>
          <w:noProof/>
          <w:lang w:eastAsia="pl-PL"/>
        </w:rPr>
        <w:drawing>
          <wp:anchor distT="0" distB="0" distL="114300" distR="114300" simplePos="0" relativeHeight="25294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435299</wp:posOffset>
            </wp:positionV>
            <wp:extent cx="5122800" cy="1584000"/>
            <wp:effectExtent l="0" t="0" r="0" b="0"/>
            <wp:wrapTopAndBottom/>
            <wp:docPr id="51" name="Obraz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 </w:t>
      </w:r>
      <w:r w:rsidR="00213727" w:rsidRPr="0021372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lipcu 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12053">
        <w:rPr>
          <w:rFonts w:ascii="Fira Sans" w:hAnsi="Fira Sans"/>
          <w:spacing w:val="-4"/>
          <w:sz w:val="19"/>
          <w:szCs w:val="19"/>
        </w:rPr>
        <w:t>plus</w:t>
      </w:r>
      <w:r w:rsidR="00745E5B">
        <w:rPr>
          <w:rFonts w:ascii="Fira Sans" w:hAnsi="Fira Sans"/>
          <w:spacing w:val="-4"/>
          <w:sz w:val="19"/>
          <w:szCs w:val="19"/>
        </w:rPr>
        <w:t xml:space="preserve"> </w:t>
      </w:r>
      <w:r w:rsidR="00213727">
        <w:rPr>
          <w:rFonts w:ascii="Fira Sans" w:hAnsi="Fira Sans"/>
          <w:spacing w:val="-4"/>
          <w:sz w:val="19"/>
          <w:szCs w:val="19"/>
        </w:rPr>
        <w:t>6,2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1F29C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94F6A">
        <w:rPr>
          <w:rFonts w:ascii="Fira Sans" w:hAnsi="Fira Sans"/>
          <w:noProof/>
          <w:spacing w:val="-4"/>
          <w:sz w:val="19"/>
          <w:szCs w:val="19"/>
          <w:lang w:eastAsia="pl-PL"/>
        </w:rPr>
        <w:t>zbliżonym do notowanego</w:t>
      </w:r>
      <w:r w:rsidR="0086545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CC63C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21372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czerwcu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B56436">
        <w:rPr>
          <w:rFonts w:ascii="Fira Sans" w:hAnsi="Fira Sans"/>
          <w:spacing w:val="-4"/>
          <w:sz w:val="19"/>
          <w:szCs w:val="19"/>
        </w:rPr>
        <w:t xml:space="preserve">plus </w:t>
      </w:r>
      <w:r w:rsidR="00213727">
        <w:rPr>
          <w:rFonts w:ascii="Fira Sans" w:hAnsi="Fira Sans"/>
          <w:spacing w:val="-4"/>
          <w:sz w:val="19"/>
          <w:szCs w:val="19"/>
        </w:rPr>
        <w:t>5,9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2477B2" w:rsidRDefault="002477B2">
      <w:pPr>
        <w:spacing w:line="259" w:lineRule="auto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br w:type="page"/>
      </w:r>
    </w:p>
    <w:p w:rsidR="00E011CF" w:rsidRPr="00083125" w:rsidRDefault="000F486C" w:rsidP="00642AE9">
      <w:pPr>
        <w:pStyle w:val="Nagwek1"/>
        <w:ind w:firstLine="1134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19EB237E" wp14:editId="30634BA0">
            <wp:simplePos x="0" y="0"/>
            <wp:positionH relativeFrom="margin">
              <wp:posOffset>14131</wp:posOffset>
            </wp:positionH>
            <wp:positionV relativeFrom="paragraph">
              <wp:posOffset>183373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Zakwaterowanie i g</w:t>
      </w:r>
      <w:r w:rsidR="00CB6289">
        <w:t xml:space="preserve">astronomia </w:t>
      </w:r>
      <w:r w:rsidR="00D46DAF" w:rsidRPr="00083125">
        <w:t>(wykres 6)</w:t>
      </w:r>
    </w:p>
    <w:p w:rsidR="009F66B2" w:rsidRPr="00C72CB8" w:rsidRDefault="009C2641" w:rsidP="009F66B2">
      <w:pPr>
        <w:spacing w:before="120" w:after="120"/>
        <w:rPr>
          <w:noProof/>
        </w:rPr>
      </w:pPr>
      <w:r w:rsidRPr="009C2641">
        <w:rPr>
          <w:noProof/>
          <w:lang w:eastAsia="pl-PL"/>
        </w:rPr>
        <w:drawing>
          <wp:anchor distT="0" distB="0" distL="114300" distR="114300" simplePos="0" relativeHeight="252946432" behindDoc="0" locked="0" layoutInCell="1" allowOverlap="1">
            <wp:simplePos x="0" y="0"/>
            <wp:positionH relativeFrom="column">
              <wp:posOffset>5242560</wp:posOffset>
            </wp:positionH>
            <wp:positionV relativeFrom="paragraph">
              <wp:posOffset>571500</wp:posOffset>
            </wp:positionV>
            <wp:extent cx="1569600" cy="1854000"/>
            <wp:effectExtent l="0" t="0" r="0" b="0"/>
            <wp:wrapTopAndBottom/>
            <wp:docPr id="54" name="Obraz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641">
        <w:rPr>
          <w:noProof/>
          <w:lang w:eastAsia="pl-PL"/>
        </w:rPr>
        <w:drawing>
          <wp:anchor distT="0" distB="0" distL="114300" distR="114300" simplePos="0" relativeHeight="25294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684794</wp:posOffset>
            </wp:positionV>
            <wp:extent cx="5122800" cy="1584000"/>
            <wp:effectExtent l="0" t="0" r="0" b="0"/>
            <wp:wrapTopAndBottom/>
            <wp:docPr id="53" name="Obraz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Wskaźnik </w:t>
      </w:r>
      <w:r w:rsidR="00FF796D" w:rsidRPr="009F66B2">
        <w:rPr>
          <w:rFonts w:ascii="Fira Sans" w:hAnsi="Fira Sans"/>
          <w:spacing w:val="-4"/>
          <w:sz w:val="19"/>
          <w:szCs w:val="19"/>
        </w:rPr>
        <w:t xml:space="preserve">ogólnego klimatu koniunktury (NSA) kształtuje się </w:t>
      </w:r>
      <w:r w:rsidR="00FF796D">
        <w:rPr>
          <w:rFonts w:ascii="Fira Sans" w:hAnsi="Fira Sans"/>
          <w:spacing w:val="-4"/>
          <w:sz w:val="19"/>
          <w:szCs w:val="19"/>
        </w:rPr>
        <w:t xml:space="preserve">w </w:t>
      </w:r>
      <w:r w:rsidR="00DD2725">
        <w:rPr>
          <w:rFonts w:ascii="Fira Sans" w:hAnsi="Fira Sans"/>
          <w:spacing w:val="-4"/>
          <w:sz w:val="19"/>
          <w:szCs w:val="19"/>
        </w:rPr>
        <w:t>lipcu</w:t>
      </w:r>
      <w:r w:rsidR="00451A8D">
        <w:rPr>
          <w:rFonts w:ascii="Fira Sans" w:hAnsi="Fira Sans"/>
          <w:spacing w:val="-4"/>
          <w:sz w:val="19"/>
          <w:szCs w:val="19"/>
        </w:rPr>
        <w:t xml:space="preserve"> </w:t>
      </w:r>
      <w:r w:rsidR="00FF796D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E53455">
        <w:rPr>
          <w:rFonts w:ascii="Fira Sans" w:hAnsi="Fira Sans"/>
          <w:spacing w:val="-4"/>
          <w:sz w:val="19"/>
          <w:szCs w:val="19"/>
        </w:rPr>
        <w:t>plus</w:t>
      </w:r>
      <w:r w:rsidR="00FF796D">
        <w:rPr>
          <w:rFonts w:ascii="Fira Sans" w:hAnsi="Fira Sans"/>
          <w:spacing w:val="-4"/>
          <w:sz w:val="19"/>
          <w:szCs w:val="19"/>
        </w:rPr>
        <w:t xml:space="preserve"> </w:t>
      </w:r>
      <w:r w:rsidR="00DD2725">
        <w:rPr>
          <w:rFonts w:ascii="Fira Sans" w:hAnsi="Fira Sans"/>
          <w:spacing w:val="-4"/>
          <w:sz w:val="19"/>
          <w:szCs w:val="19"/>
        </w:rPr>
        <w:t>5,3</w:t>
      </w:r>
      <w:r w:rsidR="00FF796D">
        <w:rPr>
          <w:rFonts w:ascii="Fira Sans" w:hAnsi="Fira Sans"/>
          <w:spacing w:val="-4"/>
          <w:sz w:val="19"/>
          <w:szCs w:val="19"/>
        </w:rPr>
        <w:t xml:space="preserve"> wobec </w:t>
      </w:r>
      <w:r w:rsidR="00DD2725">
        <w:rPr>
          <w:rFonts w:ascii="Fira Sans" w:hAnsi="Fira Sans"/>
          <w:spacing w:val="-4"/>
          <w:sz w:val="19"/>
          <w:szCs w:val="19"/>
        </w:rPr>
        <w:t xml:space="preserve">plus 3,1 </w:t>
      </w:r>
      <w:r w:rsidR="00F74004">
        <w:rPr>
          <w:rFonts w:ascii="Fira Sans" w:hAnsi="Fira Sans"/>
          <w:spacing w:val="-4"/>
          <w:sz w:val="19"/>
          <w:szCs w:val="19"/>
        </w:rPr>
        <w:t>przed miesiącem</w:t>
      </w:r>
      <w:r w:rsidR="00BF1315">
        <w:rPr>
          <w:rFonts w:ascii="Fira Sans" w:hAnsi="Fira Sans"/>
          <w:spacing w:val="-4"/>
          <w:sz w:val="19"/>
          <w:szCs w:val="19"/>
        </w:rPr>
        <w:t>.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Podmioty </w:t>
      </w:r>
      <w:r w:rsidR="00AD7696">
        <w:rPr>
          <w:rFonts w:ascii="Fira Sans" w:hAnsi="Fira Sans"/>
          <w:spacing w:val="-4"/>
          <w:sz w:val="19"/>
          <w:szCs w:val="19"/>
        </w:rPr>
        <w:t>prowadzące działalność w 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zakresie zakwaterowania formułują </w:t>
      </w:r>
      <w:r w:rsidR="00AC53E7">
        <w:rPr>
          <w:rFonts w:ascii="Fira Sans" w:hAnsi="Fira Sans"/>
          <w:spacing w:val="-4"/>
          <w:sz w:val="19"/>
          <w:szCs w:val="19"/>
        </w:rPr>
        <w:t>nieco bardziej korzystne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oceny koniunktury </w:t>
      </w:r>
      <w:r w:rsidR="00FF796D">
        <w:rPr>
          <w:rFonts w:ascii="Fira Sans" w:hAnsi="Fira Sans"/>
          <w:spacing w:val="-4"/>
          <w:sz w:val="19"/>
          <w:szCs w:val="19"/>
        </w:rPr>
        <w:t>(</w:t>
      </w:r>
      <w:r w:rsidR="00AC53E7">
        <w:rPr>
          <w:rFonts w:ascii="Fira Sans" w:hAnsi="Fira Sans"/>
          <w:spacing w:val="-4"/>
          <w:sz w:val="19"/>
          <w:szCs w:val="19"/>
        </w:rPr>
        <w:t xml:space="preserve">plus </w:t>
      </w:r>
      <w:r w:rsidR="00DD2725">
        <w:rPr>
          <w:rFonts w:ascii="Fira Sans" w:hAnsi="Fira Sans"/>
          <w:spacing w:val="-4"/>
          <w:sz w:val="19"/>
          <w:szCs w:val="19"/>
        </w:rPr>
        <w:t>6,7</w:t>
      </w:r>
      <w:r w:rsidR="00FF796D">
        <w:rPr>
          <w:rFonts w:ascii="Fira Sans" w:hAnsi="Fira Sans"/>
          <w:spacing w:val="-4"/>
          <w:sz w:val="19"/>
          <w:szCs w:val="19"/>
        </w:rPr>
        <w:t xml:space="preserve">) </w:t>
      </w:r>
      <w:r w:rsidR="00FF796D" w:rsidRPr="00C72CB8">
        <w:rPr>
          <w:rFonts w:ascii="Fira Sans" w:hAnsi="Fira Sans"/>
          <w:spacing w:val="-4"/>
          <w:sz w:val="19"/>
          <w:szCs w:val="19"/>
        </w:rPr>
        <w:t>niż jednostki gastronomiczne</w:t>
      </w:r>
      <w:r w:rsidR="00FF796D">
        <w:rPr>
          <w:rFonts w:ascii="Fira Sans" w:hAnsi="Fira Sans"/>
          <w:spacing w:val="-4"/>
          <w:sz w:val="19"/>
          <w:szCs w:val="19"/>
        </w:rPr>
        <w:t xml:space="preserve"> (</w:t>
      </w:r>
      <w:r w:rsidR="00DD2725">
        <w:rPr>
          <w:rFonts w:ascii="Fira Sans" w:hAnsi="Fira Sans"/>
          <w:spacing w:val="-4"/>
          <w:sz w:val="19"/>
          <w:szCs w:val="19"/>
        </w:rPr>
        <w:t>plus 2,9</w:t>
      </w:r>
      <w:r w:rsidR="002829FA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RDefault="00C458FD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C458FD">
        <w:rPr>
          <w:noProof/>
          <w:lang w:eastAsia="pl-PL"/>
        </w:rPr>
        <w:drawing>
          <wp:anchor distT="0" distB="0" distL="114300" distR="114300" simplePos="0" relativeHeight="252957696" behindDoc="0" locked="0" layoutInCell="1" allowOverlap="1">
            <wp:simplePos x="0" y="0"/>
            <wp:positionH relativeFrom="column">
              <wp:posOffset>5242560</wp:posOffset>
            </wp:positionH>
            <wp:positionV relativeFrom="paragraph">
              <wp:posOffset>1797685</wp:posOffset>
            </wp:positionV>
            <wp:extent cx="1584000" cy="1854000"/>
            <wp:effectExtent l="0" t="0" r="0" b="0"/>
            <wp:wrapTopAndBottom/>
            <wp:docPr id="16" name="Obraz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94C" w:rsidRPr="00F1794C">
        <w:rPr>
          <w:noProof/>
          <w:lang w:eastAsia="pl-PL"/>
        </w:rPr>
        <w:drawing>
          <wp:anchor distT="0" distB="0" distL="114300" distR="114300" simplePos="0" relativeHeight="2529566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1901825</wp:posOffset>
            </wp:positionV>
            <wp:extent cx="5122800" cy="1584000"/>
            <wp:effectExtent l="0" t="0" r="0" b="0"/>
            <wp:wrapTopAndBottom/>
            <wp:docPr id="17" name="Obraz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010" w:rsidRPr="00DE1010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RDefault="00013774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013774">
        <w:rPr>
          <w:noProof/>
          <w:lang w:eastAsia="pl-PL"/>
        </w:rPr>
        <w:drawing>
          <wp:anchor distT="0" distB="0" distL="114300" distR="114300" simplePos="0" relativeHeight="252958720" behindDoc="0" locked="0" layoutInCell="1" allowOverlap="1">
            <wp:simplePos x="0" y="0"/>
            <wp:positionH relativeFrom="column">
              <wp:posOffset>5242560</wp:posOffset>
            </wp:positionH>
            <wp:positionV relativeFrom="paragraph">
              <wp:posOffset>1887855</wp:posOffset>
            </wp:positionV>
            <wp:extent cx="1584000" cy="1854000"/>
            <wp:effectExtent l="0" t="0" r="0" b="0"/>
            <wp:wrapTopAndBottom/>
            <wp:docPr id="32" name="Obraz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94C" w:rsidRPr="00F1794C">
        <w:rPr>
          <w:noProof/>
          <w:lang w:eastAsia="pl-PL"/>
        </w:rPr>
        <w:drawing>
          <wp:anchor distT="0" distB="0" distL="114300" distR="114300" simplePos="0" relativeHeight="2529556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1997710</wp:posOffset>
            </wp:positionV>
            <wp:extent cx="5122800" cy="1584000"/>
            <wp:effectExtent l="0" t="0" r="0" b="0"/>
            <wp:wrapTopAndBottom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5073E8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916664" w:rsidRDefault="00916664" w:rsidP="009205C5">
      <w:pPr>
        <w:pStyle w:val="Nagwek1"/>
      </w:pPr>
      <w:r>
        <w:br w:type="page"/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0CD4389E" wp14:editId="41B01C5D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:rsidR="00981685" w:rsidRDefault="00F44AE5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F44AE5">
        <w:rPr>
          <w:noProof/>
          <w:lang w:eastAsia="pl-PL"/>
        </w:rPr>
        <w:drawing>
          <wp:anchor distT="0" distB="0" distL="114300" distR="114300" simplePos="0" relativeHeight="252952576" behindDoc="0" locked="0" layoutInCell="1" allowOverlap="1">
            <wp:simplePos x="0" y="0"/>
            <wp:positionH relativeFrom="column">
              <wp:posOffset>5330190</wp:posOffset>
            </wp:positionH>
            <wp:positionV relativeFrom="paragraph">
              <wp:posOffset>373380</wp:posOffset>
            </wp:positionV>
            <wp:extent cx="1583055" cy="1807845"/>
            <wp:effectExtent l="0" t="0" r="0" b="0"/>
            <wp:wrapTopAndBottom/>
            <wp:docPr id="63" name="Obraz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4AE5">
        <w:rPr>
          <w:noProof/>
          <w:lang w:eastAsia="pl-PL"/>
        </w:rPr>
        <w:drawing>
          <wp:anchor distT="0" distB="0" distL="114300" distR="114300" simplePos="0" relativeHeight="2529515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477759</wp:posOffset>
            </wp:positionV>
            <wp:extent cx="5122800" cy="1584000"/>
            <wp:effectExtent l="0" t="0" r="0" b="0"/>
            <wp:wrapTopAndBottom/>
            <wp:docPr id="60" name="Obraz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spacing w:val="-4"/>
          <w:sz w:val="19"/>
          <w:szCs w:val="19"/>
        </w:rPr>
        <w:t xml:space="preserve">W </w:t>
      </w:r>
      <w:r w:rsidR="00394AC2">
        <w:rPr>
          <w:rFonts w:ascii="Fira Sans" w:hAnsi="Fira Sans"/>
          <w:spacing w:val="-4"/>
          <w:sz w:val="19"/>
          <w:szCs w:val="19"/>
        </w:rPr>
        <w:t>lipcu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B809E0">
        <w:rPr>
          <w:rFonts w:ascii="Fira Sans" w:hAnsi="Fira Sans"/>
          <w:spacing w:val="-4"/>
          <w:sz w:val="19"/>
          <w:szCs w:val="19"/>
        </w:rPr>
        <w:t>14,</w:t>
      </w:r>
      <w:r w:rsidR="00394AC2">
        <w:rPr>
          <w:rFonts w:ascii="Fira Sans" w:hAnsi="Fira Sans"/>
          <w:spacing w:val="-4"/>
          <w:sz w:val="19"/>
          <w:szCs w:val="19"/>
        </w:rPr>
        <w:t>5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5306A2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0B32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zbliżonym do odnotowanego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6C7632">
        <w:rPr>
          <w:rFonts w:ascii="Fira Sans" w:hAnsi="Fira Sans"/>
          <w:spacing w:val="-4"/>
          <w:sz w:val="19"/>
          <w:szCs w:val="19"/>
        </w:rPr>
        <w:t xml:space="preserve">plus </w:t>
      </w:r>
      <w:r w:rsidR="00394AC2">
        <w:rPr>
          <w:rFonts w:ascii="Fira Sans" w:hAnsi="Fira Sans"/>
          <w:spacing w:val="-4"/>
          <w:sz w:val="19"/>
          <w:szCs w:val="19"/>
        </w:rPr>
        <w:t>14,2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RDefault="001E5FEF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744D4FFE" wp14:editId="0820093F">
            <wp:simplePos x="0" y="0"/>
            <wp:positionH relativeFrom="margin">
              <wp:align>left</wp:align>
            </wp:positionH>
            <wp:positionV relativeFrom="paragraph">
              <wp:posOffset>8143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Default="00F44AE5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F44AE5">
        <w:rPr>
          <w:noProof/>
          <w:lang w:eastAsia="pl-PL"/>
        </w:rPr>
        <w:drawing>
          <wp:anchor distT="0" distB="0" distL="114300" distR="114300" simplePos="0" relativeHeight="252954624" behindDoc="0" locked="0" layoutInCell="1" allowOverlap="1">
            <wp:simplePos x="0" y="0"/>
            <wp:positionH relativeFrom="column">
              <wp:posOffset>5330190</wp:posOffset>
            </wp:positionH>
            <wp:positionV relativeFrom="paragraph">
              <wp:posOffset>379730</wp:posOffset>
            </wp:positionV>
            <wp:extent cx="1583055" cy="1813560"/>
            <wp:effectExtent l="0" t="0" r="0" b="0"/>
            <wp:wrapTopAndBottom/>
            <wp:docPr id="196" name="Obraz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4AE5">
        <w:rPr>
          <w:noProof/>
          <w:lang w:eastAsia="pl-PL"/>
        </w:rPr>
        <w:drawing>
          <wp:anchor distT="0" distB="0" distL="114300" distR="114300" simplePos="0" relativeHeight="2529536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500380</wp:posOffset>
            </wp:positionV>
            <wp:extent cx="5122800" cy="1584000"/>
            <wp:effectExtent l="0" t="0" r="0" b="0"/>
            <wp:wrapTopAndBottom/>
            <wp:docPr id="193" name="Obraz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 xml:space="preserve">w </w:t>
      </w:r>
      <w:r w:rsidR="00394AC2">
        <w:rPr>
          <w:rFonts w:ascii="Fira Sans" w:hAnsi="Fira Sans"/>
          <w:spacing w:val="-4"/>
          <w:sz w:val="19"/>
          <w:szCs w:val="19"/>
        </w:rPr>
        <w:t>lipcu</w:t>
      </w:r>
      <w:r w:rsidR="000B326B">
        <w:rPr>
          <w:rFonts w:ascii="Fira Sans" w:hAnsi="Fira Sans"/>
          <w:spacing w:val="-4"/>
          <w:sz w:val="19"/>
          <w:szCs w:val="19"/>
        </w:rPr>
        <w:t xml:space="preserve">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D60036">
        <w:rPr>
          <w:rFonts w:ascii="Fira Sans" w:hAnsi="Fira Sans"/>
          <w:spacing w:val="-4"/>
          <w:sz w:val="19"/>
          <w:szCs w:val="19"/>
        </w:rPr>
        <w:t xml:space="preserve">plus </w:t>
      </w:r>
      <w:r w:rsidR="00035AFD">
        <w:rPr>
          <w:rFonts w:ascii="Fira Sans" w:hAnsi="Fira Sans"/>
          <w:spacing w:val="-4"/>
          <w:sz w:val="19"/>
          <w:szCs w:val="19"/>
        </w:rPr>
        <w:t>11,7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9C1653">
        <w:rPr>
          <w:rFonts w:ascii="Fira Sans" w:hAnsi="Fira Sans"/>
          <w:spacing w:val="-4"/>
          <w:sz w:val="19"/>
          <w:szCs w:val="19"/>
        </w:rPr>
        <w:t>–</w:t>
      </w:r>
      <w:r w:rsidR="00AE7313">
        <w:rPr>
          <w:rFonts w:ascii="Fira Sans" w:hAnsi="Fira Sans"/>
          <w:spacing w:val="-4"/>
          <w:sz w:val="19"/>
          <w:szCs w:val="19"/>
        </w:rPr>
        <w:t xml:space="preserve"> </w:t>
      </w:r>
      <w:r w:rsidR="00035AFD">
        <w:rPr>
          <w:rFonts w:ascii="Fira Sans" w:hAnsi="Fira Sans"/>
          <w:spacing w:val="-4"/>
          <w:sz w:val="19"/>
          <w:szCs w:val="19"/>
        </w:rPr>
        <w:t>zbliżonym do</w:t>
      </w:r>
      <w:r w:rsidR="0098406E">
        <w:rPr>
          <w:rFonts w:ascii="Fira Sans" w:hAnsi="Fira Sans"/>
          <w:spacing w:val="-4"/>
          <w:sz w:val="19"/>
          <w:szCs w:val="19"/>
        </w:rPr>
        <w:t xml:space="preserve"> sygnalizowanego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5B621C">
        <w:rPr>
          <w:rFonts w:ascii="Fira Sans" w:hAnsi="Fira Sans"/>
          <w:spacing w:val="-4"/>
          <w:sz w:val="19"/>
          <w:szCs w:val="19"/>
        </w:rPr>
        <w:t xml:space="preserve">w </w:t>
      </w:r>
      <w:r w:rsidR="00394AC2">
        <w:rPr>
          <w:rFonts w:ascii="Fira Sans" w:hAnsi="Fira Sans"/>
          <w:spacing w:val="-4"/>
          <w:sz w:val="19"/>
          <w:szCs w:val="19"/>
        </w:rPr>
        <w:t>czerwcu</w:t>
      </w:r>
      <w:r w:rsidR="00A44E2F">
        <w:rPr>
          <w:rFonts w:ascii="Fira Sans" w:hAnsi="Fira Sans"/>
          <w:spacing w:val="-4"/>
          <w:sz w:val="19"/>
          <w:szCs w:val="19"/>
        </w:rPr>
        <w:t xml:space="preserve"> (</w:t>
      </w:r>
      <w:r w:rsidR="006C7632">
        <w:rPr>
          <w:rFonts w:ascii="Fira Sans" w:hAnsi="Fira Sans"/>
          <w:spacing w:val="-4"/>
          <w:sz w:val="19"/>
          <w:szCs w:val="19"/>
        </w:rPr>
        <w:t xml:space="preserve">plus </w:t>
      </w:r>
      <w:r w:rsidR="00394AC2">
        <w:rPr>
          <w:rFonts w:ascii="Fira Sans" w:hAnsi="Fira Sans"/>
          <w:spacing w:val="-4"/>
          <w:sz w:val="19"/>
          <w:szCs w:val="19"/>
        </w:rPr>
        <w:t>10,3</w:t>
      </w:r>
      <w:r w:rsidR="00A44E2F">
        <w:rPr>
          <w:rFonts w:ascii="Fira Sans" w:hAnsi="Fira Sans"/>
          <w:spacing w:val="-4"/>
          <w:sz w:val="19"/>
          <w:szCs w:val="19"/>
        </w:rPr>
        <w:t>).</w:t>
      </w:r>
      <w:r w:rsidR="004609F2" w:rsidRPr="004609F2">
        <w:rPr>
          <w:rFonts w:ascii="Fira Sans" w:hAnsi="Fira Sans"/>
          <w:spacing w:val="-4"/>
          <w:sz w:val="19"/>
          <w:szCs w:val="19"/>
        </w:rPr>
        <w:t xml:space="preserve"> </w:t>
      </w:r>
    </w:p>
    <w:p w:rsidR="00641278" w:rsidRPr="00641278" w:rsidRDefault="00641278" w:rsidP="00641278">
      <w:pPr>
        <w:spacing w:before="120" w:after="120"/>
        <w:ind w:left="1134" w:hanging="1134"/>
        <w:rPr>
          <w:noProof/>
        </w:rPr>
      </w:pPr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902AD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>
              <w:rPr>
                <w:rFonts w:ascii="Fira Sans" w:hAnsi="Fira Sans"/>
                <w:sz w:val="12"/>
                <w:szCs w:val="12"/>
              </w:rPr>
              <w:br/>
            </w:r>
            <w:r w:rsidRPr="006902AD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A41F3F" w:rsidRPr="006D7274" w:rsidTr="00A41F3F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26976" behindDoc="0" locked="0" layoutInCell="1" allowOverlap="1" wp14:anchorId="76FD5EEF" wp14:editId="712FECA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-12,7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2,8</w:t>
            </w:r>
          </w:p>
        </w:tc>
      </w:tr>
      <w:tr w:rsidR="00A41F3F" w:rsidRPr="006D7274" w:rsidTr="00A41F3F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2,8</w:t>
            </w:r>
          </w:p>
        </w:tc>
      </w:tr>
      <w:tr w:rsidR="00A41F3F" w:rsidRPr="006D7274" w:rsidTr="00A41F3F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-16,7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-1,1</w:t>
            </w:r>
          </w:p>
        </w:tc>
      </w:tr>
      <w:tr w:rsidR="00A41F3F" w:rsidRPr="006D7274" w:rsidTr="00A41F3F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-2,8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6,7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28000" behindDoc="0" locked="0" layoutInCell="1" allowOverlap="1" wp14:anchorId="5697EB23" wp14:editId="1D247768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-22,2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-8,5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-12,2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-2,3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-16,7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-2,2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-8,9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-6,7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-5,9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-18,3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1,4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29024" behindDoc="0" locked="0" layoutInCell="1" allowOverlap="1" wp14:anchorId="1B059485" wp14:editId="401F6D9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8,4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5,2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-9,3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9,7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-7,4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9,0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-0,6</w:t>
            </w:r>
          </w:p>
        </w:tc>
      </w:tr>
      <w:tr w:rsidR="00A41F3F" w:rsidRPr="006D7274" w:rsidTr="00A41F3F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30048" behindDoc="0" locked="0" layoutInCell="1" allowOverlap="1" wp14:anchorId="10BBE0F9" wp14:editId="12B25C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-4,1</w:t>
            </w:r>
          </w:p>
        </w:tc>
      </w:tr>
      <w:tr w:rsidR="00A41F3F" w:rsidRPr="006D7274" w:rsidTr="00A41F3F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-4,1</w:t>
            </w:r>
          </w:p>
        </w:tc>
      </w:tr>
      <w:tr w:rsidR="00A41F3F" w:rsidRPr="006D7274" w:rsidTr="00A41F3F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-15,4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1,4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-3,8</w:t>
            </w:r>
          </w:p>
        </w:tc>
      </w:tr>
      <w:tr w:rsidR="00A41F3F" w:rsidRPr="006D7274" w:rsidTr="00A41F3F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-8,9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-4,5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31072" behindDoc="0" locked="0" layoutInCell="1" allowOverlap="1" wp14:anchorId="5FA265A7" wp14:editId="742294CD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902AD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902AD">
              <w:rPr>
                <w:rFonts w:ascii="Fira Sans" w:hAnsi="Fira Sans"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-14,6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5,8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-0,3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5,9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6,2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-0,3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8,0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6,1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6,3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-1,0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32096" behindDoc="0" locked="0" layoutInCell="1" allowOverlap="1" wp14:anchorId="6DB37435" wp14:editId="187DF94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-29,1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-1,3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0,3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-22,7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5,3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0,3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-44,4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-32,6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-2,1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33120" behindDoc="0" locked="0" layoutInCell="1" allowOverlap="1" wp14:anchorId="33D12BE1" wp14:editId="7A8D1FB7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Informacja 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18,8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18,8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17,0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25,4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27,2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25,9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11,7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34144" behindDoc="0" locked="0" layoutInCell="1" allowOverlap="1" wp14:anchorId="1306AC8A" wp14:editId="0215E3C2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Finanse 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.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A41F3F" w:rsidRPr="006902AD" w:rsidRDefault="00A41F3F" w:rsidP="00A41F3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27,1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A41F3F" w:rsidRPr="006D7274" w:rsidRDefault="00A41F3F" w:rsidP="00A41F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20,2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17,7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20,2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33,4</w:t>
            </w:r>
          </w:p>
        </w:tc>
      </w:tr>
      <w:tr w:rsidR="00A41F3F" w:rsidRPr="006D7274" w:rsidTr="00A41F3F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A41F3F" w:rsidRPr="006D7274" w:rsidRDefault="00A41F3F" w:rsidP="00A41F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A41F3F" w:rsidRPr="006902AD" w:rsidRDefault="00A41F3F" w:rsidP="00A41F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-22,7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41F3F" w:rsidRPr="004C76CB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4C76CB">
              <w:rPr>
                <w:rFonts w:ascii="Fira Sans" w:hAnsi="Fira Sans"/>
                <w:b/>
                <w:color w:val="000000"/>
                <w:sz w:val="12"/>
                <w:szCs w:val="12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A41F3F" w:rsidRPr="00A41F3F" w:rsidRDefault="00A41F3F" w:rsidP="00A41F3F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A41F3F">
              <w:rPr>
                <w:rFonts w:ascii="Fira Sans" w:hAnsi="Fira Sans"/>
                <w:color w:val="000000"/>
                <w:sz w:val="12"/>
                <w:szCs w:val="12"/>
              </w:rPr>
              <w:t>20,7</w:t>
            </w:r>
          </w:p>
        </w:tc>
      </w:tr>
    </w:tbl>
    <w:p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RPr="0027001B" w:rsidRDefault="0065786D" w:rsidP="00025D3B">
      <w:pPr>
        <w:pStyle w:val="tytuinformacji"/>
        <w:rPr>
          <w:noProof/>
          <w:sz w:val="32"/>
          <w:szCs w:val="32"/>
        </w:rPr>
      </w:pPr>
      <w:r w:rsidRPr="0027001B">
        <w:rPr>
          <w:noProof/>
          <w:sz w:val="32"/>
          <w:szCs w:val="32"/>
        </w:rPr>
        <w:lastRenderedPageBreak/>
        <w:t xml:space="preserve">Aneks </w:t>
      </w:r>
    </w:p>
    <w:p w:rsidR="003F106B" w:rsidRPr="0027001B" w:rsidRDefault="00B85914" w:rsidP="00401A0F">
      <w:pPr>
        <w:pStyle w:val="tytuinformacji"/>
        <w:spacing w:after="120"/>
        <w:rPr>
          <w:rFonts w:ascii="Fira Sans" w:hAnsi="Fira Sans"/>
          <w:noProof/>
          <w:sz w:val="32"/>
          <w:szCs w:val="32"/>
        </w:rPr>
      </w:pPr>
      <w:r w:rsidRPr="0027001B">
        <w:rPr>
          <w:sz w:val="32"/>
          <w:szCs w:val="32"/>
        </w:rPr>
        <w:t xml:space="preserve">Wpływ </w:t>
      </w:r>
      <w:r w:rsidR="003B6061" w:rsidRPr="0027001B">
        <w:rPr>
          <w:sz w:val="32"/>
          <w:szCs w:val="32"/>
        </w:rPr>
        <w:t>pandemii COVID-19</w:t>
      </w:r>
      <w:r w:rsidR="0027001B">
        <w:rPr>
          <w:sz w:val="32"/>
          <w:szCs w:val="32"/>
        </w:rPr>
        <w:t xml:space="preserve"> na koniunkturę</w:t>
      </w:r>
      <w:r w:rsidRPr="0027001B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7E627A" w:rsidRDefault="003911BB" w:rsidP="00E93CC8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4"/>
                <w:szCs w:val="14"/>
              </w:rPr>
            </w:pP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Badanie zostało przeprowadzone w </w:t>
            </w:r>
            <w:r w:rsidR="00DC0BBB" w:rsidRPr="007E627A">
              <w:rPr>
                <w:rFonts w:ascii="Fira Sans" w:hAnsi="Fira Sans"/>
                <w:noProof/>
                <w:sz w:val="14"/>
                <w:szCs w:val="14"/>
              </w:rPr>
              <w:t xml:space="preserve">dniach od 1 do 10 </w:t>
            </w:r>
            <w:r w:rsidR="00B46194">
              <w:rPr>
                <w:rFonts w:ascii="Fira Sans" w:hAnsi="Fira Sans"/>
                <w:noProof/>
                <w:sz w:val="14"/>
                <w:szCs w:val="14"/>
              </w:rPr>
              <w:t>lipca</w:t>
            </w:r>
            <w:r w:rsidR="00DF5457" w:rsidRPr="007E627A">
              <w:rPr>
                <w:rFonts w:ascii="Fira Sans" w:hAnsi="Fira Sans"/>
                <w:noProof/>
                <w:sz w:val="14"/>
                <w:szCs w:val="14"/>
              </w:rPr>
              <w:t xml:space="preserve"> 2021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r. na próbie jednostek przemysłowych, budowlanych, handlowych i usługowych. W przeciwieństwie do podstawowego badania koniunktury, odpowiedzi na dodatkowy blok pytań były udzie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lane na zasadzie dobrowolności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="00B91165" w:rsidRPr="007E627A">
              <w:rPr>
                <w:rFonts w:ascii="Fira Sans" w:hAnsi="Fira Sans"/>
                <w:noProof/>
                <w:sz w:val="14"/>
                <w:szCs w:val="14"/>
              </w:rPr>
              <w:t xml:space="preserve"> W pytaniach 1</w:t>
            </w:r>
            <w:r w:rsidR="00BC1A49">
              <w:rPr>
                <w:rFonts w:ascii="Fira Sans" w:hAnsi="Fira Sans"/>
                <w:noProof/>
                <w:sz w:val="14"/>
                <w:szCs w:val="14"/>
              </w:rPr>
              <w:t xml:space="preserve">, </w:t>
            </w:r>
            <w:r w:rsidR="007E627A" w:rsidRPr="007E627A">
              <w:rPr>
                <w:rFonts w:ascii="Fira Sans" w:hAnsi="Fira Sans"/>
                <w:noProof/>
                <w:sz w:val="14"/>
                <w:szCs w:val="14"/>
              </w:rPr>
              <w:t>4</w:t>
            </w:r>
            <w:r w:rsidR="0027001B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BC1A49">
              <w:rPr>
                <w:rFonts w:ascii="Fira Sans" w:hAnsi="Fira Sans"/>
                <w:noProof/>
                <w:sz w:val="14"/>
                <w:szCs w:val="14"/>
              </w:rPr>
              <w:t xml:space="preserve">i 5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>zaprezentowany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 jest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procent odpowiedzi </w:t>
            </w:r>
            <w:r w:rsidR="00334737" w:rsidRPr="007E627A">
              <w:rPr>
                <w:rFonts w:ascii="Fira Sans" w:hAnsi="Fira Sans"/>
                <w:noProof/>
                <w:sz w:val="14"/>
                <w:szCs w:val="14"/>
              </w:rPr>
              <w:t xml:space="preserve">respondentów na dany wariant,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w pytaniach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AA6583">
              <w:rPr>
                <w:rFonts w:ascii="Fira Sans" w:hAnsi="Fira Sans"/>
                <w:noProof/>
                <w:sz w:val="14"/>
                <w:szCs w:val="14"/>
              </w:rPr>
              <w:t xml:space="preserve">2, 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>3</w:t>
            </w:r>
            <w:r w:rsidR="00E570FA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D54462" w:rsidRPr="007E627A">
              <w:rPr>
                <w:rFonts w:ascii="Fira Sans" w:hAnsi="Fira Sans"/>
                <w:noProof/>
                <w:sz w:val="14"/>
                <w:szCs w:val="14"/>
              </w:rPr>
              <w:t>i 6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– średnia </w:t>
            </w:r>
            <w:r w:rsidR="00AE5E5F" w:rsidRPr="007E627A">
              <w:rPr>
                <w:rFonts w:ascii="Fira Sans" w:hAnsi="Fira Sans"/>
                <w:noProof/>
                <w:sz w:val="14"/>
                <w:szCs w:val="14"/>
              </w:rPr>
              <w:t>z </w:t>
            </w:r>
            <w:r w:rsidR="00526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wartości udzielonych </w:t>
            </w:r>
            <w:r w:rsidR="005371D8" w:rsidRPr="007E627A">
              <w:rPr>
                <w:rFonts w:ascii="Fira Sans" w:hAnsi="Fira Sans"/>
                <w:noProof/>
                <w:sz w:val="14"/>
                <w:szCs w:val="14"/>
              </w:rPr>
              <w:t>odpowiedzi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42E6C" w:rsidRPr="007E627A">
              <w:rPr>
                <w:rFonts w:ascii="Fira Sans" w:hAnsi="Fira Sans"/>
                <w:noProof/>
                <w:sz w:val="14"/>
                <w:szCs w:val="14"/>
              </w:rPr>
              <w:t>Dane zostały zagregowane zgodnie z</w:t>
            </w:r>
            <w:r w:rsidR="00FE1FDB">
              <w:rPr>
                <w:rFonts w:ascii="Fira Sans" w:hAnsi="Fira Sans"/>
                <w:noProof/>
                <w:sz w:val="14"/>
                <w:szCs w:val="14"/>
              </w:rPr>
              <w:t> </w:t>
            </w:r>
            <w:r w:rsidR="00242E6C" w:rsidRPr="007E627A">
              <w:rPr>
                <w:rFonts w:ascii="Fira Sans" w:hAnsi="Fira Sans"/>
                <w:noProof/>
                <w:sz w:val="14"/>
                <w:szCs w:val="14"/>
              </w:rPr>
              <w:t>metodologią agregacji (ważenia) stosowaną standardowo w badaniu koniunktury gospodarczej.</w:t>
            </w:r>
            <w:r w:rsidR="006413CF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</w:p>
        </w:tc>
      </w:tr>
    </w:tbl>
    <w:p w:rsidR="00F271F4" w:rsidRPr="0066127C" w:rsidRDefault="00F271F4" w:rsidP="00F271F4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>
        <w:rPr>
          <w:rFonts w:ascii="Fira Sans" w:hAnsi="Fira Sans"/>
          <w:noProof/>
          <w:spacing w:val="-2"/>
          <w:szCs w:val="19"/>
        </w:rPr>
        <w:t>pandemii COVID-19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443"/>
        <w:gridCol w:w="109"/>
        <w:gridCol w:w="847"/>
        <w:gridCol w:w="907"/>
        <w:gridCol w:w="924"/>
        <w:gridCol w:w="959"/>
        <w:gridCol w:w="952"/>
        <w:gridCol w:w="955"/>
      </w:tblGrid>
      <w:tr w:rsidR="00F271F4" w:rsidRPr="0059047B" w:rsidTr="007E627A">
        <w:tc>
          <w:tcPr>
            <w:tcW w:w="2552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271F4" w:rsidRPr="0059047B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0176" behindDoc="0" locked="0" layoutInCell="1" allowOverlap="1" wp14:anchorId="66C5A05F" wp14:editId="46A6468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1200" behindDoc="0" locked="0" layoutInCell="1" allowOverlap="1" wp14:anchorId="73ECD06E" wp14:editId="5F0503E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2224" behindDoc="0" locked="0" layoutInCell="1" allowOverlap="1" wp14:anchorId="5E74473B" wp14:editId="2DDD7B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271F4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3248" behindDoc="0" locked="0" layoutInCell="1" allowOverlap="1" wp14:anchorId="24E13C02" wp14:editId="6FC7E89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4272" behindDoc="0" locked="0" layoutInCell="1" allowOverlap="1" wp14:anchorId="6333278C" wp14:editId="3C810A5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5296" behindDoc="0" locked="0" layoutInCell="1" allowOverlap="1" wp14:anchorId="3D767556" wp14:editId="048033E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271F4" w:rsidRPr="00C75009" w:rsidRDefault="00F271F4" w:rsidP="0053648D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proofErr w:type="spellStart"/>
            <w:r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4C19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w bieżącym miesiącu</w:t>
            </w:r>
            <w:r w:rsidRPr="004C04F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83035" w:rsidRPr="007E627A" w:rsidTr="003E7EEC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Pr="007E627A" w:rsidRDefault="00883035" w:rsidP="0088303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6,7</w:t>
            </w:r>
          </w:p>
        </w:tc>
      </w:tr>
      <w:tr w:rsidR="00883035" w:rsidRPr="007E627A" w:rsidTr="003E7EEC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Pr="007E627A" w:rsidRDefault="00883035" w:rsidP="0088303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59,2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47,5</w:t>
            </w:r>
          </w:p>
        </w:tc>
      </w:tr>
      <w:tr w:rsidR="00883035" w:rsidRPr="007E627A" w:rsidTr="003E7EEC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Pr="007E627A" w:rsidRDefault="00883035" w:rsidP="0088303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20,4</w:t>
            </w:r>
          </w:p>
        </w:tc>
      </w:tr>
      <w:tr w:rsidR="00883035" w:rsidRPr="007E627A" w:rsidTr="003E7EEC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Pr="007E627A" w:rsidRDefault="00883035" w:rsidP="0088303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25,4</w:t>
            </w:r>
          </w:p>
        </w:tc>
      </w:tr>
      <w:tr w:rsidR="00883035" w:rsidRPr="007E627A" w:rsidTr="003E7EEC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Pr="007E627A" w:rsidRDefault="00883035" w:rsidP="0088303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 xml:space="preserve">suma </w:t>
            </w:r>
            <w:r>
              <w:rPr>
                <w:rFonts w:ascii="Fira Sans" w:hAnsi="Fira Sans"/>
                <w:sz w:val="12"/>
                <w:szCs w:val="12"/>
              </w:rPr>
              <w:br/>
              <w:t>(</w:t>
            </w:r>
            <w:r w:rsidRPr="007E627A">
              <w:rPr>
                <w:rFonts w:ascii="Fira Sans" w:hAnsi="Fira Sans"/>
                <w:sz w:val="12"/>
                <w:szCs w:val="12"/>
              </w:rPr>
              <w:t xml:space="preserve">brak negatywnych </w:t>
            </w:r>
            <w:r>
              <w:rPr>
                <w:rFonts w:ascii="Fira Sans" w:hAnsi="Fira Sans"/>
                <w:sz w:val="12"/>
                <w:szCs w:val="12"/>
              </w:rPr>
              <w:t xml:space="preserve">skutków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83,5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87,3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81,2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68,0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54,2</w:t>
            </w:r>
          </w:p>
        </w:tc>
      </w:tr>
      <w:tr w:rsidR="00883035" w:rsidRPr="007E627A" w:rsidTr="003E7EEC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Pr="007E627A" w:rsidRDefault="00883035" w:rsidP="0088303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suma</w:t>
            </w:r>
            <w:r>
              <w:rPr>
                <w:rFonts w:ascii="Fira Sans" w:hAnsi="Fira Sans"/>
                <w:sz w:val="12"/>
                <w:szCs w:val="12"/>
              </w:rPr>
              <w:br/>
              <w:t xml:space="preserve">(poważne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zagrażające stabilności firmy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45,8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271F4" w:rsidRPr="00C75009" w:rsidRDefault="00F271F4" w:rsidP="0053648D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83035" w:rsidRPr="007E627A" w:rsidTr="003E7EEC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Pr="007E627A" w:rsidRDefault="00883035" w:rsidP="0088303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883035" w:rsidRPr="007E627A" w:rsidTr="003E7EEC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883035" w:rsidRPr="007E627A" w:rsidRDefault="00883035" w:rsidP="0088303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nieplanowane nieobecności z tytułu urlopów, opieki nad dziećmi, członkami rodziny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8,1</w:t>
            </w:r>
          </w:p>
        </w:tc>
      </w:tr>
      <w:tr w:rsidR="00883035" w:rsidRPr="007E627A" w:rsidTr="003E7EEC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883035" w:rsidRPr="007E627A" w:rsidRDefault="00883035" w:rsidP="0088303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brak pracowników z uwagi na kwarantannę lub inne ograniczenia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271F4" w:rsidRDefault="00F271F4" w:rsidP="0053648D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Jaka będzie w bieżącym miesiącu szacunkowa (w procentach) zmiana zamówień na półprodukty, surowce, towary lub usługi itp. składanych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F271F4" w:rsidRPr="00C75009" w:rsidRDefault="00F271F4" w:rsidP="0053648D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Niezależnie od przyczyny zmiany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i w porównaniu do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83035" w:rsidRPr="007E627A" w:rsidTr="003E7EEC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Pr="007E627A" w:rsidRDefault="00883035" w:rsidP="0088303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zmiana [%]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-3,6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F271F4" w:rsidRPr="0066127C" w:rsidRDefault="00F271F4" w:rsidP="0053648D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87555F">
              <w:rPr>
                <w:rFonts w:ascii="Fira Sans" w:hAnsi="Fira Sans"/>
                <w:b/>
                <w:sz w:val="14"/>
                <w:szCs w:val="14"/>
              </w:rPr>
              <w:t xml:space="preserve">Jeżeli bieżące działania i ograniczenia powzięte w celu zwalczania </w:t>
            </w:r>
            <w:proofErr w:type="spellStart"/>
            <w:r w:rsidRPr="0087555F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87555F">
              <w:rPr>
                <w:rFonts w:ascii="Fira Sans" w:hAnsi="Fira Sans"/>
                <w:b/>
                <w:sz w:val="14"/>
                <w:szCs w:val="14"/>
              </w:rPr>
              <w:t xml:space="preserve">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883035" w:rsidRPr="007E627A" w:rsidTr="003E7EEC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Pr="007E627A" w:rsidRDefault="00883035" w:rsidP="008830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mniej niż 1 miesiąc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5,0</w:t>
            </w:r>
          </w:p>
        </w:tc>
      </w:tr>
      <w:tr w:rsidR="00883035" w:rsidRPr="007E627A" w:rsidTr="003E7EEC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Pr="007E627A" w:rsidRDefault="00883035" w:rsidP="008830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około 1 miesiąca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</w:tr>
      <w:tr w:rsidR="00883035" w:rsidRPr="007E627A" w:rsidTr="003E7EEC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Pr="007E627A" w:rsidRDefault="00883035" w:rsidP="008830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2 – 3 miesiące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35,5</w:t>
            </w:r>
          </w:p>
        </w:tc>
      </w:tr>
      <w:tr w:rsidR="00883035" w:rsidRPr="007E627A" w:rsidTr="003E7EEC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Pr="007E627A" w:rsidRDefault="00883035" w:rsidP="008830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4 –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34,4</w:t>
            </w:r>
          </w:p>
        </w:tc>
      </w:tr>
      <w:tr w:rsidR="00883035" w:rsidRPr="007E627A" w:rsidTr="003E7EEC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Pr="007E627A" w:rsidRDefault="00883035" w:rsidP="008830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powyżej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57,4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57,3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21,9</w:t>
            </w:r>
          </w:p>
        </w:tc>
      </w:tr>
      <w:tr w:rsidR="00F60C1C" w:rsidRPr="0059047B" w:rsidTr="00BB6747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60C1C" w:rsidRPr="00C75009" w:rsidRDefault="00F60C1C" w:rsidP="00BB674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60C1C" w:rsidRPr="0059047B" w:rsidTr="00BB6747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60C1C" w:rsidRPr="00C75009" w:rsidRDefault="00F60C1C" w:rsidP="003E7EE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Jakie są Państwa aktualne przewidywania, co do poziomu inwestycji Państwa firmy w 2021 r. w odniesieniu do inwestycji zrealizowanych w 2020 r.?</w:t>
            </w:r>
          </w:p>
        </w:tc>
      </w:tr>
      <w:tr w:rsidR="00883035" w:rsidRPr="0059047B" w:rsidTr="003E7EEC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883035" w:rsidRPr="0027001B" w:rsidRDefault="00883035" w:rsidP="008830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26,9</w:t>
            </w:r>
          </w:p>
        </w:tc>
      </w:tr>
      <w:tr w:rsidR="00883035" w:rsidRPr="0059047B" w:rsidTr="003E7EEC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883035" w:rsidRPr="0027001B" w:rsidRDefault="00883035" w:rsidP="008830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60,6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77,8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79,0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56,4</w:t>
            </w:r>
          </w:p>
        </w:tc>
      </w:tr>
      <w:tr w:rsidR="00883035" w:rsidRPr="0059047B" w:rsidTr="003E7EEC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883035" w:rsidRPr="0027001B" w:rsidRDefault="00883035" w:rsidP="008830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16,7</w:t>
            </w:r>
          </w:p>
        </w:tc>
      </w:tr>
      <w:tr w:rsidR="00F60C1C" w:rsidRPr="0059047B" w:rsidTr="00BB6747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60C1C" w:rsidRPr="00C75009" w:rsidRDefault="00F60C1C" w:rsidP="00BB674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60C1C" w:rsidRPr="0059047B" w:rsidTr="00BB6747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60C1C" w:rsidRPr="00C75009" w:rsidRDefault="00F60C1C" w:rsidP="00BB6747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>zatrudnienia w Państwa firmie?</w:t>
            </w:r>
          </w:p>
        </w:tc>
      </w:tr>
      <w:tr w:rsidR="00883035" w:rsidRPr="0059047B" w:rsidTr="003E7EEC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83035" w:rsidRPr="003F106B" w:rsidRDefault="00883035" w:rsidP="008830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3035" w:rsidRDefault="00883035" w:rsidP="003E7EE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6,4</w:t>
            </w:r>
          </w:p>
        </w:tc>
      </w:tr>
    </w:tbl>
    <w:p w:rsidR="00932D9A" w:rsidRPr="007E627A" w:rsidRDefault="00932D9A" w:rsidP="00932D9A">
      <w:pPr>
        <w:spacing w:before="120" w:line="259" w:lineRule="auto"/>
        <w:rPr>
          <w:rFonts w:ascii="Fira Sans" w:hAnsi="Fira Sans"/>
          <w:sz w:val="14"/>
          <w:szCs w:val="14"/>
        </w:rPr>
      </w:pPr>
      <w:r w:rsidRPr="007E627A">
        <w:rPr>
          <w:rFonts w:ascii="Fira Sans" w:hAnsi="Fira Sans"/>
          <w:sz w:val="14"/>
          <w:szCs w:val="14"/>
        </w:rPr>
        <w:t>W przypadku cytowania danych Głównego Urzędu Statystycznego prosimy o zamieszczenie inf</w:t>
      </w:r>
      <w:r w:rsidR="009A68CB">
        <w:rPr>
          <w:rFonts w:ascii="Fira Sans" w:hAnsi="Fira Sans"/>
          <w:sz w:val="14"/>
          <w:szCs w:val="14"/>
        </w:rPr>
        <w:t>ormacji: „Źródło danych GUS”, a </w:t>
      </w:r>
      <w:r w:rsidRPr="007E627A">
        <w:rPr>
          <w:rFonts w:ascii="Fira Sans" w:hAnsi="Fira Sans"/>
          <w:sz w:val="14"/>
          <w:szCs w:val="14"/>
        </w:rPr>
        <w:t>przypadku publikowania obliczeń dokonanych na danych opublikowanych przez GUS prosimy o zamieszczenie informacji: „Opracowanie własne na podstawie danych GUS”.</w:t>
      </w:r>
    </w:p>
    <w:p w:rsidR="00932D9A" w:rsidRPr="00001C5B" w:rsidRDefault="00932D9A" w:rsidP="00932D9A">
      <w:pPr>
        <w:spacing w:line="259" w:lineRule="auto"/>
        <w:rPr>
          <w:rFonts w:ascii="Fira Sans" w:hAnsi="Fira Sans"/>
          <w:sz w:val="18"/>
        </w:rPr>
        <w:sectPr w:rsidR="00932D9A" w:rsidRPr="00001C5B" w:rsidSect="001448A7">
          <w:headerReference w:type="default" r:id="rId47"/>
          <w:footerReference w:type="default" r:id="rId48"/>
          <w:headerReference w:type="first" r:id="rId49"/>
          <w:footerReference w:type="first" r:id="rId5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854334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1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7618DF85" wp14:editId="3343DD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4DA14F00" wp14:editId="4060960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546975DF" wp14:editId="6CDBBD3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0A580D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6379210</wp:posOffset>
                </wp:positionV>
                <wp:extent cx="4409440" cy="57594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747" w:rsidRPr="00123319" w:rsidRDefault="00BB6747" w:rsidP="00682F98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  <w:p w:rsidR="00BB6747" w:rsidRDefault="00BB6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o:spid="_x0000_s1028" type="#_x0000_t202" style="position:absolute;margin-left:171pt;margin-top:502.3pt;width:347.2pt;height:45.35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" filled="f" stroked="f" strokeweight=".5pt">
                <v:textbox>
                  <w:txbxContent>
                    <w:p w:rsidR="00BB6747" w:rsidRPr="00123319" w:rsidRDefault="00BB6747" w:rsidP="00682F98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  <w:p w:rsidR="00BB6747" w:rsidRDefault="00BB6747"/>
                  </w:txbxContent>
                </v:textbox>
              </v:shape>
            </w:pict>
          </mc:Fallback>
        </mc:AlternateContent>
      </w:r>
      <w:r w:rsidR="00682F98">
        <w:rPr>
          <w:noProof/>
          <w:lang w:eastAsia="pl-PL"/>
        </w:rPr>
        <w:drawing>
          <wp:anchor distT="0" distB="0" distL="114300" distR="114300" simplePos="0" relativeHeight="2528481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6331585</wp:posOffset>
            </wp:positionV>
            <wp:extent cx="2400601" cy="576000"/>
            <wp:effectExtent l="0" t="0" r="0" b="0"/>
            <wp:wrapSquare wrapText="bothSides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0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3BCBBE" wp14:editId="43042F76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47" w:rsidRDefault="00BB6747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BB6747" w:rsidRPr="00C75CAD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BB6747" w:rsidRPr="004C7599" w:rsidRDefault="00C827A4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6" w:history="1">
                              <w:r w:rsidR="00BB6747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2021</w:t>
                              </w:r>
                            </w:hyperlink>
                            <w:r w:rsidR="00BB6747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BB6747" w:rsidRPr="002E71B6" w:rsidRDefault="00BB6747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  <w:r w:rsidR="000475DA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BB6747" w:rsidRPr="00C75CAD" w:rsidRDefault="00C827A4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7" w:history="1">
                              <w:r w:rsidR="00BB6747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BB6747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BB6747" w:rsidRPr="00805B46" w:rsidRDefault="00C827A4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BB6747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BB6747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B6747" w:rsidRPr="00C75CAD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  <w:bookmarkStart w:id="0" w:name="_GoBack"/>
                            <w:bookmarkEnd w:id="0"/>
                          </w:p>
                          <w:p w:rsidR="00BB6747" w:rsidRPr="00805B46" w:rsidRDefault="00C827A4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BB6747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="00BB6747" w:rsidRPr="00805B46" w:rsidRDefault="00C827A4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BB6747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BB6747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B6747" w:rsidRPr="00C75CAD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BB6747" w:rsidRPr="00C75CAD" w:rsidRDefault="00C827A4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1" w:history="1">
                              <w:r w:rsidR="00BB6747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BB6747" w:rsidRPr="00505A92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CBBE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BB6747" w:rsidRDefault="00BB6747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BB6747" w:rsidRPr="00C75CAD" w:rsidRDefault="00BB6747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BB6747" w:rsidRPr="004C7599" w:rsidRDefault="00C827A4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2" w:history="1">
                        <w:r w:rsidR="00BB6747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2021</w:t>
                        </w:r>
                      </w:hyperlink>
                      <w:r w:rsidR="00BB6747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BB6747" w:rsidRPr="002E71B6" w:rsidRDefault="00BB6747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  <w:r w:rsidR="000475DA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BB6747" w:rsidRPr="00C75CAD" w:rsidRDefault="00C827A4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3" w:history="1">
                        <w:r w:rsidR="00BB6747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="00BB6747"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BB6747" w:rsidRPr="00805B46" w:rsidRDefault="00C827A4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="00BB6747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BB6747" w:rsidRDefault="00BB6747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B6747" w:rsidRPr="00C75CAD" w:rsidRDefault="00BB6747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  <w:bookmarkStart w:id="1" w:name="_GoBack"/>
                      <w:bookmarkEnd w:id="1"/>
                    </w:p>
                    <w:p w:rsidR="00BB6747" w:rsidRPr="00805B46" w:rsidRDefault="00C827A4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="00BB6747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="00BB6747" w:rsidRPr="00805B46" w:rsidRDefault="00C827A4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="00BB6747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BB6747" w:rsidRDefault="00BB6747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B6747" w:rsidRPr="00C75CAD" w:rsidRDefault="00BB6747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BB6747" w:rsidRPr="00C75CAD" w:rsidRDefault="00C827A4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67" w:history="1">
                        <w:r w:rsidR="00BB6747"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BB6747" w:rsidRPr="00505A92" w:rsidRDefault="00BB6747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6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7A4" w:rsidRDefault="00C827A4" w:rsidP="000662E2">
      <w:pPr>
        <w:spacing w:after="0" w:line="240" w:lineRule="auto"/>
      </w:pPr>
      <w:r>
        <w:separator/>
      </w:r>
    </w:p>
  </w:endnote>
  <w:endnote w:type="continuationSeparator" w:id="0">
    <w:p w:rsidR="00C827A4" w:rsidRDefault="00C827A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B6747" w:rsidRPr="00B7359B" w:rsidRDefault="00BB6747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38038F">
          <w:rPr>
            <w:rFonts w:ascii="Fira Sans" w:hAnsi="Fira Sans"/>
            <w:noProof/>
            <w:sz w:val="19"/>
            <w:szCs w:val="19"/>
          </w:rPr>
          <w:t>2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B6747" w:rsidRPr="002B1A65" w:rsidRDefault="00BB6747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38038F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7A4" w:rsidRDefault="00C827A4" w:rsidP="000662E2">
      <w:pPr>
        <w:spacing w:after="0" w:line="240" w:lineRule="auto"/>
      </w:pPr>
      <w:r>
        <w:separator/>
      </w:r>
    </w:p>
  </w:footnote>
  <w:footnote w:type="continuationSeparator" w:id="0">
    <w:p w:rsidR="00C827A4" w:rsidRDefault="00C827A4" w:rsidP="000662E2">
      <w:pPr>
        <w:spacing w:after="0" w:line="240" w:lineRule="auto"/>
      </w:pPr>
      <w:r>
        <w:continuationSeparator/>
      </w:r>
    </w:p>
  </w:footnote>
  <w:footnote w:id="1">
    <w:p w:rsidR="00BB6747" w:rsidRDefault="00BB6747" w:rsidP="007F7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291F">
        <w:rPr>
          <w:rFonts w:ascii="Fira Sans" w:hAnsi="Fira Sans"/>
          <w:sz w:val="14"/>
          <w:szCs w:val="14"/>
        </w:rPr>
        <w:t>Poprzez sformułowanie „korzystnie”</w:t>
      </w:r>
      <w:r>
        <w:rPr>
          <w:rFonts w:ascii="Fira Sans" w:hAnsi="Fira Sans"/>
          <w:sz w:val="14"/>
          <w:szCs w:val="14"/>
        </w:rPr>
        <w:t xml:space="preserve"> (dodatnia wartość wskaźnika)</w:t>
      </w:r>
      <w:r w:rsidRPr="0045291F">
        <w:rPr>
          <w:rFonts w:ascii="Fira Sans" w:hAnsi="Fira Sans"/>
          <w:sz w:val="14"/>
          <w:szCs w:val="14"/>
        </w:rPr>
        <w:t xml:space="preserve"> rozumiemy sytuację</w:t>
      </w:r>
      <w:r>
        <w:rPr>
          <w:rFonts w:ascii="Fira Sans" w:hAnsi="Fira Sans"/>
          <w:sz w:val="14"/>
          <w:szCs w:val="14"/>
        </w:rPr>
        <w:t>,</w:t>
      </w:r>
      <w:r w:rsidRPr="0045291F">
        <w:rPr>
          <w:rFonts w:ascii="Fira Sans" w:hAnsi="Fira Sans"/>
          <w:sz w:val="14"/>
          <w:szCs w:val="14"/>
        </w:rPr>
        <w:t xml:space="preserve"> </w:t>
      </w:r>
      <w:r>
        <w:rPr>
          <w:rFonts w:ascii="Fira Sans" w:hAnsi="Fira Sans"/>
          <w:sz w:val="14"/>
          <w:szCs w:val="14"/>
        </w:rPr>
        <w:t>gdzie</w:t>
      </w:r>
      <w:r w:rsidRPr="007A583B">
        <w:rPr>
          <w:rFonts w:ascii="Fira Sans" w:hAnsi="Fira Sans"/>
          <w:sz w:val="14"/>
          <w:szCs w:val="14"/>
        </w:rPr>
        <w:t xml:space="preserve"> odsetek przedsiębiorców spodziewających się </w:t>
      </w:r>
      <w:r>
        <w:rPr>
          <w:rFonts w:ascii="Fira Sans" w:hAnsi="Fira Sans"/>
          <w:sz w:val="14"/>
          <w:szCs w:val="14"/>
        </w:rPr>
        <w:t>poprawy</w:t>
      </w:r>
      <w:r w:rsidRPr="007A583B">
        <w:rPr>
          <w:rFonts w:ascii="Fira Sans" w:hAnsi="Fira Sans"/>
          <w:sz w:val="14"/>
          <w:szCs w:val="14"/>
        </w:rPr>
        <w:t xml:space="preserve"> sytuacji gospodarczej ich podmiotów w najbliższych trzech miesiącach</w:t>
      </w:r>
      <w:r>
        <w:rPr>
          <w:rFonts w:ascii="Fira Sans" w:hAnsi="Fira Sans"/>
          <w:sz w:val="14"/>
          <w:szCs w:val="14"/>
        </w:rPr>
        <w:t xml:space="preserve"> lub obserwujących taką poprawę,</w:t>
      </w:r>
      <w:r w:rsidRPr="007A583B">
        <w:rPr>
          <w:rFonts w:ascii="Fira Sans" w:hAnsi="Fira Sans"/>
          <w:sz w:val="14"/>
          <w:szCs w:val="14"/>
        </w:rPr>
        <w:t xml:space="preserve"> przeważa nad odsetkiem przedsiębior</w:t>
      </w:r>
      <w:r>
        <w:rPr>
          <w:rFonts w:ascii="Fira Sans" w:hAnsi="Fira Sans"/>
          <w:sz w:val="14"/>
          <w:szCs w:val="14"/>
        </w:rPr>
        <w:t>ców oczekujących jej pogorszenia.</w:t>
      </w:r>
    </w:p>
  </w:footnote>
  <w:footnote w:id="2">
    <w:p w:rsidR="00BB6747" w:rsidRDefault="00BB6747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27001B">
        <w:rPr>
          <w:rFonts w:ascii="Fira Sans" w:hAnsi="Fira Sans"/>
          <w:sz w:val="14"/>
          <w:szCs w:val="14"/>
        </w:rPr>
        <w:t xml:space="preserve">Szereg </w:t>
      </w:r>
      <w:proofErr w:type="spellStart"/>
      <w:r w:rsidRPr="0027001B">
        <w:rPr>
          <w:rFonts w:ascii="Fira Sans" w:hAnsi="Fira Sans"/>
          <w:sz w:val="14"/>
          <w:szCs w:val="14"/>
        </w:rPr>
        <w:t>niesezonowy</w:t>
      </w:r>
      <w:proofErr w:type="spellEnd"/>
      <w:r w:rsidRPr="0027001B">
        <w:rPr>
          <w:rFonts w:ascii="Fira Sans" w:hAnsi="Fira Sans"/>
          <w:sz w:val="14"/>
          <w:szCs w:val="14"/>
        </w:rPr>
        <w:t>, nie wymaga wyrównania sezonowego. Dane niewyrównane sezonowo mogą być analizowane i interpretowane w sposób analogiczny jak dane wyrównane.</w:t>
      </w:r>
    </w:p>
  </w:footnote>
  <w:footnote w:id="3">
    <w:p w:rsidR="00BB6747" w:rsidRDefault="00BB6747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7A583B">
        <w:rPr>
          <w:rFonts w:ascii="Fira Sans" w:hAnsi="Fira Sans"/>
          <w:sz w:val="14"/>
          <w:szCs w:val="14"/>
        </w:rPr>
        <w:t xml:space="preserve">Szereg </w:t>
      </w:r>
      <w:proofErr w:type="spellStart"/>
      <w:r w:rsidRPr="007A583B">
        <w:rPr>
          <w:rFonts w:ascii="Fira Sans" w:hAnsi="Fira Sans"/>
          <w:sz w:val="14"/>
          <w:szCs w:val="14"/>
        </w:rPr>
        <w:t>niesezonowy</w:t>
      </w:r>
      <w:proofErr w:type="spellEnd"/>
      <w:r w:rsidRPr="007A583B">
        <w:rPr>
          <w:rFonts w:ascii="Fira Sans" w:hAnsi="Fira Sans"/>
          <w:sz w:val="14"/>
          <w:szCs w:val="14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747" w:rsidRDefault="00BB674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C13D58" wp14:editId="4F5B468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D63622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BB6747" w:rsidRDefault="00BB67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747" w:rsidRDefault="00BB674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CFEDB" wp14:editId="36BA0DA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B6747" w:rsidRPr="000201D2" w:rsidRDefault="00BB6747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ACFEDB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B6747" w:rsidRPr="000201D2" w:rsidRDefault="00BB6747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AA56F9" wp14:editId="13D754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EA51C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6DABF09" wp14:editId="50DF9715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6747" w:rsidRDefault="00BB674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CB3E02A" wp14:editId="0BAB7571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6747" w:rsidRPr="000201D2" w:rsidRDefault="00BB674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22.07.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1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3E02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BB6747" w:rsidRPr="000201D2" w:rsidRDefault="00BB674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22.07.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1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747" w:rsidRDefault="00BB6747">
    <w:pPr>
      <w:pStyle w:val="Nagwek"/>
    </w:pPr>
  </w:p>
  <w:p w:rsidR="00BB6747" w:rsidRDefault="00BB67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5.4pt;visibility:visible;mso-wrap-style:square" o:bullet="t">
        <v:imagedata r:id="rId1" o:title=""/>
      </v:shape>
    </w:pict>
  </w:numPicBullet>
  <w:numPicBullet w:numPicBulletId="1">
    <w:pict>
      <v:shape id="_x0000_i1031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C5B"/>
    <w:rsid w:val="00002987"/>
    <w:rsid w:val="00003437"/>
    <w:rsid w:val="0000366F"/>
    <w:rsid w:val="00003C12"/>
    <w:rsid w:val="00004611"/>
    <w:rsid w:val="00004825"/>
    <w:rsid w:val="00004C61"/>
    <w:rsid w:val="00005CE7"/>
    <w:rsid w:val="00007037"/>
    <w:rsid w:val="0000709F"/>
    <w:rsid w:val="000108B8"/>
    <w:rsid w:val="00011656"/>
    <w:rsid w:val="00011A11"/>
    <w:rsid w:val="00011C7D"/>
    <w:rsid w:val="00011C95"/>
    <w:rsid w:val="0001308C"/>
    <w:rsid w:val="00013774"/>
    <w:rsid w:val="000152F5"/>
    <w:rsid w:val="00015AEC"/>
    <w:rsid w:val="00016D37"/>
    <w:rsid w:val="000201D2"/>
    <w:rsid w:val="00021874"/>
    <w:rsid w:val="00022730"/>
    <w:rsid w:val="000243A2"/>
    <w:rsid w:val="000259F3"/>
    <w:rsid w:val="00025D3B"/>
    <w:rsid w:val="00026545"/>
    <w:rsid w:val="00030CCA"/>
    <w:rsid w:val="000332B3"/>
    <w:rsid w:val="00034B19"/>
    <w:rsid w:val="00035AFD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475DA"/>
    <w:rsid w:val="000517DC"/>
    <w:rsid w:val="00051931"/>
    <w:rsid w:val="0005206C"/>
    <w:rsid w:val="00052AC0"/>
    <w:rsid w:val="000534A5"/>
    <w:rsid w:val="00057B5C"/>
    <w:rsid w:val="00057BCF"/>
    <w:rsid w:val="00057CA1"/>
    <w:rsid w:val="00060987"/>
    <w:rsid w:val="00061635"/>
    <w:rsid w:val="00062C3F"/>
    <w:rsid w:val="000662E2"/>
    <w:rsid w:val="00066883"/>
    <w:rsid w:val="00067783"/>
    <w:rsid w:val="00070046"/>
    <w:rsid w:val="00070360"/>
    <w:rsid w:val="000732AD"/>
    <w:rsid w:val="00074600"/>
    <w:rsid w:val="00075359"/>
    <w:rsid w:val="00076AAA"/>
    <w:rsid w:val="00076C1A"/>
    <w:rsid w:val="00076EB8"/>
    <w:rsid w:val="0008002D"/>
    <w:rsid w:val="000806F7"/>
    <w:rsid w:val="00080D3F"/>
    <w:rsid w:val="0008148B"/>
    <w:rsid w:val="000820BB"/>
    <w:rsid w:val="00083125"/>
    <w:rsid w:val="000834E9"/>
    <w:rsid w:val="00084CB5"/>
    <w:rsid w:val="00087085"/>
    <w:rsid w:val="00090DEE"/>
    <w:rsid w:val="0009359E"/>
    <w:rsid w:val="0009439B"/>
    <w:rsid w:val="0009541F"/>
    <w:rsid w:val="00096BB4"/>
    <w:rsid w:val="000977D7"/>
    <w:rsid w:val="000A0453"/>
    <w:rsid w:val="000A0C17"/>
    <w:rsid w:val="000A17BF"/>
    <w:rsid w:val="000A388D"/>
    <w:rsid w:val="000A4455"/>
    <w:rsid w:val="000A580D"/>
    <w:rsid w:val="000A6754"/>
    <w:rsid w:val="000A70C8"/>
    <w:rsid w:val="000B0727"/>
    <w:rsid w:val="000B0A2B"/>
    <w:rsid w:val="000B1421"/>
    <w:rsid w:val="000B23C8"/>
    <w:rsid w:val="000B24BC"/>
    <w:rsid w:val="000B326B"/>
    <w:rsid w:val="000B3DCA"/>
    <w:rsid w:val="000B4883"/>
    <w:rsid w:val="000B51A7"/>
    <w:rsid w:val="000B5AE4"/>
    <w:rsid w:val="000C135D"/>
    <w:rsid w:val="000C1AE2"/>
    <w:rsid w:val="000C2C29"/>
    <w:rsid w:val="000C362F"/>
    <w:rsid w:val="000C411C"/>
    <w:rsid w:val="000C5ECF"/>
    <w:rsid w:val="000C6E00"/>
    <w:rsid w:val="000D1D43"/>
    <w:rsid w:val="000D225C"/>
    <w:rsid w:val="000D4839"/>
    <w:rsid w:val="000D4E35"/>
    <w:rsid w:val="000D72EE"/>
    <w:rsid w:val="000E0918"/>
    <w:rsid w:val="000E097B"/>
    <w:rsid w:val="000E0C86"/>
    <w:rsid w:val="000E0DEB"/>
    <w:rsid w:val="000E19EE"/>
    <w:rsid w:val="000E201B"/>
    <w:rsid w:val="000E298F"/>
    <w:rsid w:val="000E7A70"/>
    <w:rsid w:val="000E7ED0"/>
    <w:rsid w:val="000F0B06"/>
    <w:rsid w:val="000F3461"/>
    <w:rsid w:val="000F42CD"/>
    <w:rsid w:val="000F486C"/>
    <w:rsid w:val="000F4EBC"/>
    <w:rsid w:val="001005D5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1F5E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817"/>
    <w:rsid w:val="00116F76"/>
    <w:rsid w:val="0011768E"/>
    <w:rsid w:val="001217E9"/>
    <w:rsid w:val="00123319"/>
    <w:rsid w:val="001244A5"/>
    <w:rsid w:val="001260BB"/>
    <w:rsid w:val="00130296"/>
    <w:rsid w:val="00133B51"/>
    <w:rsid w:val="00134852"/>
    <w:rsid w:val="00134F39"/>
    <w:rsid w:val="0014012B"/>
    <w:rsid w:val="00140B51"/>
    <w:rsid w:val="00140DDC"/>
    <w:rsid w:val="0014207E"/>
    <w:rsid w:val="001423B6"/>
    <w:rsid w:val="00142790"/>
    <w:rsid w:val="001448A7"/>
    <w:rsid w:val="00146507"/>
    <w:rsid w:val="00146621"/>
    <w:rsid w:val="00146E3B"/>
    <w:rsid w:val="001479AC"/>
    <w:rsid w:val="00150BC6"/>
    <w:rsid w:val="00151215"/>
    <w:rsid w:val="00151970"/>
    <w:rsid w:val="001523FD"/>
    <w:rsid w:val="00153ABA"/>
    <w:rsid w:val="00153AE8"/>
    <w:rsid w:val="00154778"/>
    <w:rsid w:val="001557B1"/>
    <w:rsid w:val="00155A33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433E"/>
    <w:rsid w:val="00174B1B"/>
    <w:rsid w:val="001753E9"/>
    <w:rsid w:val="00175CB7"/>
    <w:rsid w:val="001762A6"/>
    <w:rsid w:val="0018029F"/>
    <w:rsid w:val="00181F98"/>
    <w:rsid w:val="001831F9"/>
    <w:rsid w:val="0018357E"/>
    <w:rsid w:val="00183ED3"/>
    <w:rsid w:val="001843FE"/>
    <w:rsid w:val="00184C98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718"/>
    <w:rsid w:val="001A0A94"/>
    <w:rsid w:val="001A1B86"/>
    <w:rsid w:val="001A1D09"/>
    <w:rsid w:val="001A372A"/>
    <w:rsid w:val="001A42E2"/>
    <w:rsid w:val="001A4A48"/>
    <w:rsid w:val="001A7FBD"/>
    <w:rsid w:val="001B10DC"/>
    <w:rsid w:val="001B1D12"/>
    <w:rsid w:val="001B24E0"/>
    <w:rsid w:val="001B48F9"/>
    <w:rsid w:val="001B4CB3"/>
    <w:rsid w:val="001B56B5"/>
    <w:rsid w:val="001B594C"/>
    <w:rsid w:val="001B64F3"/>
    <w:rsid w:val="001B7A79"/>
    <w:rsid w:val="001C0726"/>
    <w:rsid w:val="001C09BB"/>
    <w:rsid w:val="001C0AF0"/>
    <w:rsid w:val="001C2255"/>
    <w:rsid w:val="001C2DF5"/>
    <w:rsid w:val="001C3269"/>
    <w:rsid w:val="001C4A72"/>
    <w:rsid w:val="001C6A7B"/>
    <w:rsid w:val="001C7369"/>
    <w:rsid w:val="001D1490"/>
    <w:rsid w:val="001D18B1"/>
    <w:rsid w:val="001D1DB4"/>
    <w:rsid w:val="001D3DDB"/>
    <w:rsid w:val="001D5205"/>
    <w:rsid w:val="001D5947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FEF"/>
    <w:rsid w:val="001E6597"/>
    <w:rsid w:val="001E668B"/>
    <w:rsid w:val="001F0737"/>
    <w:rsid w:val="001F0BBC"/>
    <w:rsid w:val="001F0E57"/>
    <w:rsid w:val="001F135A"/>
    <w:rsid w:val="001F1BE1"/>
    <w:rsid w:val="001F29C5"/>
    <w:rsid w:val="0020217F"/>
    <w:rsid w:val="00203EB5"/>
    <w:rsid w:val="002053BC"/>
    <w:rsid w:val="00205BC2"/>
    <w:rsid w:val="00207ED8"/>
    <w:rsid w:val="00210192"/>
    <w:rsid w:val="002105E1"/>
    <w:rsid w:val="002112C0"/>
    <w:rsid w:val="00213727"/>
    <w:rsid w:val="002140F5"/>
    <w:rsid w:val="00216024"/>
    <w:rsid w:val="00217664"/>
    <w:rsid w:val="002213DC"/>
    <w:rsid w:val="0022355B"/>
    <w:rsid w:val="00223D5A"/>
    <w:rsid w:val="002248CD"/>
    <w:rsid w:val="002249A5"/>
    <w:rsid w:val="00224BF7"/>
    <w:rsid w:val="00224FBD"/>
    <w:rsid w:val="00227527"/>
    <w:rsid w:val="0022791C"/>
    <w:rsid w:val="00232450"/>
    <w:rsid w:val="00236160"/>
    <w:rsid w:val="0023628A"/>
    <w:rsid w:val="00236D7C"/>
    <w:rsid w:val="0023792A"/>
    <w:rsid w:val="00241B2E"/>
    <w:rsid w:val="00241CC7"/>
    <w:rsid w:val="00241D8C"/>
    <w:rsid w:val="002428BB"/>
    <w:rsid w:val="00242E6C"/>
    <w:rsid w:val="00243299"/>
    <w:rsid w:val="002476AC"/>
    <w:rsid w:val="002477B2"/>
    <w:rsid w:val="002514D2"/>
    <w:rsid w:val="00252628"/>
    <w:rsid w:val="00255894"/>
    <w:rsid w:val="00256BF2"/>
    <w:rsid w:val="002574F9"/>
    <w:rsid w:val="00257A55"/>
    <w:rsid w:val="00262296"/>
    <w:rsid w:val="002628F0"/>
    <w:rsid w:val="00262BB4"/>
    <w:rsid w:val="00263742"/>
    <w:rsid w:val="002639C3"/>
    <w:rsid w:val="00263F4E"/>
    <w:rsid w:val="00264A39"/>
    <w:rsid w:val="00265A38"/>
    <w:rsid w:val="00266050"/>
    <w:rsid w:val="00266F8B"/>
    <w:rsid w:val="0027001B"/>
    <w:rsid w:val="00273293"/>
    <w:rsid w:val="00276811"/>
    <w:rsid w:val="0027719C"/>
    <w:rsid w:val="0027721F"/>
    <w:rsid w:val="00280F42"/>
    <w:rsid w:val="00281218"/>
    <w:rsid w:val="00281D2F"/>
    <w:rsid w:val="00282699"/>
    <w:rsid w:val="002829FA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6697"/>
    <w:rsid w:val="00296AA1"/>
    <w:rsid w:val="0029717B"/>
    <w:rsid w:val="002A1AAD"/>
    <w:rsid w:val="002A36D3"/>
    <w:rsid w:val="002A3C8F"/>
    <w:rsid w:val="002A48F7"/>
    <w:rsid w:val="002A668A"/>
    <w:rsid w:val="002B0472"/>
    <w:rsid w:val="002B09A8"/>
    <w:rsid w:val="002B0F2D"/>
    <w:rsid w:val="002B14D5"/>
    <w:rsid w:val="002B17AE"/>
    <w:rsid w:val="002B1A65"/>
    <w:rsid w:val="002B4188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D07AD"/>
    <w:rsid w:val="002D1133"/>
    <w:rsid w:val="002D3F81"/>
    <w:rsid w:val="002D5173"/>
    <w:rsid w:val="002D5776"/>
    <w:rsid w:val="002D5A7F"/>
    <w:rsid w:val="002D68D6"/>
    <w:rsid w:val="002D700F"/>
    <w:rsid w:val="002E1391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757C"/>
    <w:rsid w:val="002F77C8"/>
    <w:rsid w:val="003002C7"/>
    <w:rsid w:val="00301633"/>
    <w:rsid w:val="00303D35"/>
    <w:rsid w:val="003041CB"/>
    <w:rsid w:val="00304F22"/>
    <w:rsid w:val="003056E4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26AD1"/>
    <w:rsid w:val="0032738E"/>
    <w:rsid w:val="0033029A"/>
    <w:rsid w:val="003313BA"/>
    <w:rsid w:val="00331F5D"/>
    <w:rsid w:val="00332320"/>
    <w:rsid w:val="00332DF1"/>
    <w:rsid w:val="0033395A"/>
    <w:rsid w:val="00334737"/>
    <w:rsid w:val="00335366"/>
    <w:rsid w:val="00335A91"/>
    <w:rsid w:val="00336E34"/>
    <w:rsid w:val="003407E4"/>
    <w:rsid w:val="00340C09"/>
    <w:rsid w:val="0034231B"/>
    <w:rsid w:val="00342828"/>
    <w:rsid w:val="00346D76"/>
    <w:rsid w:val="0034734A"/>
    <w:rsid w:val="00347662"/>
    <w:rsid w:val="00347A0E"/>
    <w:rsid w:val="00347D72"/>
    <w:rsid w:val="00350838"/>
    <w:rsid w:val="00350E44"/>
    <w:rsid w:val="00351097"/>
    <w:rsid w:val="003538AF"/>
    <w:rsid w:val="00354A53"/>
    <w:rsid w:val="00356791"/>
    <w:rsid w:val="00356A23"/>
    <w:rsid w:val="00357F62"/>
    <w:rsid w:val="0036049A"/>
    <w:rsid w:val="00361CC0"/>
    <w:rsid w:val="003625B7"/>
    <w:rsid w:val="003627E4"/>
    <w:rsid w:val="003635D0"/>
    <w:rsid w:val="00365A7C"/>
    <w:rsid w:val="00366438"/>
    <w:rsid w:val="0036698B"/>
    <w:rsid w:val="00367237"/>
    <w:rsid w:val="0036763D"/>
    <w:rsid w:val="003703DC"/>
    <w:rsid w:val="0037077F"/>
    <w:rsid w:val="00371234"/>
    <w:rsid w:val="0037141A"/>
    <w:rsid w:val="00372B5D"/>
    <w:rsid w:val="00373882"/>
    <w:rsid w:val="00374CAC"/>
    <w:rsid w:val="003754E6"/>
    <w:rsid w:val="00375B14"/>
    <w:rsid w:val="0038038F"/>
    <w:rsid w:val="00380FEE"/>
    <w:rsid w:val="0038317F"/>
    <w:rsid w:val="003860FF"/>
    <w:rsid w:val="003869F3"/>
    <w:rsid w:val="0038756D"/>
    <w:rsid w:val="003904F8"/>
    <w:rsid w:val="003911BB"/>
    <w:rsid w:val="003919CA"/>
    <w:rsid w:val="00391BE8"/>
    <w:rsid w:val="00394327"/>
    <w:rsid w:val="00394AC2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3C4"/>
    <w:rsid w:val="003B2C31"/>
    <w:rsid w:val="003B5B72"/>
    <w:rsid w:val="003B5D1C"/>
    <w:rsid w:val="003B6061"/>
    <w:rsid w:val="003C0845"/>
    <w:rsid w:val="003C4464"/>
    <w:rsid w:val="003C4528"/>
    <w:rsid w:val="003C4846"/>
    <w:rsid w:val="003C4B46"/>
    <w:rsid w:val="003C59E0"/>
    <w:rsid w:val="003C62BC"/>
    <w:rsid w:val="003C6582"/>
    <w:rsid w:val="003C6AF9"/>
    <w:rsid w:val="003C6C8D"/>
    <w:rsid w:val="003D0E7E"/>
    <w:rsid w:val="003D2D75"/>
    <w:rsid w:val="003D2F16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1A0F"/>
    <w:rsid w:val="00402C8E"/>
    <w:rsid w:val="004033CC"/>
    <w:rsid w:val="0040344F"/>
    <w:rsid w:val="00403C6B"/>
    <w:rsid w:val="004040CC"/>
    <w:rsid w:val="0040435C"/>
    <w:rsid w:val="00406880"/>
    <w:rsid w:val="004118D1"/>
    <w:rsid w:val="004119DB"/>
    <w:rsid w:val="004131A2"/>
    <w:rsid w:val="00414D7B"/>
    <w:rsid w:val="004159FA"/>
    <w:rsid w:val="00416AA5"/>
    <w:rsid w:val="0042304F"/>
    <w:rsid w:val="0042323E"/>
    <w:rsid w:val="004232C1"/>
    <w:rsid w:val="00423D86"/>
    <w:rsid w:val="00423EF0"/>
    <w:rsid w:val="0042406F"/>
    <w:rsid w:val="0042446D"/>
    <w:rsid w:val="004257AE"/>
    <w:rsid w:val="0042685C"/>
    <w:rsid w:val="004279B1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37A6A"/>
    <w:rsid w:val="004432D9"/>
    <w:rsid w:val="00445047"/>
    <w:rsid w:val="00445683"/>
    <w:rsid w:val="00445A7C"/>
    <w:rsid w:val="0044644A"/>
    <w:rsid w:val="00451285"/>
    <w:rsid w:val="00451A8D"/>
    <w:rsid w:val="00451AD5"/>
    <w:rsid w:val="0045269C"/>
    <w:rsid w:val="0045291F"/>
    <w:rsid w:val="00452C65"/>
    <w:rsid w:val="0045302D"/>
    <w:rsid w:val="00454346"/>
    <w:rsid w:val="004546ED"/>
    <w:rsid w:val="00454A5C"/>
    <w:rsid w:val="004553E8"/>
    <w:rsid w:val="00455943"/>
    <w:rsid w:val="00455D21"/>
    <w:rsid w:val="00457611"/>
    <w:rsid w:val="004609F2"/>
    <w:rsid w:val="00461C43"/>
    <w:rsid w:val="00461CA9"/>
    <w:rsid w:val="00463E39"/>
    <w:rsid w:val="004657FC"/>
    <w:rsid w:val="00465A3F"/>
    <w:rsid w:val="004662CE"/>
    <w:rsid w:val="00467B8A"/>
    <w:rsid w:val="00470A70"/>
    <w:rsid w:val="0047162D"/>
    <w:rsid w:val="004733F6"/>
    <w:rsid w:val="00473463"/>
    <w:rsid w:val="00474404"/>
    <w:rsid w:val="00474E69"/>
    <w:rsid w:val="004757CC"/>
    <w:rsid w:val="0047758E"/>
    <w:rsid w:val="0048008C"/>
    <w:rsid w:val="00482BBE"/>
    <w:rsid w:val="00482FAD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60DB"/>
    <w:rsid w:val="004B7384"/>
    <w:rsid w:val="004C04FC"/>
    <w:rsid w:val="004C0840"/>
    <w:rsid w:val="004C0E8B"/>
    <w:rsid w:val="004C1176"/>
    <w:rsid w:val="004C1895"/>
    <w:rsid w:val="004C1994"/>
    <w:rsid w:val="004C21B2"/>
    <w:rsid w:val="004C3763"/>
    <w:rsid w:val="004C530D"/>
    <w:rsid w:val="004C5A76"/>
    <w:rsid w:val="004C5EFD"/>
    <w:rsid w:val="004C6D40"/>
    <w:rsid w:val="004C7599"/>
    <w:rsid w:val="004C76CB"/>
    <w:rsid w:val="004D126E"/>
    <w:rsid w:val="004D211A"/>
    <w:rsid w:val="004D30A4"/>
    <w:rsid w:val="004D48A4"/>
    <w:rsid w:val="004D4BCB"/>
    <w:rsid w:val="004D4E95"/>
    <w:rsid w:val="004D70A4"/>
    <w:rsid w:val="004D78DB"/>
    <w:rsid w:val="004D7C97"/>
    <w:rsid w:val="004D7F8B"/>
    <w:rsid w:val="004E070B"/>
    <w:rsid w:val="004E194A"/>
    <w:rsid w:val="004E1B1E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39DF"/>
    <w:rsid w:val="004F43B0"/>
    <w:rsid w:val="004F445E"/>
    <w:rsid w:val="004F4B2E"/>
    <w:rsid w:val="004F5A7C"/>
    <w:rsid w:val="004F63FC"/>
    <w:rsid w:val="0050144E"/>
    <w:rsid w:val="0050225F"/>
    <w:rsid w:val="00503D60"/>
    <w:rsid w:val="00505884"/>
    <w:rsid w:val="00505A92"/>
    <w:rsid w:val="00506FD7"/>
    <w:rsid w:val="005073E8"/>
    <w:rsid w:val="00507596"/>
    <w:rsid w:val="00511BFC"/>
    <w:rsid w:val="00512053"/>
    <w:rsid w:val="00512936"/>
    <w:rsid w:val="00514F14"/>
    <w:rsid w:val="00516E41"/>
    <w:rsid w:val="005203F1"/>
    <w:rsid w:val="00520F91"/>
    <w:rsid w:val="00521BC3"/>
    <w:rsid w:val="00524279"/>
    <w:rsid w:val="005259DE"/>
    <w:rsid w:val="005261DA"/>
    <w:rsid w:val="005262C3"/>
    <w:rsid w:val="00526B0F"/>
    <w:rsid w:val="00527316"/>
    <w:rsid w:val="00527E03"/>
    <w:rsid w:val="005306A2"/>
    <w:rsid w:val="00530791"/>
    <w:rsid w:val="00530ACC"/>
    <w:rsid w:val="00530B2D"/>
    <w:rsid w:val="00532B4D"/>
    <w:rsid w:val="00535EF6"/>
    <w:rsid w:val="0053648D"/>
    <w:rsid w:val="005371D8"/>
    <w:rsid w:val="00537F05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247C"/>
    <w:rsid w:val="00555D74"/>
    <w:rsid w:val="00556CF1"/>
    <w:rsid w:val="00557D23"/>
    <w:rsid w:val="00560493"/>
    <w:rsid w:val="0056170C"/>
    <w:rsid w:val="0056256F"/>
    <w:rsid w:val="00562D3D"/>
    <w:rsid w:val="00566332"/>
    <w:rsid w:val="005663F2"/>
    <w:rsid w:val="005719B3"/>
    <w:rsid w:val="005762A7"/>
    <w:rsid w:val="0057767A"/>
    <w:rsid w:val="00577D8C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6368"/>
    <w:rsid w:val="005A6978"/>
    <w:rsid w:val="005A698C"/>
    <w:rsid w:val="005A6F50"/>
    <w:rsid w:val="005A76BC"/>
    <w:rsid w:val="005B0EBB"/>
    <w:rsid w:val="005B10FE"/>
    <w:rsid w:val="005B11DA"/>
    <w:rsid w:val="005B15C1"/>
    <w:rsid w:val="005B2433"/>
    <w:rsid w:val="005B2EDD"/>
    <w:rsid w:val="005B44E2"/>
    <w:rsid w:val="005B5280"/>
    <w:rsid w:val="005B621C"/>
    <w:rsid w:val="005B7751"/>
    <w:rsid w:val="005C07E6"/>
    <w:rsid w:val="005C4F00"/>
    <w:rsid w:val="005D0C2A"/>
    <w:rsid w:val="005D1AD0"/>
    <w:rsid w:val="005D2382"/>
    <w:rsid w:val="005D426F"/>
    <w:rsid w:val="005D444A"/>
    <w:rsid w:val="005D77FB"/>
    <w:rsid w:val="005D7C1F"/>
    <w:rsid w:val="005E0799"/>
    <w:rsid w:val="005E0B7C"/>
    <w:rsid w:val="005E14A3"/>
    <w:rsid w:val="005E2176"/>
    <w:rsid w:val="005E2CB6"/>
    <w:rsid w:val="005E3DB4"/>
    <w:rsid w:val="005E4ABD"/>
    <w:rsid w:val="005E52C4"/>
    <w:rsid w:val="005E5935"/>
    <w:rsid w:val="005E5E39"/>
    <w:rsid w:val="005E63B5"/>
    <w:rsid w:val="005F0DD0"/>
    <w:rsid w:val="005F2190"/>
    <w:rsid w:val="005F29E1"/>
    <w:rsid w:val="005F2ED2"/>
    <w:rsid w:val="005F4FE0"/>
    <w:rsid w:val="005F5A80"/>
    <w:rsid w:val="005F6C72"/>
    <w:rsid w:val="005F6DE7"/>
    <w:rsid w:val="005F6DFA"/>
    <w:rsid w:val="00601033"/>
    <w:rsid w:val="0060140B"/>
    <w:rsid w:val="00602D9A"/>
    <w:rsid w:val="006040EC"/>
    <w:rsid w:val="006044FF"/>
    <w:rsid w:val="00605F33"/>
    <w:rsid w:val="00606660"/>
    <w:rsid w:val="00607CC5"/>
    <w:rsid w:val="00611205"/>
    <w:rsid w:val="00611E75"/>
    <w:rsid w:val="0061219D"/>
    <w:rsid w:val="006140C6"/>
    <w:rsid w:val="00617632"/>
    <w:rsid w:val="00617D26"/>
    <w:rsid w:val="00620A43"/>
    <w:rsid w:val="006218D3"/>
    <w:rsid w:val="00622120"/>
    <w:rsid w:val="00623AEC"/>
    <w:rsid w:val="006256CF"/>
    <w:rsid w:val="00625DC7"/>
    <w:rsid w:val="0063050D"/>
    <w:rsid w:val="00632056"/>
    <w:rsid w:val="00633014"/>
    <w:rsid w:val="00633B23"/>
    <w:rsid w:val="0063437B"/>
    <w:rsid w:val="0063555F"/>
    <w:rsid w:val="0063635C"/>
    <w:rsid w:val="0063792B"/>
    <w:rsid w:val="00637A3F"/>
    <w:rsid w:val="00640163"/>
    <w:rsid w:val="00640F41"/>
    <w:rsid w:val="00641278"/>
    <w:rsid w:val="006413CF"/>
    <w:rsid w:val="00641FCD"/>
    <w:rsid w:val="00642AE9"/>
    <w:rsid w:val="006444F1"/>
    <w:rsid w:val="00644F02"/>
    <w:rsid w:val="006451FC"/>
    <w:rsid w:val="00645BAF"/>
    <w:rsid w:val="006467C3"/>
    <w:rsid w:val="00646D00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4CC8"/>
    <w:rsid w:val="006751BC"/>
    <w:rsid w:val="00676B47"/>
    <w:rsid w:val="0068156A"/>
    <w:rsid w:val="0068212F"/>
    <w:rsid w:val="00682F98"/>
    <w:rsid w:val="00683277"/>
    <w:rsid w:val="00685DC3"/>
    <w:rsid w:val="006902AD"/>
    <w:rsid w:val="006903BA"/>
    <w:rsid w:val="00690BEE"/>
    <w:rsid w:val="00692138"/>
    <w:rsid w:val="00692ADC"/>
    <w:rsid w:val="00692F06"/>
    <w:rsid w:val="006932A5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41E2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947"/>
    <w:rsid w:val="006B5AE4"/>
    <w:rsid w:val="006B71CD"/>
    <w:rsid w:val="006C14C0"/>
    <w:rsid w:val="006C2F29"/>
    <w:rsid w:val="006C3D4E"/>
    <w:rsid w:val="006C6061"/>
    <w:rsid w:val="006C7632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4CE"/>
    <w:rsid w:val="006D7F9F"/>
    <w:rsid w:val="006E02EC"/>
    <w:rsid w:val="006E1123"/>
    <w:rsid w:val="006E186C"/>
    <w:rsid w:val="006E4BB4"/>
    <w:rsid w:val="006E7789"/>
    <w:rsid w:val="006F43EB"/>
    <w:rsid w:val="006F57E5"/>
    <w:rsid w:val="006F654C"/>
    <w:rsid w:val="00700B53"/>
    <w:rsid w:val="00701AB5"/>
    <w:rsid w:val="00702145"/>
    <w:rsid w:val="00702737"/>
    <w:rsid w:val="00703B4F"/>
    <w:rsid w:val="00706806"/>
    <w:rsid w:val="00710889"/>
    <w:rsid w:val="00711297"/>
    <w:rsid w:val="00711571"/>
    <w:rsid w:val="00714F50"/>
    <w:rsid w:val="00715B9D"/>
    <w:rsid w:val="00717870"/>
    <w:rsid w:val="007205CE"/>
    <w:rsid w:val="00720B41"/>
    <w:rsid w:val="007211B1"/>
    <w:rsid w:val="0072164A"/>
    <w:rsid w:val="0072251B"/>
    <w:rsid w:val="00722864"/>
    <w:rsid w:val="00722902"/>
    <w:rsid w:val="00726B70"/>
    <w:rsid w:val="00726CEB"/>
    <w:rsid w:val="00730184"/>
    <w:rsid w:val="00732809"/>
    <w:rsid w:val="00734700"/>
    <w:rsid w:val="00735C9C"/>
    <w:rsid w:val="0073602C"/>
    <w:rsid w:val="00737ADD"/>
    <w:rsid w:val="00743C22"/>
    <w:rsid w:val="00743F79"/>
    <w:rsid w:val="00744DB2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57C7B"/>
    <w:rsid w:val="0076090D"/>
    <w:rsid w:val="00760E3A"/>
    <w:rsid w:val="0076121A"/>
    <w:rsid w:val="0076158A"/>
    <w:rsid w:val="007615BC"/>
    <w:rsid w:val="007623ED"/>
    <w:rsid w:val="00762403"/>
    <w:rsid w:val="0076254F"/>
    <w:rsid w:val="00766AB7"/>
    <w:rsid w:val="00767898"/>
    <w:rsid w:val="00767A5B"/>
    <w:rsid w:val="007700E4"/>
    <w:rsid w:val="0077196D"/>
    <w:rsid w:val="00771ECD"/>
    <w:rsid w:val="00773E86"/>
    <w:rsid w:val="00774C6B"/>
    <w:rsid w:val="00775CBA"/>
    <w:rsid w:val="00776DBA"/>
    <w:rsid w:val="007801F5"/>
    <w:rsid w:val="007811B1"/>
    <w:rsid w:val="00781847"/>
    <w:rsid w:val="00783CA4"/>
    <w:rsid w:val="007842FB"/>
    <w:rsid w:val="00786124"/>
    <w:rsid w:val="00790B96"/>
    <w:rsid w:val="00791F7B"/>
    <w:rsid w:val="00791FC6"/>
    <w:rsid w:val="00792ACE"/>
    <w:rsid w:val="0079514B"/>
    <w:rsid w:val="00795CEE"/>
    <w:rsid w:val="007962F7"/>
    <w:rsid w:val="00797A85"/>
    <w:rsid w:val="007A2DC1"/>
    <w:rsid w:val="007A3C6F"/>
    <w:rsid w:val="007A583B"/>
    <w:rsid w:val="007A666B"/>
    <w:rsid w:val="007A7C0E"/>
    <w:rsid w:val="007B1B50"/>
    <w:rsid w:val="007B1E00"/>
    <w:rsid w:val="007B3BAE"/>
    <w:rsid w:val="007B5805"/>
    <w:rsid w:val="007B5859"/>
    <w:rsid w:val="007B7014"/>
    <w:rsid w:val="007B7E22"/>
    <w:rsid w:val="007C10D9"/>
    <w:rsid w:val="007C11A8"/>
    <w:rsid w:val="007C14FB"/>
    <w:rsid w:val="007C366B"/>
    <w:rsid w:val="007C3926"/>
    <w:rsid w:val="007C4564"/>
    <w:rsid w:val="007C5AC2"/>
    <w:rsid w:val="007D0350"/>
    <w:rsid w:val="007D2B8D"/>
    <w:rsid w:val="007D3319"/>
    <w:rsid w:val="007D335D"/>
    <w:rsid w:val="007D43B2"/>
    <w:rsid w:val="007D4C24"/>
    <w:rsid w:val="007D4F63"/>
    <w:rsid w:val="007D5ACA"/>
    <w:rsid w:val="007E0208"/>
    <w:rsid w:val="007E1B65"/>
    <w:rsid w:val="007E2821"/>
    <w:rsid w:val="007E3301"/>
    <w:rsid w:val="007E3314"/>
    <w:rsid w:val="007E4B03"/>
    <w:rsid w:val="007E627A"/>
    <w:rsid w:val="007E6B4A"/>
    <w:rsid w:val="007F08AD"/>
    <w:rsid w:val="007F324B"/>
    <w:rsid w:val="007F3482"/>
    <w:rsid w:val="007F5697"/>
    <w:rsid w:val="007F5C01"/>
    <w:rsid w:val="007F7964"/>
    <w:rsid w:val="007F79AB"/>
    <w:rsid w:val="008028D6"/>
    <w:rsid w:val="0080476C"/>
    <w:rsid w:val="00804892"/>
    <w:rsid w:val="0080553C"/>
    <w:rsid w:val="00805B46"/>
    <w:rsid w:val="00806470"/>
    <w:rsid w:val="008106B9"/>
    <w:rsid w:val="0081118B"/>
    <w:rsid w:val="008114BA"/>
    <w:rsid w:val="00812DFA"/>
    <w:rsid w:val="00814202"/>
    <w:rsid w:val="00815179"/>
    <w:rsid w:val="00820B1A"/>
    <w:rsid w:val="00821DAE"/>
    <w:rsid w:val="00822513"/>
    <w:rsid w:val="00822948"/>
    <w:rsid w:val="00823177"/>
    <w:rsid w:val="008233AE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32D"/>
    <w:rsid w:val="00852448"/>
    <w:rsid w:val="00854097"/>
    <w:rsid w:val="00854334"/>
    <w:rsid w:val="00865455"/>
    <w:rsid w:val="00865F76"/>
    <w:rsid w:val="008672E8"/>
    <w:rsid w:val="0087165C"/>
    <w:rsid w:val="00871AEC"/>
    <w:rsid w:val="00872B57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4717"/>
    <w:rsid w:val="00886332"/>
    <w:rsid w:val="00886696"/>
    <w:rsid w:val="00886E14"/>
    <w:rsid w:val="00891734"/>
    <w:rsid w:val="00893D3E"/>
    <w:rsid w:val="0089499E"/>
    <w:rsid w:val="0089745C"/>
    <w:rsid w:val="008A076C"/>
    <w:rsid w:val="008A26D9"/>
    <w:rsid w:val="008A3E2C"/>
    <w:rsid w:val="008A4226"/>
    <w:rsid w:val="008A4F55"/>
    <w:rsid w:val="008A6057"/>
    <w:rsid w:val="008A77CD"/>
    <w:rsid w:val="008A781A"/>
    <w:rsid w:val="008B1EC9"/>
    <w:rsid w:val="008B3281"/>
    <w:rsid w:val="008B3507"/>
    <w:rsid w:val="008B50FF"/>
    <w:rsid w:val="008B5997"/>
    <w:rsid w:val="008B6248"/>
    <w:rsid w:val="008B6C73"/>
    <w:rsid w:val="008B6C7E"/>
    <w:rsid w:val="008B71DA"/>
    <w:rsid w:val="008C0242"/>
    <w:rsid w:val="008C0512"/>
    <w:rsid w:val="008C2B5C"/>
    <w:rsid w:val="008C32DD"/>
    <w:rsid w:val="008C3E45"/>
    <w:rsid w:val="008C569E"/>
    <w:rsid w:val="008C6ABC"/>
    <w:rsid w:val="008C70E8"/>
    <w:rsid w:val="008D2C97"/>
    <w:rsid w:val="008D3116"/>
    <w:rsid w:val="008D31AC"/>
    <w:rsid w:val="008D361F"/>
    <w:rsid w:val="008D372E"/>
    <w:rsid w:val="008D3834"/>
    <w:rsid w:val="008E0426"/>
    <w:rsid w:val="008E0690"/>
    <w:rsid w:val="008E3158"/>
    <w:rsid w:val="008E3FD2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509B"/>
    <w:rsid w:val="00916664"/>
    <w:rsid w:val="00917D43"/>
    <w:rsid w:val="009205C5"/>
    <w:rsid w:val="00920B7D"/>
    <w:rsid w:val="009222CB"/>
    <w:rsid w:val="009227A6"/>
    <w:rsid w:val="0092366F"/>
    <w:rsid w:val="009247DB"/>
    <w:rsid w:val="00926995"/>
    <w:rsid w:val="009269E1"/>
    <w:rsid w:val="00926CD9"/>
    <w:rsid w:val="0092753D"/>
    <w:rsid w:val="009276FA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3F43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1163"/>
    <w:rsid w:val="00961A8B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537F"/>
    <w:rsid w:val="00985CAD"/>
    <w:rsid w:val="00986477"/>
    <w:rsid w:val="0099018C"/>
    <w:rsid w:val="00990AAC"/>
    <w:rsid w:val="009921EB"/>
    <w:rsid w:val="009931F3"/>
    <w:rsid w:val="0099373A"/>
    <w:rsid w:val="00994E81"/>
    <w:rsid w:val="00994F6A"/>
    <w:rsid w:val="00996693"/>
    <w:rsid w:val="009A0F57"/>
    <w:rsid w:val="009A24B0"/>
    <w:rsid w:val="009A32FB"/>
    <w:rsid w:val="009A36CD"/>
    <w:rsid w:val="009A40B0"/>
    <w:rsid w:val="009A5339"/>
    <w:rsid w:val="009A68CB"/>
    <w:rsid w:val="009A7203"/>
    <w:rsid w:val="009B068E"/>
    <w:rsid w:val="009B09B3"/>
    <w:rsid w:val="009B3625"/>
    <w:rsid w:val="009B4CC8"/>
    <w:rsid w:val="009B5608"/>
    <w:rsid w:val="009B5808"/>
    <w:rsid w:val="009C0165"/>
    <w:rsid w:val="009C1335"/>
    <w:rsid w:val="009C1599"/>
    <w:rsid w:val="009C1653"/>
    <w:rsid w:val="009C1AB2"/>
    <w:rsid w:val="009C22CC"/>
    <w:rsid w:val="009C2641"/>
    <w:rsid w:val="009C2922"/>
    <w:rsid w:val="009C368B"/>
    <w:rsid w:val="009C3CDB"/>
    <w:rsid w:val="009C55CE"/>
    <w:rsid w:val="009C5DCB"/>
    <w:rsid w:val="009C6BA6"/>
    <w:rsid w:val="009C7251"/>
    <w:rsid w:val="009C7732"/>
    <w:rsid w:val="009D03BD"/>
    <w:rsid w:val="009D0E86"/>
    <w:rsid w:val="009D29E0"/>
    <w:rsid w:val="009D3868"/>
    <w:rsid w:val="009D4517"/>
    <w:rsid w:val="009D48BF"/>
    <w:rsid w:val="009E1545"/>
    <w:rsid w:val="009E1846"/>
    <w:rsid w:val="009E1D0F"/>
    <w:rsid w:val="009E2E91"/>
    <w:rsid w:val="009E54C6"/>
    <w:rsid w:val="009E5AE7"/>
    <w:rsid w:val="009E708E"/>
    <w:rsid w:val="009E72C4"/>
    <w:rsid w:val="009E7C25"/>
    <w:rsid w:val="009F0A18"/>
    <w:rsid w:val="009F2748"/>
    <w:rsid w:val="009F34DA"/>
    <w:rsid w:val="009F46AA"/>
    <w:rsid w:val="009F528A"/>
    <w:rsid w:val="009F62B9"/>
    <w:rsid w:val="009F66B2"/>
    <w:rsid w:val="009F7BAC"/>
    <w:rsid w:val="00A00D24"/>
    <w:rsid w:val="00A010AD"/>
    <w:rsid w:val="00A011AB"/>
    <w:rsid w:val="00A0171D"/>
    <w:rsid w:val="00A02167"/>
    <w:rsid w:val="00A0402E"/>
    <w:rsid w:val="00A042C8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1F3F"/>
    <w:rsid w:val="00A422C5"/>
    <w:rsid w:val="00A44AB4"/>
    <w:rsid w:val="00A44E2F"/>
    <w:rsid w:val="00A458C8"/>
    <w:rsid w:val="00A4707B"/>
    <w:rsid w:val="00A47D80"/>
    <w:rsid w:val="00A521CD"/>
    <w:rsid w:val="00A529C3"/>
    <w:rsid w:val="00A53132"/>
    <w:rsid w:val="00A563F2"/>
    <w:rsid w:val="00A566E8"/>
    <w:rsid w:val="00A57A69"/>
    <w:rsid w:val="00A62657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ABE"/>
    <w:rsid w:val="00A74073"/>
    <w:rsid w:val="00A74B25"/>
    <w:rsid w:val="00A74CF4"/>
    <w:rsid w:val="00A758C8"/>
    <w:rsid w:val="00A75CE2"/>
    <w:rsid w:val="00A82134"/>
    <w:rsid w:val="00A825BE"/>
    <w:rsid w:val="00A83FC5"/>
    <w:rsid w:val="00A84FCF"/>
    <w:rsid w:val="00A852B4"/>
    <w:rsid w:val="00A869E7"/>
    <w:rsid w:val="00A86A42"/>
    <w:rsid w:val="00A86ECC"/>
    <w:rsid w:val="00A86FCC"/>
    <w:rsid w:val="00A93979"/>
    <w:rsid w:val="00A94A12"/>
    <w:rsid w:val="00A96559"/>
    <w:rsid w:val="00A976B7"/>
    <w:rsid w:val="00AA3363"/>
    <w:rsid w:val="00AA3470"/>
    <w:rsid w:val="00AA34FD"/>
    <w:rsid w:val="00AA3A34"/>
    <w:rsid w:val="00AA419D"/>
    <w:rsid w:val="00AA5343"/>
    <w:rsid w:val="00AA6583"/>
    <w:rsid w:val="00AA6722"/>
    <w:rsid w:val="00AA6CF1"/>
    <w:rsid w:val="00AA710D"/>
    <w:rsid w:val="00AB264C"/>
    <w:rsid w:val="00AB5850"/>
    <w:rsid w:val="00AB6123"/>
    <w:rsid w:val="00AB6723"/>
    <w:rsid w:val="00AB6D25"/>
    <w:rsid w:val="00AB6D9B"/>
    <w:rsid w:val="00AC0641"/>
    <w:rsid w:val="00AC2BAC"/>
    <w:rsid w:val="00AC3527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99B"/>
    <w:rsid w:val="00AD7219"/>
    <w:rsid w:val="00AD7696"/>
    <w:rsid w:val="00AE14B1"/>
    <w:rsid w:val="00AE269F"/>
    <w:rsid w:val="00AE2D4B"/>
    <w:rsid w:val="00AE4F20"/>
    <w:rsid w:val="00AE4F99"/>
    <w:rsid w:val="00AE5E5F"/>
    <w:rsid w:val="00AE62E6"/>
    <w:rsid w:val="00AE7313"/>
    <w:rsid w:val="00AF0D97"/>
    <w:rsid w:val="00AF2781"/>
    <w:rsid w:val="00AF4F89"/>
    <w:rsid w:val="00AF6380"/>
    <w:rsid w:val="00B06096"/>
    <w:rsid w:val="00B0713B"/>
    <w:rsid w:val="00B1087D"/>
    <w:rsid w:val="00B14952"/>
    <w:rsid w:val="00B20762"/>
    <w:rsid w:val="00B21538"/>
    <w:rsid w:val="00B21AC8"/>
    <w:rsid w:val="00B22112"/>
    <w:rsid w:val="00B23D69"/>
    <w:rsid w:val="00B24A8B"/>
    <w:rsid w:val="00B25B97"/>
    <w:rsid w:val="00B30271"/>
    <w:rsid w:val="00B3064B"/>
    <w:rsid w:val="00B31E5A"/>
    <w:rsid w:val="00B34C55"/>
    <w:rsid w:val="00B35F4F"/>
    <w:rsid w:val="00B366F3"/>
    <w:rsid w:val="00B36FEF"/>
    <w:rsid w:val="00B404E9"/>
    <w:rsid w:val="00B41A2C"/>
    <w:rsid w:val="00B4379F"/>
    <w:rsid w:val="00B44F0A"/>
    <w:rsid w:val="00B46194"/>
    <w:rsid w:val="00B50344"/>
    <w:rsid w:val="00B511F2"/>
    <w:rsid w:val="00B51E9F"/>
    <w:rsid w:val="00B52573"/>
    <w:rsid w:val="00B53BF2"/>
    <w:rsid w:val="00B5598C"/>
    <w:rsid w:val="00B560E4"/>
    <w:rsid w:val="00B56436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53AB"/>
    <w:rsid w:val="00B653BB"/>
    <w:rsid w:val="00B65F9E"/>
    <w:rsid w:val="00B66B19"/>
    <w:rsid w:val="00B677FD"/>
    <w:rsid w:val="00B7359B"/>
    <w:rsid w:val="00B76EA1"/>
    <w:rsid w:val="00B809E0"/>
    <w:rsid w:val="00B81337"/>
    <w:rsid w:val="00B825FF"/>
    <w:rsid w:val="00B82FB7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97839"/>
    <w:rsid w:val="00BA0245"/>
    <w:rsid w:val="00BA0597"/>
    <w:rsid w:val="00BA2BA1"/>
    <w:rsid w:val="00BA332D"/>
    <w:rsid w:val="00BA3E41"/>
    <w:rsid w:val="00BA437D"/>
    <w:rsid w:val="00BA6311"/>
    <w:rsid w:val="00BB0A5B"/>
    <w:rsid w:val="00BB112E"/>
    <w:rsid w:val="00BB127F"/>
    <w:rsid w:val="00BB595D"/>
    <w:rsid w:val="00BB6747"/>
    <w:rsid w:val="00BC1A49"/>
    <w:rsid w:val="00BC28CB"/>
    <w:rsid w:val="00BC3718"/>
    <w:rsid w:val="00BC3B6A"/>
    <w:rsid w:val="00BC3C8E"/>
    <w:rsid w:val="00BC512B"/>
    <w:rsid w:val="00BD26FA"/>
    <w:rsid w:val="00BD3265"/>
    <w:rsid w:val="00BD4E33"/>
    <w:rsid w:val="00BE0358"/>
    <w:rsid w:val="00BE33C4"/>
    <w:rsid w:val="00BE477F"/>
    <w:rsid w:val="00BE6109"/>
    <w:rsid w:val="00BE6128"/>
    <w:rsid w:val="00BE6E57"/>
    <w:rsid w:val="00BE6F0A"/>
    <w:rsid w:val="00BE6F1B"/>
    <w:rsid w:val="00BF1315"/>
    <w:rsid w:val="00BF1A32"/>
    <w:rsid w:val="00BF21DD"/>
    <w:rsid w:val="00BF3746"/>
    <w:rsid w:val="00BF4569"/>
    <w:rsid w:val="00BF51AD"/>
    <w:rsid w:val="00BF6075"/>
    <w:rsid w:val="00BF6235"/>
    <w:rsid w:val="00BF6DC9"/>
    <w:rsid w:val="00BF75CD"/>
    <w:rsid w:val="00C001B6"/>
    <w:rsid w:val="00C030DE"/>
    <w:rsid w:val="00C04116"/>
    <w:rsid w:val="00C06507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F31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D4F"/>
    <w:rsid w:val="00C40E96"/>
    <w:rsid w:val="00C40EBD"/>
    <w:rsid w:val="00C41277"/>
    <w:rsid w:val="00C43D9D"/>
    <w:rsid w:val="00C458FD"/>
    <w:rsid w:val="00C4635E"/>
    <w:rsid w:val="00C46F42"/>
    <w:rsid w:val="00C4751D"/>
    <w:rsid w:val="00C50846"/>
    <w:rsid w:val="00C5085F"/>
    <w:rsid w:val="00C5302A"/>
    <w:rsid w:val="00C53718"/>
    <w:rsid w:val="00C537C3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0AED"/>
    <w:rsid w:val="00C812F5"/>
    <w:rsid w:val="00C813FB"/>
    <w:rsid w:val="00C81874"/>
    <w:rsid w:val="00C827A4"/>
    <w:rsid w:val="00C82C21"/>
    <w:rsid w:val="00C8318C"/>
    <w:rsid w:val="00C85214"/>
    <w:rsid w:val="00C8703A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2A1C"/>
    <w:rsid w:val="00CB383C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63C0"/>
    <w:rsid w:val="00CC739E"/>
    <w:rsid w:val="00CC75D9"/>
    <w:rsid w:val="00CC7916"/>
    <w:rsid w:val="00CD1EF1"/>
    <w:rsid w:val="00CD2613"/>
    <w:rsid w:val="00CD58B7"/>
    <w:rsid w:val="00CD6B7E"/>
    <w:rsid w:val="00CE06F1"/>
    <w:rsid w:val="00CE17CF"/>
    <w:rsid w:val="00CE1AFF"/>
    <w:rsid w:val="00CE36D6"/>
    <w:rsid w:val="00CE5DEE"/>
    <w:rsid w:val="00CE738C"/>
    <w:rsid w:val="00CF0700"/>
    <w:rsid w:val="00CF0CE2"/>
    <w:rsid w:val="00CF1622"/>
    <w:rsid w:val="00CF3244"/>
    <w:rsid w:val="00CF355C"/>
    <w:rsid w:val="00CF4099"/>
    <w:rsid w:val="00CF43A6"/>
    <w:rsid w:val="00CF4CC7"/>
    <w:rsid w:val="00CF5459"/>
    <w:rsid w:val="00CF75EC"/>
    <w:rsid w:val="00D020D3"/>
    <w:rsid w:val="00D02131"/>
    <w:rsid w:val="00D04A32"/>
    <w:rsid w:val="00D054DC"/>
    <w:rsid w:val="00D05C62"/>
    <w:rsid w:val="00D064DE"/>
    <w:rsid w:val="00D07944"/>
    <w:rsid w:val="00D0796F"/>
    <w:rsid w:val="00D12683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4785A"/>
    <w:rsid w:val="00D50F65"/>
    <w:rsid w:val="00D527B6"/>
    <w:rsid w:val="00D54462"/>
    <w:rsid w:val="00D56D0F"/>
    <w:rsid w:val="00D56E5C"/>
    <w:rsid w:val="00D60036"/>
    <w:rsid w:val="00D608CF"/>
    <w:rsid w:val="00D60C8E"/>
    <w:rsid w:val="00D616D2"/>
    <w:rsid w:val="00D62D0A"/>
    <w:rsid w:val="00D635A9"/>
    <w:rsid w:val="00D63B5F"/>
    <w:rsid w:val="00D64C6A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16EE"/>
    <w:rsid w:val="00D8319A"/>
    <w:rsid w:val="00D8397C"/>
    <w:rsid w:val="00D848FC"/>
    <w:rsid w:val="00D8629B"/>
    <w:rsid w:val="00D862ED"/>
    <w:rsid w:val="00D86F44"/>
    <w:rsid w:val="00D90208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42BA"/>
    <w:rsid w:val="00DA5470"/>
    <w:rsid w:val="00DA6411"/>
    <w:rsid w:val="00DA70D1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2725"/>
    <w:rsid w:val="00DD2B09"/>
    <w:rsid w:val="00DD4D9D"/>
    <w:rsid w:val="00DD53C7"/>
    <w:rsid w:val="00DD54A4"/>
    <w:rsid w:val="00DD6C42"/>
    <w:rsid w:val="00DE0352"/>
    <w:rsid w:val="00DE0A82"/>
    <w:rsid w:val="00DE1010"/>
    <w:rsid w:val="00DE1C3D"/>
    <w:rsid w:val="00DE1DF4"/>
    <w:rsid w:val="00DE2DE3"/>
    <w:rsid w:val="00DE6052"/>
    <w:rsid w:val="00DF26A9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DD1"/>
    <w:rsid w:val="00E100C7"/>
    <w:rsid w:val="00E10537"/>
    <w:rsid w:val="00E10FCD"/>
    <w:rsid w:val="00E11297"/>
    <w:rsid w:val="00E11FFC"/>
    <w:rsid w:val="00E144E4"/>
    <w:rsid w:val="00E1662D"/>
    <w:rsid w:val="00E16D71"/>
    <w:rsid w:val="00E17B77"/>
    <w:rsid w:val="00E21369"/>
    <w:rsid w:val="00E21A15"/>
    <w:rsid w:val="00E26254"/>
    <w:rsid w:val="00E26998"/>
    <w:rsid w:val="00E26D20"/>
    <w:rsid w:val="00E3044F"/>
    <w:rsid w:val="00E3094E"/>
    <w:rsid w:val="00E30AAF"/>
    <w:rsid w:val="00E31714"/>
    <w:rsid w:val="00E318F3"/>
    <w:rsid w:val="00E31B99"/>
    <w:rsid w:val="00E32061"/>
    <w:rsid w:val="00E33B50"/>
    <w:rsid w:val="00E34449"/>
    <w:rsid w:val="00E34F32"/>
    <w:rsid w:val="00E3508C"/>
    <w:rsid w:val="00E366C2"/>
    <w:rsid w:val="00E36AD5"/>
    <w:rsid w:val="00E36B28"/>
    <w:rsid w:val="00E42740"/>
    <w:rsid w:val="00E427CB"/>
    <w:rsid w:val="00E42FF9"/>
    <w:rsid w:val="00E44B77"/>
    <w:rsid w:val="00E454B8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604F4"/>
    <w:rsid w:val="00E60589"/>
    <w:rsid w:val="00E64971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005C"/>
    <w:rsid w:val="00E80E05"/>
    <w:rsid w:val="00E861B7"/>
    <w:rsid w:val="00E914B3"/>
    <w:rsid w:val="00E93CC8"/>
    <w:rsid w:val="00E94036"/>
    <w:rsid w:val="00E95166"/>
    <w:rsid w:val="00E95726"/>
    <w:rsid w:val="00EA0278"/>
    <w:rsid w:val="00EA0D97"/>
    <w:rsid w:val="00EA1352"/>
    <w:rsid w:val="00EA1D9A"/>
    <w:rsid w:val="00EA3B13"/>
    <w:rsid w:val="00EA3E3E"/>
    <w:rsid w:val="00EA45BA"/>
    <w:rsid w:val="00EA53B4"/>
    <w:rsid w:val="00EA56C9"/>
    <w:rsid w:val="00EA5DC4"/>
    <w:rsid w:val="00EA7B99"/>
    <w:rsid w:val="00EB1216"/>
    <w:rsid w:val="00EB1390"/>
    <w:rsid w:val="00EB2C71"/>
    <w:rsid w:val="00EB4340"/>
    <w:rsid w:val="00EB5095"/>
    <w:rsid w:val="00EB71E2"/>
    <w:rsid w:val="00EB7FF2"/>
    <w:rsid w:val="00EC29E5"/>
    <w:rsid w:val="00EC41F8"/>
    <w:rsid w:val="00EC526F"/>
    <w:rsid w:val="00EC5695"/>
    <w:rsid w:val="00ED0A2A"/>
    <w:rsid w:val="00ED18DF"/>
    <w:rsid w:val="00ED3102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263F"/>
    <w:rsid w:val="00EE4180"/>
    <w:rsid w:val="00EE41D5"/>
    <w:rsid w:val="00EE5F75"/>
    <w:rsid w:val="00EE717C"/>
    <w:rsid w:val="00EF4217"/>
    <w:rsid w:val="00EF47DA"/>
    <w:rsid w:val="00EF6153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1794C"/>
    <w:rsid w:val="00F21E01"/>
    <w:rsid w:val="00F22C79"/>
    <w:rsid w:val="00F22FBF"/>
    <w:rsid w:val="00F2342A"/>
    <w:rsid w:val="00F26FC8"/>
    <w:rsid w:val="00F271F4"/>
    <w:rsid w:val="00F27C8F"/>
    <w:rsid w:val="00F325AE"/>
    <w:rsid w:val="00F32749"/>
    <w:rsid w:val="00F33976"/>
    <w:rsid w:val="00F3654A"/>
    <w:rsid w:val="00F36DFD"/>
    <w:rsid w:val="00F37172"/>
    <w:rsid w:val="00F37483"/>
    <w:rsid w:val="00F37D5F"/>
    <w:rsid w:val="00F4061B"/>
    <w:rsid w:val="00F43795"/>
    <w:rsid w:val="00F4477E"/>
    <w:rsid w:val="00F447C8"/>
    <w:rsid w:val="00F44AE5"/>
    <w:rsid w:val="00F45969"/>
    <w:rsid w:val="00F50BA2"/>
    <w:rsid w:val="00F50DFB"/>
    <w:rsid w:val="00F54B60"/>
    <w:rsid w:val="00F601A3"/>
    <w:rsid w:val="00F60C1C"/>
    <w:rsid w:val="00F64CF2"/>
    <w:rsid w:val="00F673CB"/>
    <w:rsid w:val="00F67D8F"/>
    <w:rsid w:val="00F70A4C"/>
    <w:rsid w:val="00F71749"/>
    <w:rsid w:val="00F74004"/>
    <w:rsid w:val="00F749D9"/>
    <w:rsid w:val="00F76BB4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762F"/>
    <w:rsid w:val="00FB7C6D"/>
    <w:rsid w:val="00FC2186"/>
    <w:rsid w:val="00FC2AED"/>
    <w:rsid w:val="00FC4A0F"/>
    <w:rsid w:val="00FC4A22"/>
    <w:rsid w:val="00FC50D1"/>
    <w:rsid w:val="00FC551D"/>
    <w:rsid w:val="00FC58C4"/>
    <w:rsid w:val="00FC5BD8"/>
    <w:rsid w:val="00FC68F9"/>
    <w:rsid w:val="00FD0C73"/>
    <w:rsid w:val="00FD1DE5"/>
    <w:rsid w:val="00FD218D"/>
    <w:rsid w:val="00FD285F"/>
    <w:rsid w:val="00FD2D6B"/>
    <w:rsid w:val="00FD36B3"/>
    <w:rsid w:val="00FD3DD3"/>
    <w:rsid w:val="00FD4881"/>
    <w:rsid w:val="00FD4C00"/>
    <w:rsid w:val="00FD52C7"/>
    <w:rsid w:val="00FD536D"/>
    <w:rsid w:val="00FE1393"/>
    <w:rsid w:val="00FE1FDB"/>
    <w:rsid w:val="00FE2171"/>
    <w:rsid w:val="00FE2827"/>
    <w:rsid w:val="00FE2B04"/>
    <w:rsid w:val="00FE2DD1"/>
    <w:rsid w:val="00FE489B"/>
    <w:rsid w:val="00FE5B79"/>
    <w:rsid w:val="00FF31F1"/>
    <w:rsid w:val="00FF4611"/>
    <w:rsid w:val="00FF48A8"/>
    <w:rsid w:val="00FF537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7822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emf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header" Target="header1.xml"/><Relationship Id="rId63" Type="http://schemas.openxmlformats.org/officeDocument/2006/relationships/hyperlink" Target="http://stat.gov.pl/infografiki-widzety/infografiki/publikacja,38.html" TargetMode="External"/><Relationship Id="rId68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png"/><Relationship Id="rId32" Type="http://schemas.openxmlformats.org/officeDocument/2006/relationships/image" Target="media/image25.emf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2.png"/><Relationship Id="rId58" Type="http://schemas.openxmlformats.org/officeDocument/2006/relationships/hyperlink" Target="http://stat.gov.pl/obszary-tematyczne/koniunktura/koniunktura/badanie-koniunktury-gospodarczej-zeszyt-metodologiczny,5,9.html" TargetMode="External"/><Relationship Id="rId66" Type="http://schemas.openxmlformats.org/officeDocument/2006/relationships/hyperlink" Target="http://bdm.stat.gov.pl/" TargetMode="External"/><Relationship Id="rId5" Type="http://schemas.openxmlformats.org/officeDocument/2006/relationships/styles" Target="styles.xml"/><Relationship Id="rId61" Type="http://schemas.openxmlformats.org/officeDocument/2006/relationships/hyperlink" Target="http://stat.gov.pl/metainformacje/slownik-pojec/pojecia-stosowane-w-statystyce-publicznej/2076,pojecie.html" TargetMode="External"/><Relationship Id="rId19" Type="http://schemas.openxmlformats.org/officeDocument/2006/relationships/image" Target="media/image1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png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png"/><Relationship Id="rId48" Type="http://schemas.openxmlformats.org/officeDocument/2006/relationships/footer" Target="footer1.xml"/><Relationship Id="rId56" Type="http://schemas.openxmlformats.org/officeDocument/2006/relationships/hyperlink" Target="http://stat.gov.pl/obszary-tematyczne/koniunktura/koniunktura/publikacja,4.html" TargetMode="External"/><Relationship Id="rId64" Type="http://schemas.openxmlformats.org/officeDocument/2006/relationships/hyperlink" Target="http://stat.gov.pl/obszary-tematyczne/koniunktura/koniunktura/badanie-koniunktury-gospodarczej-zeszyt-metodologiczny,5,9.html" TargetMode="External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mailto:obslugaprasowa@stat.gov.p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png"/><Relationship Id="rId59" Type="http://schemas.openxmlformats.org/officeDocument/2006/relationships/hyperlink" Target="http://swaid.stat.gov.pl/SitePagesDBW/KoniunkturaGospodarcza.aspx" TargetMode="External"/><Relationship Id="rId67" Type="http://schemas.openxmlformats.org/officeDocument/2006/relationships/hyperlink" Target="http://stat.gov.pl/metainformacje/slownik-pojec/pojecia-stosowane-w-statystyce-publicznej/2076,pojecie.html" TargetMode="External"/><Relationship Id="rId20" Type="http://schemas.openxmlformats.org/officeDocument/2006/relationships/image" Target="media/image13.emf"/><Relationship Id="rId41" Type="http://schemas.openxmlformats.org/officeDocument/2006/relationships/image" Target="media/image34.png"/><Relationship Id="rId54" Type="http://schemas.openxmlformats.org/officeDocument/2006/relationships/image" Target="media/image43.png"/><Relationship Id="rId62" Type="http://schemas.openxmlformats.org/officeDocument/2006/relationships/hyperlink" Target="http://stat.gov.pl/obszary-tematyczne/koniunktura/koniunktura/publikacja,4.html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header" Target="header2.xml"/><Relationship Id="rId57" Type="http://schemas.openxmlformats.org/officeDocument/2006/relationships/hyperlink" Target="http://stat.gov.pl/infografiki-widzety/infografiki/publikacja,38.html" TargetMode="External"/><Relationship Id="rId10" Type="http://schemas.openxmlformats.org/officeDocument/2006/relationships/image" Target="media/image3.jpg"/><Relationship Id="rId31" Type="http://schemas.openxmlformats.org/officeDocument/2006/relationships/image" Target="media/image24.emf"/><Relationship Id="rId44" Type="http://schemas.openxmlformats.org/officeDocument/2006/relationships/image" Target="media/image37.png"/><Relationship Id="rId52" Type="http://schemas.openxmlformats.org/officeDocument/2006/relationships/image" Target="media/image41.png"/><Relationship Id="rId60" Type="http://schemas.openxmlformats.org/officeDocument/2006/relationships/hyperlink" Target="http://bdm.stat.gov.pl/" TargetMode="External"/><Relationship Id="rId65" Type="http://schemas.openxmlformats.org/officeDocument/2006/relationships/hyperlink" Target="http://swaid.stat.gov.pl/SitePagesDBW/KoniunkturaGospodarcza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9" Type="http://schemas.openxmlformats.org/officeDocument/2006/relationships/image" Target="media/image32.emf"/><Relationship Id="rId34" Type="http://schemas.openxmlformats.org/officeDocument/2006/relationships/image" Target="media/image27.png"/><Relationship Id="rId50" Type="http://schemas.openxmlformats.org/officeDocument/2006/relationships/footer" Target="footer2.xml"/><Relationship Id="rId55" Type="http://schemas.openxmlformats.org/officeDocument/2006/relationships/image" Target="media/image4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- 07.2021.docx.docx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A7866-740D-4797-8F07-19E8F7A2EE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B8FA6DC3-3F79-4462-AC85-7D7C7B03A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CA1D2-882B-4DF5-9CF2-3902DDDF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1214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przetwórstwie przemysłowym, budownictwie, handlu i usługach - lipiec 2021 r.</dc:title>
  <dc:subject>Koniunktura w przetwórstwie przemysłowym, budownictwie, handlu i usługach</dc:subject>
  <dc:creator>Główny Urząd Statystyczny</dc:creator>
  <cp:keywords>przedsiębiorstwa; koniunktura gospodarcza; badanie koniunktury gospodarczej; wskaźnik ogólnego klimatu koniunktury; bariery działalności; wskaźnik syntetyczny</cp:keywords>
  <dc:description/>
  <cp:lastPrinted>2020-04-08T12:33:00Z</cp:lastPrinted>
  <dcterms:created xsi:type="dcterms:W3CDTF">2021-07-20T12:47:00Z</dcterms:created>
  <dcterms:modified xsi:type="dcterms:W3CDTF">2021-07-20T12:47:00Z</dcterms:modified>
  <cp:category>Koniunktura</cp:category>
</cp:coreProperties>
</file>