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obsługą działalności gospodarczej za I</w:t>
      </w:r>
      <w:r w:rsidR="00C74014">
        <w:rPr>
          <w:szCs w:val="40"/>
          <w:shd w:val="clear" w:color="auto" w:fill="FFFFFF"/>
        </w:rPr>
        <w:t>V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2020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612BBA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1226CF" wp14:editId="0067997C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26E5890" wp14:editId="3E487D74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740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1C729A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881DE5">
                              <w:t>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 w:rsidR="00881DE5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D943F6">
                              <w:t>I</w:t>
                            </w:r>
                            <w:r>
                              <w:t>I</w:t>
                            </w:r>
                            <w:r w:rsidR="003A6235">
                              <w:t>I</w:t>
                            </w:r>
                            <w:r w:rsidR="00881DE5">
                              <w:t xml:space="preserve"> kwartałem </w:t>
                            </w:r>
                            <w:r w:rsidR="00D943F6">
                              <w:t>2020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226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19.5pt;z-index: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26E5890" wp14:editId="3E487D74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740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1C729A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881DE5">
                        <w:t>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 w:rsidR="00881DE5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D943F6">
                        <w:t>I</w:t>
                      </w:r>
                      <w:r>
                        <w:t>I</w:t>
                      </w:r>
                      <w:r w:rsidR="003A6235">
                        <w:t>I</w:t>
                      </w:r>
                      <w:r w:rsidR="00881DE5">
                        <w:t xml:space="preserve"> kwartałem </w:t>
                      </w:r>
                      <w:r w:rsidR="00D943F6">
                        <w:t>2020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V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2020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poprzedniego kwartału wzrosły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V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2019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1,1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Pr="002B2141" w:rsidRDefault="00DD6A59" w:rsidP="00C424B8">
      <w:pPr>
        <w:rPr>
          <w:szCs w:val="19"/>
          <w:shd w:val="clear" w:color="auto" w:fill="FFFFFF"/>
        </w:rPr>
      </w:pPr>
    </w:p>
    <w:p w:rsidR="00BC65D7" w:rsidRPr="002B2141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2B2141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177EC10" wp14:editId="10A7D644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EC10" id="Pole tekstowe 6" o:spid="_x0000_s1027" type="#_x0000_t202" style="position:absolute;left:0;text-align:left;margin-left:418.4pt;margin-top:26.75pt;width:135.75pt;height:251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2B2141">
        <w:rPr>
          <w:b/>
          <w:sz w:val="18"/>
          <w:shd w:val="clear" w:color="auto" w:fill="FFFFFF"/>
        </w:rPr>
        <w:t xml:space="preserve">Tablica 1. </w:t>
      </w:r>
      <w:r w:rsidR="007062D3" w:rsidRPr="002B2141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 w:rsidRPr="002B2141">
        <w:rPr>
          <w:b/>
          <w:sz w:val="18"/>
          <w:shd w:val="clear" w:color="auto" w:fill="FFFFFF"/>
        </w:rPr>
        <w:t>i gospodarczej za</w:t>
      </w:r>
      <w:r w:rsidR="00A63840" w:rsidRPr="002B2141">
        <w:rPr>
          <w:b/>
          <w:sz w:val="18"/>
          <w:shd w:val="clear" w:color="auto" w:fill="FFFFFF"/>
        </w:rPr>
        <w:t> </w:t>
      </w:r>
      <w:r w:rsidR="00493E1F" w:rsidRPr="002B2141">
        <w:rPr>
          <w:b/>
          <w:sz w:val="18"/>
          <w:shd w:val="clear" w:color="auto" w:fill="FFFFFF"/>
        </w:rPr>
        <w:t>I</w:t>
      </w:r>
      <w:r w:rsidR="00C122F0">
        <w:rPr>
          <w:b/>
          <w:sz w:val="18"/>
          <w:shd w:val="clear" w:color="auto" w:fill="FFFFFF"/>
        </w:rPr>
        <w:t>V</w:t>
      </w:r>
      <w:r w:rsidR="00493E1F" w:rsidRPr="002B2141">
        <w:rPr>
          <w:b/>
          <w:sz w:val="18"/>
          <w:shd w:val="clear" w:color="auto" w:fill="FFFFFF"/>
        </w:rPr>
        <w:t> </w:t>
      </w:r>
      <w:r w:rsidR="007062D3" w:rsidRPr="002B2141">
        <w:rPr>
          <w:b/>
          <w:sz w:val="18"/>
          <w:shd w:val="clear" w:color="auto" w:fill="FFFFFF"/>
        </w:rPr>
        <w:t xml:space="preserve">kwartał 2020 </w:t>
      </w:r>
      <w:r w:rsidR="00C7723E" w:rsidRPr="002B2141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1134"/>
      </w:tblGrid>
      <w:tr w:rsidR="0010174A" w:rsidRPr="002B2141" w:rsidTr="0010174A">
        <w:tc>
          <w:tcPr>
            <w:tcW w:w="4077" w:type="dxa"/>
            <w:vMerge w:val="restart"/>
            <w:vAlign w:val="center"/>
          </w:tcPr>
          <w:p w:rsidR="0010174A" w:rsidRPr="002B2141" w:rsidRDefault="0010174A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2B2141">
              <w:rPr>
                <w:rFonts w:eastAsia="Fira Sans Light" w:cs="Arial"/>
                <w:sz w:val="16"/>
                <w:szCs w:val="16"/>
              </w:rPr>
              <w:t>WYSZCZEGÓLNIENIE</w:t>
            </w:r>
          </w:p>
        </w:tc>
        <w:tc>
          <w:tcPr>
            <w:tcW w:w="1985" w:type="dxa"/>
            <w:gridSpan w:val="2"/>
            <w:vAlign w:val="center"/>
          </w:tcPr>
          <w:p w:rsidR="0010174A" w:rsidRPr="002B2141" w:rsidRDefault="0010174A" w:rsidP="004B7460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10174A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IV kwartał 2020</w:t>
            </w:r>
          </w:p>
        </w:tc>
        <w:tc>
          <w:tcPr>
            <w:tcW w:w="1134" w:type="dxa"/>
            <w:vAlign w:val="center"/>
          </w:tcPr>
          <w:p w:rsidR="0010174A" w:rsidRPr="002B2141" w:rsidRDefault="0010174A" w:rsidP="004B7460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I-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V kwartał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2020</w:t>
            </w:r>
          </w:p>
        </w:tc>
      </w:tr>
      <w:tr w:rsidR="00C122F0" w:rsidRPr="002B2141" w:rsidTr="004B7460">
        <w:tc>
          <w:tcPr>
            <w:tcW w:w="4077" w:type="dxa"/>
            <w:vMerge/>
            <w:tcBorders>
              <w:bottom w:val="single" w:sz="12" w:space="0" w:color="001D77"/>
            </w:tcBorders>
            <w:vAlign w:val="center"/>
          </w:tcPr>
          <w:p w:rsidR="00C122F0" w:rsidRPr="002B2141" w:rsidRDefault="00C122F0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bottom w:val="single" w:sz="12" w:space="0" w:color="001D77"/>
            </w:tcBorders>
            <w:vAlign w:val="center"/>
          </w:tcPr>
          <w:p w:rsidR="00C122F0" w:rsidRPr="002B2141" w:rsidRDefault="00C122F0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</w:rPr>
              <w:t>IV</w:t>
            </w:r>
            <w:r w:rsidRPr="002B2141">
              <w:rPr>
                <w:rFonts w:eastAsia="Fira Sans Light" w:cs="Times New Roman"/>
                <w:sz w:val="16"/>
                <w:szCs w:val="16"/>
              </w:rPr>
              <w:t xml:space="preserve"> kwartał 2019=100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:rsidR="00C122F0" w:rsidRPr="002B2141" w:rsidRDefault="00C122F0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I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 kwartał 2020=100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  <w:vAlign w:val="center"/>
          </w:tcPr>
          <w:p w:rsidR="00C122F0" w:rsidRPr="002B2141" w:rsidRDefault="00C122F0" w:rsidP="004B7460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 xml:space="preserve">I-IV kwartał </w:t>
            </w:r>
            <w:r w:rsidRPr="002B2141"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  <w:t>2019=100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3" w:type="dxa"/>
            <w:vAlign w:val="center"/>
          </w:tcPr>
          <w:p w:rsidR="00C122F0" w:rsidRPr="00223178" w:rsidRDefault="009B3435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vAlign w:val="center"/>
          </w:tcPr>
          <w:p w:rsidR="00C122F0" w:rsidRPr="00223178" w:rsidRDefault="009B3435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vAlign w:val="center"/>
          </w:tcPr>
          <w:p w:rsidR="00C122F0" w:rsidRPr="00223178" w:rsidRDefault="009B3435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</w:rPr>
            </w:pPr>
            <w:r>
              <w:rPr>
                <w:rFonts w:eastAsia="Fira Sans Light" w:cs="Arial"/>
                <w:b/>
                <w:color w:val="000000"/>
                <w:sz w:val="16"/>
                <w:szCs w:val="16"/>
              </w:rPr>
              <w:t>101,3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2" w:type="dxa"/>
            <w:vAlign w:val="center"/>
          </w:tcPr>
          <w:p w:rsidR="00906824" w:rsidRPr="008E08A4" w:rsidRDefault="002E5E43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  <w:r w:rsidR="00906824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92" w:type="dxa"/>
            <w:vAlign w:val="center"/>
          </w:tcPr>
          <w:p w:rsidR="00906824" w:rsidRPr="008E08A4" w:rsidRDefault="002E5E43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98,5</w:t>
            </w:r>
            <w:r w:rsidR="00906824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92" w:type="dxa"/>
            <w:vAlign w:val="center"/>
          </w:tcPr>
          <w:p w:rsidR="00906824" w:rsidRPr="008E08A4" w:rsidRDefault="002E5E43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  <w:r w:rsidR="00906824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92" w:type="dxa"/>
            <w:vAlign w:val="center"/>
          </w:tcPr>
          <w:p w:rsidR="00906824" w:rsidRPr="008E08A4" w:rsidRDefault="002E5E43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vAlign w:val="center"/>
          </w:tcPr>
          <w:p w:rsidR="00906824" w:rsidRPr="00063CFE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101,9 </w:t>
            </w:r>
          </w:p>
        </w:tc>
      </w:tr>
      <w:tr w:rsidR="00906824" w:rsidRPr="008E08A4" w:rsidTr="009B50C8">
        <w:trPr>
          <w:trHeight w:val="495"/>
        </w:trPr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92" w:type="dxa"/>
            <w:vAlign w:val="center"/>
          </w:tcPr>
          <w:p w:rsidR="00906824" w:rsidRPr="008E08A4" w:rsidRDefault="008A1D12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  <w:r w:rsidR="00906824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06824" w:rsidRPr="008E08A4" w:rsidTr="009B50C8">
        <w:trPr>
          <w:trHeight w:val="559"/>
        </w:trPr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vAlign w:val="center"/>
          </w:tcPr>
          <w:p w:rsidR="00906824" w:rsidRPr="008E08A4" w:rsidRDefault="008A1D12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vAlign w:val="center"/>
          </w:tcPr>
          <w:p w:rsidR="00906824" w:rsidRPr="00063CFE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101,0 </w:t>
            </w:r>
          </w:p>
        </w:tc>
      </w:tr>
      <w:tr w:rsidR="00906824" w:rsidRPr="008E08A4" w:rsidTr="004B7460">
        <w:tc>
          <w:tcPr>
            <w:tcW w:w="4077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993" w:type="dxa"/>
            <w:vAlign w:val="center"/>
          </w:tcPr>
          <w:p w:rsidR="00906824" w:rsidRPr="008E08A4" w:rsidRDefault="00906824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vAlign w:val="center"/>
          </w:tcPr>
          <w:p w:rsidR="00906824" w:rsidRPr="008E08A4" w:rsidRDefault="008A1D12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="00906824" w:rsidRPr="00063CFE" w:rsidRDefault="00E51589" w:rsidP="009068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  <w:r w:rsidR="00906824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22F0" w:rsidRPr="008E08A4" w:rsidTr="009B50C8">
        <w:trPr>
          <w:trHeight w:val="467"/>
        </w:trPr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vAlign w:val="center"/>
          </w:tcPr>
          <w:p w:rsidR="00C122F0" w:rsidRPr="00063CFE" w:rsidRDefault="00E51589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100,7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vAlign w:val="center"/>
          </w:tcPr>
          <w:p w:rsidR="00C122F0" w:rsidRPr="00063CFE" w:rsidRDefault="00E51589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</w:tr>
      <w:tr w:rsidR="00C122F0" w:rsidRPr="008E08A4" w:rsidTr="009B50C8">
        <w:trPr>
          <w:trHeight w:val="424"/>
        </w:trPr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99,4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vAlign w:val="center"/>
          </w:tcPr>
          <w:p w:rsidR="00C122F0" w:rsidRPr="00063CFE" w:rsidRDefault="00C122F0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99,3 </w:t>
            </w:r>
          </w:p>
        </w:tc>
      </w:tr>
      <w:tr w:rsidR="00C122F0" w:rsidRPr="008E08A4" w:rsidTr="009B50C8">
        <w:trPr>
          <w:trHeight w:val="473"/>
        </w:trPr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103,0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vAlign w:val="center"/>
          </w:tcPr>
          <w:p w:rsidR="00C122F0" w:rsidRPr="00063CFE" w:rsidRDefault="00E51589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103,3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91,7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34" w:type="dxa"/>
            <w:vAlign w:val="center"/>
          </w:tcPr>
          <w:p w:rsidR="00C122F0" w:rsidRPr="00063CFE" w:rsidRDefault="00E51589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98,4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detektywistyczna i ochroniarska</w:t>
            </w:r>
          </w:p>
        </w:tc>
        <w:tc>
          <w:tcPr>
            <w:tcW w:w="993" w:type="dxa"/>
            <w:vAlign w:val="center"/>
          </w:tcPr>
          <w:p w:rsidR="00C122F0" w:rsidRPr="00063CFE" w:rsidRDefault="00906824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vAlign w:val="center"/>
          </w:tcPr>
          <w:p w:rsidR="00C122F0" w:rsidRPr="00063CFE" w:rsidRDefault="00E51589" w:rsidP="00063CFE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107,3</w:t>
            </w:r>
            <w:r w:rsidR="00C122F0" w:rsidRPr="00063CFE">
              <w:rPr>
                <w:rFonts w:eastAsia="Fira Sans Ligh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993" w:type="dxa"/>
            <w:vAlign w:val="center"/>
          </w:tcPr>
          <w:p w:rsidR="00C122F0" w:rsidRPr="008E08A4" w:rsidRDefault="00906824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92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1134" w:type="dxa"/>
            <w:vAlign w:val="center"/>
          </w:tcPr>
          <w:p w:rsidR="00C122F0" w:rsidRPr="008E08A4" w:rsidRDefault="00E51589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105,9</w:t>
            </w:r>
          </w:p>
        </w:tc>
      </w:tr>
      <w:tr w:rsidR="00C122F0" w:rsidRPr="008E08A4" w:rsidTr="004B7460">
        <w:tc>
          <w:tcPr>
            <w:tcW w:w="4077" w:type="dxa"/>
            <w:vAlign w:val="center"/>
          </w:tcPr>
          <w:p w:rsidR="00C122F0" w:rsidRPr="008E08A4" w:rsidRDefault="00C122F0" w:rsidP="0006042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993" w:type="dxa"/>
            <w:vAlign w:val="center"/>
          </w:tcPr>
          <w:p w:rsidR="00C122F0" w:rsidRPr="008E08A4" w:rsidRDefault="00906824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92" w:type="dxa"/>
            <w:vAlign w:val="center"/>
          </w:tcPr>
          <w:p w:rsidR="00C122F0" w:rsidRPr="008E08A4" w:rsidRDefault="008A1D12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1134" w:type="dxa"/>
            <w:vAlign w:val="center"/>
          </w:tcPr>
          <w:p w:rsidR="00C122F0" w:rsidRPr="008E08A4" w:rsidRDefault="00E51589" w:rsidP="0006042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101,6</w:t>
            </w:r>
          </w:p>
        </w:tc>
      </w:tr>
    </w:tbl>
    <w:p w:rsidR="00BB1672" w:rsidRDefault="009B50C8" w:rsidP="006A426A">
      <w:pPr>
        <w:rPr>
          <w:rFonts w:eastAsia="Fira Sans Light" w:cs="Times New Roman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6BC3B3B0" wp14:editId="4DD14CD8">
                <wp:simplePos x="0" y="0"/>
                <wp:positionH relativeFrom="column">
                  <wp:posOffset>5323205</wp:posOffset>
                </wp:positionH>
                <wp:positionV relativeFrom="paragraph">
                  <wp:posOffset>1962150</wp:posOffset>
                </wp:positionV>
                <wp:extent cx="1734820" cy="1009650"/>
                <wp:effectExtent l="0" t="0" r="0" b="0"/>
                <wp:wrapTight wrapText="bothSides">
                  <wp:wrapPolygon edited="0">
                    <wp:start x="712" y="0"/>
                    <wp:lineTo x="712" y="21192"/>
                    <wp:lineTo x="20873" y="21192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>W I</w:t>
                            </w:r>
                            <w:r w:rsidR="003359C4">
                              <w:t>V</w:t>
                            </w:r>
                            <w:r w:rsidRPr="007958EA">
                              <w:t xml:space="preserve"> kwartale </w:t>
                            </w:r>
                            <w:r>
                              <w:t>2020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="001C729A">
                              <w:t>wzrost</w:t>
                            </w:r>
                            <w:r w:rsidRPr="007958EA">
                              <w:t xml:space="preserve"> cen</w:t>
                            </w:r>
                            <w:r w:rsidR="006D5592">
                              <w:t xml:space="preserve"> w stosunku do poprzedniego kwartału</w:t>
                            </w:r>
                            <w:r w:rsidRPr="007958EA">
                              <w:t xml:space="preserve">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>usług</w:t>
                            </w:r>
                            <w:r w:rsidR="003359C4">
                              <w:t xml:space="preserve"> </w:t>
                            </w:r>
                            <w:r w:rsidR="003359C4" w:rsidRPr="003359C4">
                              <w:t>reklamy, badania rynku i opinii publicznej</w:t>
                            </w:r>
                            <w:r w:rsidRPr="007958E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B3B0" id="_x0000_s1028" type="#_x0000_t202" style="position:absolute;margin-left:419.15pt;margin-top:154.5pt;width:136.6pt;height:79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>W I</w:t>
                      </w:r>
                      <w:r w:rsidR="003359C4">
                        <w:t>V</w:t>
                      </w:r>
                      <w:r w:rsidRPr="007958EA">
                        <w:t xml:space="preserve"> kwartale </w:t>
                      </w:r>
                      <w:r>
                        <w:t>2020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="001C729A">
                        <w:t>wzrost</w:t>
                      </w:r>
                      <w:r w:rsidRPr="007958EA">
                        <w:t xml:space="preserve"> cen</w:t>
                      </w:r>
                      <w:r w:rsidR="006D5592">
                        <w:t xml:space="preserve"> w stosunku do poprzedniego kwartału</w:t>
                      </w:r>
                      <w:r w:rsidRPr="007958EA">
                        <w:t xml:space="preserve"> odnotowano </w:t>
                      </w:r>
                      <w:r>
                        <w:t xml:space="preserve">w zakresie </w:t>
                      </w:r>
                      <w:r w:rsidRPr="007958EA">
                        <w:t>usług</w:t>
                      </w:r>
                      <w:r w:rsidR="003359C4">
                        <w:t xml:space="preserve"> </w:t>
                      </w:r>
                      <w:r w:rsidR="003359C4" w:rsidRPr="003359C4">
                        <w:t>reklamy, badania rynku i opinii publicznej</w:t>
                      </w:r>
                      <w:r w:rsidRPr="007958EA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5592" w:rsidRPr="00DA0DA2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11D3B643" wp14:editId="0203EDBA">
                <wp:simplePos x="0" y="0"/>
                <wp:positionH relativeFrom="column">
                  <wp:posOffset>5323205</wp:posOffset>
                </wp:positionH>
                <wp:positionV relativeFrom="paragraph">
                  <wp:posOffset>1681480</wp:posOffset>
                </wp:positionV>
                <wp:extent cx="1734820" cy="2019300"/>
                <wp:effectExtent l="0" t="0" r="0" b="0"/>
                <wp:wrapTight wrapText="bothSides">
                  <wp:wrapPolygon edited="0">
                    <wp:start x="712" y="0"/>
                    <wp:lineTo x="712" y="21396"/>
                    <wp:lineTo x="20873" y="21396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DA2" w:rsidRPr="00074DD8" w:rsidRDefault="00DA0DA2" w:rsidP="00DA0DA2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3B643" id="_x0000_s1029" type="#_x0000_t202" style="position:absolute;margin-left:419.15pt;margin-top:132.4pt;width:136.6pt;height:159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" filled="f" stroked="f">
                <v:textbox inset="2.5mm,1mm,2.5mm,1mm">
                  <w:txbxContent>
                    <w:p w:rsidR="00DA0DA2" w:rsidRPr="00074DD8" w:rsidRDefault="00DA0DA2" w:rsidP="00DA0DA2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W I</w:t>
      </w:r>
      <w:r w:rsidR="003359C4">
        <w:rPr>
          <w:rFonts w:eastAsia="Fira Sans Light" w:cs="Times New Roman"/>
          <w:color w:val="000000" w:themeColor="text1"/>
          <w:shd w:val="clear" w:color="auto" w:fill="FFFFFF"/>
        </w:rPr>
        <w:t>V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kwartale 2020 r. </w:t>
      </w:r>
      <w:r w:rsidR="00ED522F">
        <w:rPr>
          <w:rFonts w:eastAsia="Fira Sans Light" w:cs="Times New Roman"/>
          <w:color w:val="000000" w:themeColor="text1"/>
          <w:shd w:val="clear" w:color="auto" w:fill="FFFFFF"/>
        </w:rPr>
        <w:t>najwyższy wzrost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</w:t>
      </w:r>
      <w:r w:rsidR="003359C4" w:rsidRPr="003359C4">
        <w:rPr>
          <w:rFonts w:eastAsia="Fira Sans Light" w:cs="Times New Roman"/>
          <w:shd w:val="clear" w:color="auto" w:fill="FFFFFF"/>
        </w:rPr>
        <w:t xml:space="preserve"> </w:t>
      </w:r>
      <w:r w:rsidR="003359C4" w:rsidRPr="003359C4">
        <w:rPr>
          <w:rFonts w:eastAsia="Fira Sans Light" w:cs="Times New Roman"/>
          <w:color w:val="000000" w:themeColor="text1"/>
          <w:shd w:val="clear" w:color="auto" w:fill="FFFFFF"/>
        </w:rPr>
        <w:t>reklamy, badania rynku i opinii publicznej</w:t>
      </w:r>
      <w:r w:rsidR="003359C4">
        <w:rPr>
          <w:rFonts w:eastAsia="Fira Sans Light" w:cs="Times New Roman"/>
          <w:color w:val="000000" w:themeColor="text1"/>
          <w:shd w:val="clear" w:color="auto" w:fill="FFFFFF"/>
        </w:rPr>
        <w:t>, tj. o 1,5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 w stosunku d</w:t>
      </w:r>
      <w:r w:rsidR="00965EA5">
        <w:rPr>
          <w:rFonts w:eastAsia="Fira Sans Light" w:cs="Times New Roman"/>
          <w:color w:val="000000" w:themeColor="text1"/>
          <w:shd w:val="clear" w:color="auto" w:fill="FFFFFF"/>
        </w:rPr>
        <w:t>o poprzedniego kwartału</w:t>
      </w:r>
      <w:r w:rsidR="001C729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A52343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Wzrost cen </w:t>
      </w:r>
      <w:r w:rsidR="00604F5A" w:rsidRPr="00604F5A">
        <w:rPr>
          <w:rFonts w:eastAsia="Fira Sans Light" w:cs="Times New Roman"/>
          <w:color w:val="000000" w:themeColor="text1"/>
          <w:shd w:val="clear" w:color="auto" w:fill="FFFFFF"/>
        </w:rPr>
        <w:t xml:space="preserve">usług reklamy, badania rynku i opinii publicznej </w:t>
      </w:r>
      <w:r w:rsidR="007D0519">
        <w:rPr>
          <w:rFonts w:eastAsia="Fira Sans Light" w:cs="Times New Roman"/>
          <w:color w:val="000000" w:themeColor="text1"/>
          <w:shd w:val="clear" w:color="auto" w:fill="FFFFFF"/>
        </w:rPr>
        <w:t>w IV</w:t>
      </w:r>
      <w:r w:rsidR="006D155B">
        <w:rPr>
          <w:rFonts w:eastAsia="Fira Sans Light" w:cs="Times New Roman"/>
          <w:color w:val="000000" w:themeColor="text1"/>
          <w:shd w:val="clear" w:color="auto" w:fill="FFFFFF"/>
        </w:rPr>
        <w:t xml:space="preserve"> kwartale spowodowany był głównie 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 xml:space="preserve">wzrostem cen </w:t>
      </w:r>
      <w:r w:rsidR="00C27703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>w d</w:t>
      </w:r>
      <w:r w:rsidR="00604F5A" w:rsidRPr="00604F5A">
        <w:rPr>
          <w:rFonts w:eastAsia="Fira Sans Light" w:cs="Times New Roman"/>
          <w:color w:val="000000" w:themeColor="text1"/>
          <w:shd w:val="clear" w:color="auto" w:fill="FFFFFF"/>
        </w:rPr>
        <w:t>ziałal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>ności związanej</w:t>
      </w:r>
      <w:r w:rsidR="00604F5A" w:rsidRPr="00604F5A">
        <w:rPr>
          <w:rFonts w:eastAsia="Fira Sans Light" w:cs="Times New Roman"/>
          <w:color w:val="000000" w:themeColor="text1"/>
          <w:shd w:val="clear" w:color="auto" w:fill="FFFFFF"/>
        </w:rPr>
        <w:t xml:space="preserve"> z reprezentowaniem mediów</w:t>
      </w:r>
      <w:r w:rsidR="00DA6D4F">
        <w:rPr>
          <w:rFonts w:eastAsia="Fira Sans Light" w:cs="Times New Roman"/>
          <w:color w:val="000000" w:themeColor="text1"/>
          <w:shd w:val="clear" w:color="auto" w:fill="FFFFFF"/>
        </w:rPr>
        <w:t xml:space="preserve"> (jednej ze składowych usług reklamy)</w:t>
      </w:r>
      <w:r w:rsidR="003E3385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 xml:space="preserve"> w tym w </w:t>
      </w:r>
      <w:r w:rsidR="003E3DCD">
        <w:rPr>
          <w:rFonts w:eastAsia="Fira Sans Light" w:cs="Times New Roman"/>
          <w:color w:val="000000" w:themeColor="text1"/>
          <w:shd w:val="clear" w:color="auto" w:fill="FFFFFF"/>
        </w:rPr>
        <w:t>szczególności w zakresie</w:t>
      </w:r>
      <w:r w:rsidR="009A2F91">
        <w:rPr>
          <w:rFonts w:eastAsia="Fira Sans Light" w:cs="Times New Roman"/>
          <w:color w:val="000000" w:themeColor="text1"/>
          <w:shd w:val="clear" w:color="auto" w:fill="FFFFFF"/>
        </w:rPr>
        <w:t xml:space="preserve"> usług p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>ośrednictwa</w:t>
      </w:r>
      <w:r w:rsidR="00604F5A" w:rsidRPr="00604F5A">
        <w:rPr>
          <w:rFonts w:eastAsia="Fira Sans Light" w:cs="Times New Roman"/>
          <w:color w:val="000000" w:themeColor="text1"/>
          <w:shd w:val="clear" w:color="auto" w:fill="FFFFFF"/>
        </w:rPr>
        <w:t xml:space="preserve"> w sprzedaży miejsca lub czasu na cele reklamowe w radio i telewizji</w:t>
      </w:r>
      <w:r w:rsidR="007D0519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604F5A">
        <w:rPr>
          <w:rFonts w:eastAsia="Fira Sans Light" w:cs="Times New Roman"/>
          <w:color w:val="000000" w:themeColor="text1"/>
          <w:shd w:val="clear" w:color="auto" w:fill="FFFFFF"/>
        </w:rPr>
        <w:t xml:space="preserve"> na co z kolei wpłynął korzystny dla rynku reklam okres świąteczny. </w:t>
      </w:r>
      <w:r w:rsidR="00ED522F" w:rsidRPr="0015624C">
        <w:rPr>
          <w:rFonts w:eastAsia="Fira Sans Light" w:cs="Times New Roman"/>
          <w:shd w:val="clear" w:color="auto" w:fill="FFFFFF"/>
        </w:rPr>
        <w:t xml:space="preserve"> </w:t>
      </w:r>
      <w:r w:rsidR="00172779" w:rsidRPr="0015624C">
        <w:rPr>
          <w:rFonts w:eastAsia="Fira Sans Light" w:cs="Times New Roman"/>
          <w:shd w:val="clear" w:color="auto" w:fill="FFFFFF"/>
        </w:rPr>
        <w:br/>
      </w:r>
      <w:r w:rsidR="00604F5A">
        <w:rPr>
          <w:rFonts w:eastAsia="Fira Sans Light" w:cs="Times New Roman"/>
          <w:shd w:val="clear" w:color="auto" w:fill="FFFFFF"/>
        </w:rPr>
        <w:t>Powyżej 1 %</w:t>
      </w:r>
      <w:r w:rsidR="00C27703">
        <w:rPr>
          <w:rFonts w:eastAsia="Fira Sans Light" w:cs="Times New Roman"/>
          <w:shd w:val="clear" w:color="auto" w:fill="FFFFFF"/>
        </w:rPr>
        <w:t xml:space="preserve"> </w:t>
      </w:r>
      <w:r w:rsidR="00604F5A">
        <w:rPr>
          <w:rFonts w:eastAsia="Fira Sans Light" w:cs="Times New Roman"/>
          <w:shd w:val="clear" w:color="auto" w:fill="FFFFFF"/>
        </w:rPr>
        <w:t>(o 1,1</w:t>
      </w:r>
      <w:r w:rsidR="00ED522F" w:rsidRPr="0015624C">
        <w:rPr>
          <w:rFonts w:eastAsia="Fira Sans Light" w:cs="Times New Roman"/>
          <w:shd w:val="clear" w:color="auto" w:fill="FFFFFF"/>
        </w:rPr>
        <w:t xml:space="preserve">%) </w:t>
      </w:r>
      <w:r w:rsidR="00604F5A">
        <w:rPr>
          <w:rFonts w:eastAsia="Fira Sans Light" w:cs="Times New Roman"/>
          <w:shd w:val="clear" w:color="auto" w:fill="FFFFFF"/>
        </w:rPr>
        <w:t xml:space="preserve">wzrosły ceny usług wydawniczych, </w:t>
      </w:r>
      <w:r w:rsidR="006A426A">
        <w:rPr>
          <w:rFonts w:eastAsia="Fira Sans Light" w:cs="Times New Roman"/>
          <w:shd w:val="clear" w:color="auto" w:fill="FFFFFF"/>
        </w:rPr>
        <w:t xml:space="preserve">usług w </w:t>
      </w:r>
      <w:r w:rsidR="00C27703">
        <w:rPr>
          <w:rFonts w:eastAsia="Fira Sans Light" w:cs="Times New Roman"/>
          <w:shd w:val="clear" w:color="auto" w:fill="FFFFFF"/>
        </w:rPr>
        <w:t xml:space="preserve">zakresie </w:t>
      </w:r>
      <w:r w:rsidR="006A426A">
        <w:rPr>
          <w:rFonts w:eastAsia="Fira Sans Light" w:cs="Times New Roman"/>
          <w:shd w:val="clear" w:color="auto" w:fill="FFFFFF"/>
        </w:rPr>
        <w:t>działalności związanej</w:t>
      </w:r>
      <w:r w:rsidR="004261DA" w:rsidRPr="004261DA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 </w:t>
      </w:r>
      <w:r w:rsidR="00ED522F" w:rsidRPr="0015624C">
        <w:rPr>
          <w:rFonts w:eastAsia="Fira Sans Light" w:cs="Times New Roman"/>
          <w:shd w:val="clear" w:color="auto" w:fill="FFFFFF"/>
        </w:rPr>
        <w:t xml:space="preserve">oraz </w:t>
      </w:r>
      <w:r w:rsidR="006A426A">
        <w:rPr>
          <w:rFonts w:eastAsia="Fira Sans Light" w:cs="Times New Roman"/>
          <w:shd w:val="clear" w:color="auto" w:fill="FFFFFF"/>
        </w:rPr>
        <w:t>usług n</w:t>
      </w:r>
      <w:r w:rsidR="004261DA" w:rsidRPr="004261DA">
        <w:rPr>
          <w:rFonts w:eastAsia="Fira Sans Light" w:cs="Times New Roman"/>
          <w:shd w:val="clear" w:color="auto" w:fill="FFFFFF"/>
        </w:rPr>
        <w:t>a</w:t>
      </w:r>
      <w:r w:rsidR="006A426A">
        <w:rPr>
          <w:rFonts w:eastAsia="Fira Sans Light" w:cs="Times New Roman"/>
          <w:shd w:val="clear" w:color="auto" w:fill="FFFFFF"/>
        </w:rPr>
        <w:t>dawania</w:t>
      </w:r>
      <w:r w:rsidR="004261DA" w:rsidRPr="004261DA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 w:rsidR="006A426A">
        <w:rPr>
          <w:rFonts w:eastAsia="Fira Sans Light" w:cs="Times New Roman"/>
          <w:shd w:val="clear" w:color="auto" w:fill="FFFFFF"/>
        </w:rPr>
        <w:t>.</w:t>
      </w:r>
      <w:r w:rsidR="004261DA" w:rsidRPr="004261DA">
        <w:rPr>
          <w:rFonts w:eastAsia="Fira Sans Light" w:cs="Times New Roman"/>
          <w:shd w:val="clear" w:color="auto" w:fill="FFFFFF"/>
        </w:rPr>
        <w:t xml:space="preserve"> </w:t>
      </w:r>
      <w:r w:rsidR="00CF0AF5" w:rsidRPr="0015624C">
        <w:rPr>
          <w:rFonts w:eastAsia="Fira Sans Light" w:cs="Times New Roman"/>
          <w:shd w:val="clear" w:color="auto" w:fill="FFFFFF"/>
        </w:rPr>
        <w:t>Wyższe</w:t>
      </w:r>
      <w:r w:rsidR="00882049" w:rsidRPr="0015624C">
        <w:rPr>
          <w:rFonts w:eastAsia="Fira Sans Light" w:cs="Times New Roman"/>
          <w:shd w:val="clear" w:color="auto" w:fill="FFFFFF"/>
        </w:rPr>
        <w:t xml:space="preserve"> ceny uzyskiwane prze</w:t>
      </w:r>
      <w:r w:rsidR="00934861" w:rsidRPr="0015624C">
        <w:rPr>
          <w:rFonts w:eastAsia="Fira Sans Light" w:cs="Times New Roman"/>
          <w:shd w:val="clear" w:color="auto" w:fill="FFFFFF"/>
        </w:rPr>
        <w:t>z przedsiębiorstwa świa</w:t>
      </w:r>
      <w:r w:rsidR="00882049" w:rsidRPr="0015624C">
        <w:rPr>
          <w:rFonts w:eastAsia="Fira Sans Light" w:cs="Times New Roman"/>
          <w:shd w:val="clear" w:color="auto" w:fill="FFFFFF"/>
        </w:rPr>
        <w:t xml:space="preserve">dczące usługi </w:t>
      </w:r>
      <w:r w:rsidR="004261DA">
        <w:rPr>
          <w:rFonts w:eastAsia="Fira Sans Light" w:cs="Times New Roman"/>
          <w:shd w:val="clear" w:color="auto" w:fill="FFFFFF"/>
        </w:rPr>
        <w:t>wydawnicze wynikały m.in. ze wzrostu kosztów wydawa</w:t>
      </w:r>
      <w:r w:rsidR="006A426A">
        <w:rPr>
          <w:rFonts w:eastAsia="Fira Sans Light" w:cs="Times New Roman"/>
          <w:shd w:val="clear" w:color="auto" w:fill="FFFFFF"/>
        </w:rPr>
        <w:t xml:space="preserve">nia </w:t>
      </w:r>
      <w:r w:rsidR="004261DA">
        <w:rPr>
          <w:rFonts w:eastAsia="Fira Sans Light" w:cs="Times New Roman"/>
          <w:shd w:val="clear" w:color="auto" w:fill="FFFFFF"/>
        </w:rPr>
        <w:t>gazet i czasopism</w:t>
      </w:r>
      <w:r w:rsidR="00EC64F3">
        <w:rPr>
          <w:rFonts w:eastAsia="Fira Sans Light" w:cs="Times New Roman"/>
          <w:shd w:val="clear" w:color="auto" w:fill="FFFFFF"/>
        </w:rPr>
        <w:t xml:space="preserve"> drukowanych</w:t>
      </w:r>
      <w:r w:rsidR="004261DA">
        <w:rPr>
          <w:rFonts w:eastAsia="Fira Sans Light" w:cs="Times New Roman"/>
          <w:shd w:val="clear" w:color="auto" w:fill="FFFFFF"/>
        </w:rPr>
        <w:t xml:space="preserve"> (wzrost kosztów papieru)</w:t>
      </w:r>
      <w:r w:rsidR="006A426A">
        <w:rPr>
          <w:rFonts w:eastAsia="Fira Sans Light" w:cs="Times New Roman"/>
          <w:shd w:val="clear" w:color="auto" w:fill="FFFFFF"/>
        </w:rPr>
        <w:t>. W</w:t>
      </w:r>
      <w:r w:rsidR="00BB1672" w:rsidRPr="00BB1672">
        <w:rPr>
          <w:rFonts w:eastAsia="Fira Sans Light" w:cs="Calibri"/>
          <w:color w:val="000000"/>
          <w:sz w:val="16"/>
          <w:szCs w:val="16"/>
        </w:rPr>
        <w:t xml:space="preserve"> </w:t>
      </w:r>
      <w:r w:rsidR="006A426A">
        <w:rPr>
          <w:rFonts w:eastAsia="Fira Sans Light" w:cs="Times New Roman"/>
          <w:shd w:val="clear" w:color="auto" w:fill="FFFFFF"/>
        </w:rPr>
        <w:t>działalności związanej</w:t>
      </w:r>
      <w:r w:rsidR="00BB1672" w:rsidRPr="00BB1672">
        <w:rPr>
          <w:rFonts w:eastAsia="Fira Sans Light" w:cs="Times New Roman"/>
          <w:shd w:val="clear" w:color="auto" w:fill="FFFFFF"/>
        </w:rPr>
        <w:t xml:space="preserve"> z produkcją filmów, nagrań wideo, programów telewizyjnych, nagrań dźwiękowych i muzycznych</w:t>
      </w:r>
      <w:r w:rsidR="007B6935" w:rsidRPr="007B6935">
        <w:t xml:space="preserve"> </w:t>
      </w:r>
      <w:r w:rsidR="006A426A">
        <w:t>odnotowano wzrost</w:t>
      </w:r>
      <w:r w:rsidR="0043427E">
        <w:rPr>
          <w:rFonts w:eastAsia="Fira Sans Light" w:cs="Times New Roman"/>
          <w:shd w:val="clear" w:color="auto" w:fill="FFFFFF"/>
        </w:rPr>
        <w:t xml:space="preserve"> cen </w:t>
      </w:r>
      <w:r w:rsidR="007B6935" w:rsidRPr="007B6935">
        <w:rPr>
          <w:rFonts w:eastAsia="Fira Sans Light" w:cs="Times New Roman"/>
          <w:shd w:val="clear" w:color="auto" w:fill="FFFFFF"/>
        </w:rPr>
        <w:t xml:space="preserve">usług </w:t>
      </w:r>
      <w:r w:rsidR="0043427E">
        <w:rPr>
          <w:rFonts w:eastAsia="Fira Sans Light" w:cs="Times New Roman"/>
          <w:shd w:val="clear" w:color="auto" w:fill="FFFFFF"/>
        </w:rPr>
        <w:t xml:space="preserve">w </w:t>
      </w:r>
      <w:r w:rsidR="00914E76">
        <w:rPr>
          <w:rFonts w:eastAsia="Fira Sans Light" w:cs="Times New Roman"/>
          <w:shd w:val="clear" w:color="auto" w:fill="FFFFFF"/>
        </w:rPr>
        <w:t xml:space="preserve">działalności </w:t>
      </w:r>
      <w:r w:rsidR="00E87BEC">
        <w:rPr>
          <w:rFonts w:eastAsia="Fira Sans Light" w:cs="Times New Roman"/>
          <w:shd w:val="clear" w:color="auto" w:fill="FFFFFF"/>
        </w:rPr>
        <w:t>postprodukcyjnej oraz w działalności z</w:t>
      </w:r>
      <w:r w:rsidR="00914E76">
        <w:rPr>
          <w:rFonts w:eastAsia="Fira Sans Light" w:cs="Times New Roman"/>
          <w:shd w:val="clear" w:color="auto" w:fill="FFFFFF"/>
        </w:rPr>
        <w:t>wiązanej</w:t>
      </w:r>
      <w:r w:rsidR="0043427E" w:rsidRPr="0043427E">
        <w:rPr>
          <w:rFonts w:eastAsia="Fira Sans Light" w:cs="Times New Roman"/>
          <w:shd w:val="clear" w:color="auto" w:fill="FFFFFF"/>
        </w:rPr>
        <w:t xml:space="preserve"> z dystrybucją filmów, nagrań wideo i programów telewizyjnych</w:t>
      </w:r>
      <w:r w:rsidR="005C11E1">
        <w:rPr>
          <w:rFonts w:eastAsia="Fira Sans Light" w:cs="Times New Roman"/>
          <w:shd w:val="clear" w:color="auto" w:fill="FFFFFF"/>
        </w:rPr>
        <w:t xml:space="preserve">, </w:t>
      </w:r>
      <w:r w:rsidR="00A830B4">
        <w:rPr>
          <w:rFonts w:eastAsia="Fira Sans Light" w:cs="Times New Roman"/>
          <w:shd w:val="clear" w:color="auto" w:fill="FFFFFF"/>
        </w:rPr>
        <w:t>będą</w:t>
      </w:r>
      <w:r w:rsidR="00DA6D4F">
        <w:rPr>
          <w:rFonts w:eastAsia="Fira Sans Light" w:cs="Times New Roman"/>
          <w:shd w:val="clear" w:color="auto" w:fill="FFFFFF"/>
        </w:rPr>
        <w:t>c</w:t>
      </w:r>
      <w:r w:rsidR="00E87BEC">
        <w:rPr>
          <w:rFonts w:eastAsia="Fira Sans Light" w:cs="Times New Roman"/>
          <w:shd w:val="clear" w:color="auto" w:fill="FFFFFF"/>
        </w:rPr>
        <w:t xml:space="preserve">ych </w:t>
      </w:r>
      <w:r w:rsidR="00A830B4">
        <w:rPr>
          <w:rFonts w:eastAsia="Fira Sans Light" w:cs="Times New Roman"/>
          <w:shd w:val="clear" w:color="auto" w:fill="FFFFFF"/>
        </w:rPr>
        <w:t>składo</w:t>
      </w:r>
      <w:r w:rsidR="00E87BEC">
        <w:rPr>
          <w:rFonts w:eastAsia="Fira Sans Light" w:cs="Times New Roman"/>
          <w:shd w:val="clear" w:color="auto" w:fill="FFFFFF"/>
        </w:rPr>
        <w:t>wymi</w:t>
      </w:r>
      <w:r w:rsidR="00A830B4">
        <w:rPr>
          <w:rFonts w:eastAsia="Fira Sans Light" w:cs="Times New Roman"/>
          <w:shd w:val="clear" w:color="auto" w:fill="FFFFFF"/>
        </w:rPr>
        <w:t xml:space="preserve"> tej działalności</w:t>
      </w:r>
      <w:r w:rsidR="00DA6D4F">
        <w:rPr>
          <w:rFonts w:eastAsia="Fira Sans Light" w:cs="Times New Roman"/>
          <w:shd w:val="clear" w:color="auto" w:fill="FFFFFF"/>
        </w:rPr>
        <w:t xml:space="preserve"> </w:t>
      </w:r>
      <w:r w:rsidR="00DA6D4F" w:rsidRPr="00DA6D4F">
        <w:rPr>
          <w:rFonts w:eastAsia="Fira Sans Light" w:cs="Times New Roman"/>
          <w:shd w:val="clear" w:color="auto" w:fill="FFFFFF"/>
        </w:rPr>
        <w:t>(w</w:t>
      </w:r>
      <w:r w:rsidR="00DA6D4F">
        <w:rPr>
          <w:rFonts w:eastAsia="Fira Sans Light" w:cs="Times New Roman"/>
          <w:shd w:val="clear" w:color="auto" w:fill="FFFFFF"/>
        </w:rPr>
        <w:t>zrost cen w</w:t>
      </w:r>
      <w:r w:rsidR="00DA6D4F" w:rsidRPr="00DA6D4F">
        <w:rPr>
          <w:rFonts w:eastAsia="Fira Sans Light" w:cs="Times New Roman"/>
          <w:shd w:val="clear" w:color="auto" w:fill="FFFFFF"/>
        </w:rPr>
        <w:t xml:space="preserve"> zakres</w:t>
      </w:r>
      <w:r w:rsidR="00C27703">
        <w:rPr>
          <w:rFonts w:eastAsia="Fira Sans Light" w:cs="Times New Roman"/>
          <w:shd w:val="clear" w:color="auto" w:fill="FFFFFF"/>
        </w:rPr>
        <w:t>ie dystrybucji filmów kinowych).</w:t>
      </w:r>
      <w:r w:rsidR="006A426A">
        <w:rPr>
          <w:rFonts w:eastAsia="Fira Sans Light" w:cs="Times New Roman"/>
          <w:shd w:val="clear" w:color="auto" w:fill="FFFFFF"/>
        </w:rPr>
        <w:t xml:space="preserve"> </w:t>
      </w:r>
      <w:r w:rsidR="004261DA">
        <w:rPr>
          <w:rFonts w:eastAsia="Fira Sans Light" w:cs="Times New Roman"/>
          <w:shd w:val="clear" w:color="auto" w:fill="FFFFFF"/>
        </w:rPr>
        <w:t xml:space="preserve"> </w:t>
      </w:r>
      <w:r w:rsidR="00C27703">
        <w:rPr>
          <w:rFonts w:eastAsia="Fira Sans Light" w:cs="Times New Roman"/>
          <w:shd w:val="clear" w:color="auto" w:fill="FFFFFF"/>
        </w:rPr>
        <w:t>W</w:t>
      </w:r>
      <w:r w:rsidR="006A426A">
        <w:rPr>
          <w:rFonts w:eastAsia="Fira Sans Light" w:cs="Times New Roman"/>
          <w:shd w:val="clear" w:color="auto" w:fill="FFFFFF"/>
        </w:rPr>
        <w:t>zrost cen usług n</w:t>
      </w:r>
      <w:r w:rsidR="00BB1672" w:rsidRPr="00BB1672">
        <w:rPr>
          <w:rFonts w:eastAsia="Fira Sans Light" w:cs="Times New Roman"/>
          <w:shd w:val="clear" w:color="auto" w:fill="FFFFFF"/>
        </w:rPr>
        <w:t>adawa</w:t>
      </w:r>
      <w:r w:rsidR="006A426A">
        <w:rPr>
          <w:rFonts w:eastAsia="Fira Sans Light" w:cs="Times New Roman"/>
          <w:shd w:val="clear" w:color="auto" w:fill="FFFFFF"/>
        </w:rPr>
        <w:t>nia</w:t>
      </w:r>
      <w:r w:rsidR="00BB1672" w:rsidRPr="00BB1672">
        <w:rPr>
          <w:rFonts w:eastAsia="Fira Sans Light" w:cs="Times New Roman"/>
          <w:shd w:val="clear" w:color="auto" w:fill="FFFFFF"/>
        </w:rPr>
        <w:t xml:space="preserve"> programów ogólnodostępnych i abonamentowych</w:t>
      </w:r>
      <w:r w:rsidR="006A426A">
        <w:rPr>
          <w:rFonts w:eastAsia="Fira Sans Light" w:cs="Times New Roman"/>
          <w:shd w:val="clear" w:color="auto" w:fill="FFFFFF"/>
        </w:rPr>
        <w:t xml:space="preserve"> związany był</w:t>
      </w:r>
      <w:r w:rsidR="00BB1672" w:rsidRPr="00BB1672">
        <w:rPr>
          <w:rFonts w:eastAsia="Fira Sans Light" w:cs="Times New Roman"/>
          <w:shd w:val="clear" w:color="auto" w:fill="FFFFFF"/>
        </w:rPr>
        <w:t xml:space="preserve"> </w:t>
      </w:r>
      <w:r w:rsidR="00C27703">
        <w:rPr>
          <w:rFonts w:eastAsia="Fira Sans Light" w:cs="Times New Roman"/>
          <w:shd w:val="clear" w:color="auto" w:fill="FFFFFF"/>
        </w:rPr>
        <w:t xml:space="preserve">natomiast </w:t>
      </w:r>
      <w:r w:rsidR="00914E76">
        <w:rPr>
          <w:rFonts w:eastAsia="Fira Sans Light" w:cs="Times New Roman"/>
          <w:shd w:val="clear" w:color="auto" w:fill="FFFFFF"/>
        </w:rPr>
        <w:t>głównie ze wz</w:t>
      </w:r>
      <w:r w:rsidR="006A426A">
        <w:rPr>
          <w:rFonts w:eastAsia="Fira Sans Light" w:cs="Times New Roman"/>
          <w:shd w:val="clear" w:color="auto" w:fill="FFFFFF"/>
        </w:rPr>
        <w:t>rostem cen s</w:t>
      </w:r>
      <w:r w:rsidR="00BB1672" w:rsidRPr="00BB1672">
        <w:rPr>
          <w:rFonts w:eastAsia="Fira Sans Light" w:cs="Times New Roman"/>
          <w:shd w:val="clear" w:color="auto" w:fill="FFFFFF"/>
        </w:rPr>
        <w:t>przedaż</w:t>
      </w:r>
      <w:r w:rsidR="006A426A">
        <w:rPr>
          <w:rFonts w:eastAsia="Fira Sans Light" w:cs="Times New Roman"/>
          <w:shd w:val="clear" w:color="auto" w:fill="FFFFFF"/>
        </w:rPr>
        <w:t>y</w:t>
      </w:r>
      <w:r w:rsidR="00BB1672" w:rsidRPr="00BB1672">
        <w:rPr>
          <w:rFonts w:eastAsia="Fira Sans Light" w:cs="Times New Roman"/>
          <w:shd w:val="clear" w:color="auto" w:fill="FFFFFF"/>
        </w:rPr>
        <w:t xml:space="preserve"> czasu i miejsca na cele reklamo</w:t>
      </w:r>
      <w:r w:rsidR="00914E76">
        <w:rPr>
          <w:rFonts w:eastAsia="Fira Sans Light" w:cs="Times New Roman"/>
          <w:shd w:val="clear" w:color="auto" w:fill="FFFFFF"/>
        </w:rPr>
        <w:t>we w telewizji</w:t>
      </w:r>
      <w:r w:rsidR="006A426A">
        <w:rPr>
          <w:rFonts w:eastAsia="Fira Sans Light" w:cs="Times New Roman"/>
          <w:shd w:val="clear" w:color="auto" w:fill="FFFFFF"/>
        </w:rPr>
        <w:t>.</w:t>
      </w:r>
    </w:p>
    <w:p w:rsidR="001A4D1B" w:rsidRDefault="007D0519" w:rsidP="00622966">
      <w:r>
        <w:t>Znaczący</w:t>
      </w:r>
      <w:r w:rsidR="004A5F3A" w:rsidRPr="0015624C">
        <w:t xml:space="preserve"> spadek</w:t>
      </w:r>
      <w:r w:rsidR="00DA0DA2" w:rsidRPr="0015624C">
        <w:t xml:space="preserve"> cen </w:t>
      </w:r>
      <w:r w:rsidR="00B855B0" w:rsidRPr="0015624C">
        <w:t xml:space="preserve">w porównaniu do poprzedniego kwartału </w:t>
      </w:r>
      <w:r w:rsidR="00DA0DA2" w:rsidRPr="0015624C">
        <w:t>odnotowano w przypadku usług</w:t>
      </w:r>
      <w:r w:rsidR="004A5F3A" w:rsidRPr="0015624C">
        <w:t xml:space="preserve"> </w:t>
      </w:r>
      <w:r w:rsidR="009A2F91" w:rsidRPr="009A2F91">
        <w:t>organizatorów turystyki, pośredników i agentów turystycznych oraz pozostałej działalności usługowej w zakresie rezerwacji i działalności z nią związanych</w:t>
      </w:r>
      <w:r w:rsidR="009A2F91">
        <w:t xml:space="preserve"> (o 8,0</w:t>
      </w:r>
      <w:r w:rsidR="009A2F91" w:rsidRPr="009A2F91">
        <w:t>%)</w:t>
      </w:r>
      <w:r w:rsidR="005C11E1">
        <w:t xml:space="preserve">, przy czym największy spadek dotyczył usług </w:t>
      </w:r>
      <w:r w:rsidR="005C11E1" w:rsidRPr="005C11E1">
        <w:t>organizatorów turystyki</w:t>
      </w:r>
      <w:r w:rsidR="009A2F91" w:rsidRPr="009A2F91">
        <w:t>.</w:t>
      </w:r>
      <w:r w:rsidR="00C35587">
        <w:t xml:space="preserve"> Spadek popytu na usługi turystyczne spowodowany był zarówno czynnikami sezonowymi</w:t>
      </w:r>
      <w:r w:rsidR="003E3385">
        <w:t>,</w:t>
      </w:r>
      <w:r w:rsidR="00C35587">
        <w:t xml:space="preserve"> jak i trwającą wciąż pandemią </w:t>
      </w:r>
      <w:r w:rsidR="00C35587" w:rsidRPr="00C35587">
        <w:t>Covid-19</w:t>
      </w:r>
      <w:r w:rsidR="00C35587">
        <w:t>.</w:t>
      </w:r>
    </w:p>
    <w:p w:rsidR="001A4D1B" w:rsidRDefault="001A4D1B" w:rsidP="001A4D1B">
      <w:pPr>
        <w:jc w:val="both"/>
      </w:pPr>
      <w:r>
        <w:t xml:space="preserve">Niewielkie spadki </w:t>
      </w:r>
      <w:r w:rsidR="00801731">
        <w:t xml:space="preserve">cen </w:t>
      </w:r>
      <w:r>
        <w:t>w IV kwartale w stosunku do III kwartału dotyczył</w:t>
      </w:r>
      <w:r w:rsidR="00D00604">
        <w:t xml:space="preserve">y </w:t>
      </w:r>
      <w:r>
        <w:t>usług</w:t>
      </w:r>
      <w:r w:rsidR="00C35587">
        <w:t xml:space="preserve"> </w:t>
      </w:r>
      <w:r>
        <w:t xml:space="preserve">w </w:t>
      </w:r>
      <w:r w:rsidR="00C27703">
        <w:t>zakresi</w:t>
      </w:r>
      <w:r w:rsidR="00F92BE1">
        <w:t xml:space="preserve">e </w:t>
      </w:r>
      <w:r>
        <w:t>działalności związanej</w:t>
      </w:r>
      <w:r w:rsidRPr="001A4D1B">
        <w:t xml:space="preserve"> z administracyjną obsługą biu</w:t>
      </w:r>
      <w:r>
        <w:t>ra i poz</w:t>
      </w:r>
      <w:r w:rsidR="00C27703">
        <w:t>ostałą</w:t>
      </w:r>
      <w:r>
        <w:t xml:space="preserve"> działalności</w:t>
      </w:r>
      <w:r w:rsidR="00C27703">
        <w:t>ą</w:t>
      </w:r>
      <w:r>
        <w:t xml:space="preserve"> wspomagają</w:t>
      </w:r>
      <w:r w:rsidR="00C27703">
        <w:t>cą</w:t>
      </w:r>
      <w:r w:rsidRPr="001A4D1B">
        <w:t xml:space="preserve"> prowadzenie działalności gospodarczej</w:t>
      </w:r>
      <w:r>
        <w:t xml:space="preserve"> (o 0,3%)</w:t>
      </w:r>
      <w:r w:rsidR="00801731">
        <w:t xml:space="preserve"> oraz </w:t>
      </w:r>
      <w:r>
        <w:t xml:space="preserve">usług w </w:t>
      </w:r>
      <w:r w:rsidR="00C27703">
        <w:t xml:space="preserve">zakresie </w:t>
      </w:r>
      <w:r>
        <w:t>pozostałej działalności profesjonalnej</w:t>
      </w:r>
      <w:r w:rsidRPr="001A4D1B">
        <w:t>, nauko</w:t>
      </w:r>
      <w:r>
        <w:t>wej i technicznej (o 0,2%).</w:t>
      </w:r>
    </w:p>
    <w:p w:rsidR="00095B4F" w:rsidRPr="009F57F6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noProof/>
          <w:color w:val="000000" w:themeColor="text1"/>
          <w:spacing w:val="0"/>
          <w:szCs w:val="18"/>
          <w:shd w:val="clear" w:color="auto" w:fill="FFFFFF"/>
          <w:lang w:eastAsia="pl-PL"/>
        </w:rPr>
      </w:pPr>
      <w:r w:rsidRPr="009F57F6">
        <w:rPr>
          <w:color w:val="000000" w:themeColor="text1"/>
        </w:rPr>
        <w:t xml:space="preserve">Wykres 1. Zmiany </w:t>
      </w:r>
      <w:r w:rsidRPr="009F57F6">
        <w:rPr>
          <w:color w:val="000000" w:themeColor="text1"/>
          <w:szCs w:val="18"/>
        </w:rPr>
        <w:t>c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F829E2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2017-2020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  <w:r w:rsidR="002711E0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</w:t>
      </w:r>
    </w:p>
    <w:p w:rsidR="00D946BE" w:rsidRDefault="00DF5E1A">
      <w:pPr>
        <w:spacing w:before="0" w:after="160" w:line="259" w:lineRule="auto"/>
        <w:rPr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61005069" wp14:editId="4556F5EE">
            <wp:extent cx="5122545" cy="261747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5B4F" w:rsidRDefault="00DF5E1A" w:rsidP="00095B4F">
      <w:pPr>
        <w:pStyle w:val="tytuwykresu"/>
        <w:ind w:left="851" w:hanging="851"/>
        <w:jc w:val="both"/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513080</wp:posOffset>
            </wp:positionV>
            <wp:extent cx="5122545" cy="2788920"/>
            <wp:effectExtent l="0" t="0" r="1905" b="0"/>
            <wp:wrapTight wrapText="bothSides">
              <wp:wrapPolygon edited="0">
                <wp:start x="0" y="0"/>
                <wp:lineTo x="0" y="21393"/>
                <wp:lineTo x="21528" y="21393"/>
                <wp:lineTo x="21528" y="0"/>
                <wp:lineTo x="0" y="0"/>
              </wp:wrapPolygon>
            </wp:wrapTight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095B4F" w:rsidRPr="00CD555D">
        <w:t xml:space="preserve">Wykres </w:t>
      </w:r>
      <w:r w:rsidR="00095B4F">
        <w:t>2</w:t>
      </w:r>
      <w:r w:rsidR="00095B4F" w:rsidRPr="00CD555D">
        <w:t>.</w:t>
      </w:r>
      <w:r w:rsidR="00095B4F"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34392C">
        <w:rPr>
          <w:rFonts w:eastAsia="Fira Sans Light" w:cs="Times New Roman"/>
          <w:bCs/>
          <w:spacing w:val="0"/>
          <w:szCs w:val="18"/>
          <w:shd w:val="clear" w:color="auto" w:fill="FFFFFF"/>
        </w:rPr>
        <w:br/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>w latach 2017-2020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analogic</w:t>
      </w:r>
      <w:bookmarkStart w:id="0" w:name="_GoBack"/>
      <w:bookmarkEnd w:id="0"/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DF5E1A" w:rsidRDefault="00DF5E1A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</w:p>
    <w:p w:rsidR="00DF5E1A" w:rsidRPr="00F31DD1" w:rsidRDefault="00DF5E1A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46416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5652F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hyperlink r:id="rId17" w:history="1">
              <w:r w:rsidR="0005652F"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00492213" wp14:editId="10ACD0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50C1CEEF" wp14:editId="362C7E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63FF971A" wp14:editId="5F549CE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144FAA" wp14:editId="42410F5D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644BB7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 xml:space="preserve"> HYPERLINK "https://stat.gov.pl/obszary-tematyczne/ceny-handel/ceny/ceny-w-gospodarce-narodowej-w-latach-2014-2018,3,16.html" 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644B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644BB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644BB7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4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44FAA" id="_x0000_s1030" type="#_x0000_t202" style="position:absolute;margin-left:1.5pt;margin-top:33.4pt;width:457.2pt;height:283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D6C/Vz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644BB7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 xml:space="preserve"> HYPERLINK "https://stat.gov.pl/obszary-tematyczne/ceny-handel/ceny/ceny-w-gospodarce-narodowej-w-latach-2014-2018,3,16.html" 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644BB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:rsidR="00A46416" w:rsidRPr="006A7A5D" w:rsidRDefault="00644BB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644BB7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28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B7" w:rsidRDefault="00644BB7" w:rsidP="000662E2">
      <w:pPr>
        <w:spacing w:after="0" w:line="240" w:lineRule="auto"/>
      </w:pPr>
      <w:r>
        <w:separator/>
      </w:r>
    </w:p>
  </w:endnote>
  <w:endnote w:type="continuationSeparator" w:id="0">
    <w:p w:rsidR="00644BB7" w:rsidRDefault="00644B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BBA">
          <w:rPr>
            <w:noProof/>
          </w:rPr>
          <w:t>3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BBA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B7" w:rsidRDefault="00644BB7" w:rsidP="000662E2">
      <w:pPr>
        <w:spacing w:after="0" w:line="240" w:lineRule="auto"/>
      </w:pPr>
      <w:r>
        <w:separator/>
      </w:r>
    </w:p>
  </w:footnote>
  <w:footnote w:type="continuationSeparator" w:id="0">
    <w:p w:rsidR="00644BB7" w:rsidRDefault="00644BB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65C97F1" wp14:editId="393DE53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A57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68E978B" wp14:editId="775863F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E978B" id="Schemat blokowy: opóźnienie 6" o:spid="_x0000_s1031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4FF1A73" wp14:editId="19A6780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DC031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2257A4F9" wp14:editId="1760A4AC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2901">
      <w:rPr>
        <w:noProof/>
        <w:lang w:eastAsia="pl-PL"/>
      </w:rPr>
      <w:tab/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719A2782" wp14:editId="41EA9B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515C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A278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515C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3E2B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7CA1"/>
    <w:rsid w:val="00060424"/>
    <w:rsid w:val="00060815"/>
    <w:rsid w:val="00060961"/>
    <w:rsid w:val="00063CFE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174A"/>
    <w:rsid w:val="0010242A"/>
    <w:rsid w:val="00106EBF"/>
    <w:rsid w:val="00106EFD"/>
    <w:rsid w:val="00107174"/>
    <w:rsid w:val="00110D87"/>
    <w:rsid w:val="00112322"/>
    <w:rsid w:val="00112E11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5F52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92B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6609"/>
    <w:rsid w:val="0021748C"/>
    <w:rsid w:val="0022019B"/>
    <w:rsid w:val="0022042A"/>
    <w:rsid w:val="002205E7"/>
    <w:rsid w:val="00220C8A"/>
    <w:rsid w:val="00222619"/>
    <w:rsid w:val="002228EE"/>
    <w:rsid w:val="00223178"/>
    <w:rsid w:val="00223EEF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214E"/>
    <w:rsid w:val="00262399"/>
    <w:rsid w:val="0026423F"/>
    <w:rsid w:val="0026469A"/>
    <w:rsid w:val="00264F8E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7EE3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01FA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1F3F"/>
    <w:rsid w:val="00332320"/>
    <w:rsid w:val="003344FD"/>
    <w:rsid w:val="00334755"/>
    <w:rsid w:val="003355D9"/>
    <w:rsid w:val="003359C4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12D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235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C14"/>
    <w:rsid w:val="003E3DCD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460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5A"/>
    <w:rsid w:val="004D7C98"/>
    <w:rsid w:val="004E059A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9C9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3B09"/>
    <w:rsid w:val="0056513E"/>
    <w:rsid w:val="00566D5D"/>
    <w:rsid w:val="00566E2E"/>
    <w:rsid w:val="0056762A"/>
    <w:rsid w:val="00570544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59EB"/>
    <w:rsid w:val="00586371"/>
    <w:rsid w:val="00586939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765"/>
    <w:rsid w:val="005C11E1"/>
    <w:rsid w:val="005C2440"/>
    <w:rsid w:val="005C3773"/>
    <w:rsid w:val="005C4965"/>
    <w:rsid w:val="005C72B7"/>
    <w:rsid w:val="005C766F"/>
    <w:rsid w:val="005C7721"/>
    <w:rsid w:val="005C7D83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4F5A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BBA"/>
    <w:rsid w:val="00612F8B"/>
    <w:rsid w:val="00615004"/>
    <w:rsid w:val="00616AA4"/>
    <w:rsid w:val="00620AC2"/>
    <w:rsid w:val="00620F2F"/>
    <w:rsid w:val="00621911"/>
    <w:rsid w:val="00622966"/>
    <w:rsid w:val="00623E3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4BB7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86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1E0A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57B01"/>
    <w:rsid w:val="0076033D"/>
    <w:rsid w:val="0076254F"/>
    <w:rsid w:val="00762A1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69F3"/>
    <w:rsid w:val="007F6C73"/>
    <w:rsid w:val="0080172B"/>
    <w:rsid w:val="00801731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3384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6BA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9E4"/>
    <w:rsid w:val="00A02CA5"/>
    <w:rsid w:val="00A03DCF"/>
    <w:rsid w:val="00A04735"/>
    <w:rsid w:val="00A0479C"/>
    <w:rsid w:val="00A04979"/>
    <w:rsid w:val="00A05062"/>
    <w:rsid w:val="00A05AB5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D38"/>
    <w:rsid w:val="00AB0FE6"/>
    <w:rsid w:val="00AB3450"/>
    <w:rsid w:val="00AB3B33"/>
    <w:rsid w:val="00AB4211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2079C"/>
    <w:rsid w:val="00B20E6A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2F06"/>
    <w:rsid w:val="00B63624"/>
    <w:rsid w:val="00B63AAB"/>
    <w:rsid w:val="00B63BED"/>
    <w:rsid w:val="00B642EC"/>
    <w:rsid w:val="00B6471C"/>
    <w:rsid w:val="00B653AB"/>
    <w:rsid w:val="00B65472"/>
    <w:rsid w:val="00B65A3A"/>
    <w:rsid w:val="00B65F9E"/>
    <w:rsid w:val="00B65FFA"/>
    <w:rsid w:val="00B66B19"/>
    <w:rsid w:val="00B70658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80E"/>
    <w:rsid w:val="00B90F88"/>
    <w:rsid w:val="00B914E9"/>
    <w:rsid w:val="00B918C4"/>
    <w:rsid w:val="00B92FA3"/>
    <w:rsid w:val="00B933BC"/>
    <w:rsid w:val="00B93F73"/>
    <w:rsid w:val="00B956EE"/>
    <w:rsid w:val="00B95A77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2BA"/>
    <w:rsid w:val="00BA2BA1"/>
    <w:rsid w:val="00BA3A8D"/>
    <w:rsid w:val="00BA50D2"/>
    <w:rsid w:val="00BA511D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35A0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2F0"/>
    <w:rsid w:val="00C12885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1340"/>
    <w:rsid w:val="00C31383"/>
    <w:rsid w:val="00C31678"/>
    <w:rsid w:val="00C31D34"/>
    <w:rsid w:val="00C32596"/>
    <w:rsid w:val="00C35587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A4E"/>
    <w:rsid w:val="00C73BCB"/>
    <w:rsid w:val="00C74014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08A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196E"/>
    <w:rsid w:val="00C924A8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1A1F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09C"/>
    <w:rsid w:val="00D91446"/>
    <w:rsid w:val="00D91C28"/>
    <w:rsid w:val="00D92149"/>
    <w:rsid w:val="00D9341E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D4F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5E1A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D8D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2A10"/>
    <w:rsid w:val="00E93508"/>
    <w:rsid w:val="00E9357F"/>
    <w:rsid w:val="00E9376E"/>
    <w:rsid w:val="00E93CCF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755"/>
    <w:rsid w:val="00ED31DA"/>
    <w:rsid w:val="00ED3233"/>
    <w:rsid w:val="00ED522F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4861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9D01D-C733-4120-B897-CC1853CB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sygnalne/informacje-sygnalne/2,2020,kategoria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sygnalne/informacje-sygnalne/2,2020,kategoria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metainformacje/slownik-pojec/pojecia-stosowane-w-statystyce-publicznej/3200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ceny/" TargetMode="External"/><Relationship Id="rId28" Type="http://schemas.openxmlformats.org/officeDocument/2006/relationships/hyperlink" Target="https://stat.gov.pl/metainformacje/slownik-pojec/pojecia-stosowane-w-statystyce-publicznej/3200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waid.stat.gov.pl/SitePagesDBW/Ceny.aspx" TargetMode="External"/><Relationship Id="rId27" Type="http://schemas.openxmlformats.org/officeDocument/2006/relationships/hyperlink" Target="https://stat.gov.pl/obszary-tematyczne/ceny-handel/ceny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_Us&#322;ug\W16_C06\Notatka_sygnalna\Informacja%20sygnalna_IVkw2020\Wykresy%20sygnalna%20IV%20kw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572553430822E-2"/>
          <c:y val="9.5124903504708966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1 (4)'!$A$2:$B$17</c:f>
              <c:multiLvlStrCache>
                <c:ptCount val="16"/>
                <c:lvl>
                  <c:pt idx="0">
                    <c:v>I </c:v>
                  </c:pt>
                  <c:pt idx="1">
                    <c:v>II </c:v>
                  </c:pt>
                  <c:pt idx="2">
                    <c:v>III </c:v>
                  </c:pt>
                  <c:pt idx="3">
                    <c:v>IV </c:v>
                  </c:pt>
                  <c:pt idx="4">
                    <c:v>I </c:v>
                  </c:pt>
                  <c:pt idx="5">
                    <c:v>II </c:v>
                  </c:pt>
                  <c:pt idx="6">
                    <c:v>III </c:v>
                  </c:pt>
                  <c:pt idx="7">
                    <c:v>IV </c:v>
                  </c:pt>
                  <c:pt idx="8">
                    <c:v>I </c:v>
                  </c:pt>
                  <c:pt idx="9">
                    <c:v>II </c:v>
                  </c:pt>
                  <c:pt idx="10">
                    <c:v>III </c:v>
                  </c:pt>
                  <c:pt idx="11">
                    <c:v>IV 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 </c:v>
                  </c:pt>
                  <c:pt idx="15">
                    <c:v>IV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'wykres 1 (4)'!$C$2:$C$17</c:f>
              <c:numCache>
                <c:formatCode>General</c:formatCode>
                <c:ptCount val="16"/>
                <c:pt idx="0">
                  <c:v>0.8</c:v>
                </c:pt>
                <c:pt idx="1">
                  <c:v>0.4</c:v>
                </c:pt>
                <c:pt idx="2">
                  <c:v>0.7</c:v>
                </c:pt>
                <c:pt idx="3">
                  <c:v>0.3</c:v>
                </c:pt>
                <c:pt idx="4">
                  <c:v>0.7</c:v>
                </c:pt>
                <c:pt idx="5">
                  <c:v>0.5</c:v>
                </c:pt>
                <c:pt idx="6">
                  <c:v>0.2</c:v>
                </c:pt>
                <c:pt idx="7">
                  <c:v>0.3</c:v>
                </c:pt>
                <c:pt idx="8">
                  <c:v>0.8</c:v>
                </c:pt>
                <c:pt idx="9">
                  <c:v>0.4</c:v>
                </c:pt>
                <c:pt idx="10">
                  <c:v>0.5</c:v>
                </c:pt>
                <c:pt idx="11">
                  <c:v>0.2</c:v>
                </c:pt>
                <c:pt idx="12">
                  <c:v>0.9</c:v>
                </c:pt>
                <c:pt idx="13">
                  <c:v>-0.4</c:v>
                </c:pt>
                <c:pt idx="14">
                  <c:v>0.5</c:v>
                </c:pt>
                <c:pt idx="15">
                  <c:v>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816457056"/>
        <c:axId val="-1816454336"/>
      </c:lineChart>
      <c:catAx>
        <c:axId val="-181645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1816454336"/>
        <c:crosses val="autoZero"/>
        <c:auto val="1"/>
        <c:lblAlgn val="ctr"/>
        <c:lblOffset val="100"/>
        <c:noMultiLvlLbl val="0"/>
      </c:catAx>
      <c:valAx>
        <c:axId val="-1816454336"/>
        <c:scaling>
          <c:orientation val="minMax"/>
          <c:max val="1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1816457056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2 (4)'!$A$2:$B$17</c:f>
              <c:multiLvlStrCache>
                <c:ptCount val="16"/>
                <c:lvl>
                  <c:pt idx="0">
                    <c:v>I </c:v>
                  </c:pt>
                  <c:pt idx="1">
                    <c:v>II </c:v>
                  </c:pt>
                  <c:pt idx="2">
                    <c:v>III </c:v>
                  </c:pt>
                  <c:pt idx="3">
                    <c:v>IV </c:v>
                  </c:pt>
                  <c:pt idx="4">
                    <c:v>I </c:v>
                  </c:pt>
                  <c:pt idx="5">
                    <c:v>II </c:v>
                  </c:pt>
                  <c:pt idx="6">
                    <c:v>III </c:v>
                  </c:pt>
                  <c:pt idx="7">
                    <c:v>IV </c:v>
                  </c:pt>
                  <c:pt idx="8">
                    <c:v>I </c:v>
                  </c:pt>
                  <c:pt idx="9">
                    <c:v>II </c:v>
                  </c:pt>
                  <c:pt idx="10">
                    <c:v>III </c:v>
                  </c:pt>
                  <c:pt idx="11">
                    <c:v>IV 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 </c:v>
                  </c:pt>
                  <c:pt idx="15">
                    <c:v>IV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'wykres 2 (4)'!$C$2:$C$17</c:f>
              <c:numCache>
                <c:formatCode>General</c:formatCode>
                <c:ptCount val="16"/>
                <c:pt idx="0">
                  <c:v>1.6</c:v>
                </c:pt>
                <c:pt idx="1">
                  <c:v>1.7</c:v>
                </c:pt>
                <c:pt idx="2" formatCode="0.0">
                  <c:v>2.2999999999999998</c:v>
                </c:pt>
                <c:pt idx="3" formatCode="0.0">
                  <c:v>2.2000000000000002</c:v>
                </c:pt>
                <c:pt idx="4" formatCode="0.0">
                  <c:v>2.1</c:v>
                </c:pt>
                <c:pt idx="5" formatCode="0.0">
                  <c:v>2.2000000000000002</c:v>
                </c:pt>
                <c:pt idx="6" formatCode="0.0">
                  <c:v>1.7</c:v>
                </c:pt>
                <c:pt idx="7" formatCode="0.0">
                  <c:v>1.7</c:v>
                </c:pt>
                <c:pt idx="8" formatCode="0.0">
                  <c:v>1.8</c:v>
                </c:pt>
                <c:pt idx="9" formatCode="0.0">
                  <c:v>1.7</c:v>
                </c:pt>
                <c:pt idx="10" formatCode="0.0">
                  <c:v>2</c:v>
                </c:pt>
                <c:pt idx="11" formatCode="0.0">
                  <c:v>1.9</c:v>
                </c:pt>
                <c:pt idx="12" formatCode="0.0">
                  <c:v>2</c:v>
                </c:pt>
                <c:pt idx="13">
                  <c:v>1.2</c:v>
                </c:pt>
                <c:pt idx="14">
                  <c:v>1.2</c:v>
                </c:pt>
                <c:pt idx="15">
                  <c:v>1.1000000000000001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16455424"/>
        <c:axId val="-1816453248"/>
      </c:lineChart>
      <c:catAx>
        <c:axId val="-181645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1816453248"/>
        <c:crosses val="autoZero"/>
        <c:auto val="1"/>
        <c:lblAlgn val="ctr"/>
        <c:lblOffset val="100"/>
        <c:noMultiLvlLbl val="0"/>
      </c:catAx>
      <c:valAx>
        <c:axId val="-1816453248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1816455424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B0491-2F1B-4F96-B44D-7EBD2239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2020-12-08T18:37:00Z</cp:lastPrinted>
  <dcterms:created xsi:type="dcterms:W3CDTF">2021-02-19T13:11:00Z</dcterms:created>
  <dcterms:modified xsi:type="dcterms:W3CDTF">2021-03-10T06:56:00Z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