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2A" w:rsidRPr="00553353" w:rsidRDefault="0010242A" w:rsidP="0010242A">
      <w:pPr>
        <w:pStyle w:val="tytuinformacji"/>
        <w:rPr>
          <w:szCs w:val="40"/>
          <w:shd w:val="clear" w:color="auto" w:fill="FFFFFF"/>
        </w:rPr>
      </w:pPr>
      <w:bookmarkStart w:id="0" w:name="_GoBack"/>
      <w:bookmarkEnd w:id="0"/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  </w:t>
      </w:r>
      <w:r w:rsidRPr="00553353">
        <w:rPr>
          <w:szCs w:val="40"/>
          <w:shd w:val="clear" w:color="auto" w:fill="FFFFFF"/>
        </w:rPr>
        <w:t>obsług</w:t>
      </w:r>
      <w:r w:rsidR="00D91E1D">
        <w:rPr>
          <w:szCs w:val="40"/>
          <w:shd w:val="clear" w:color="auto" w:fill="FFFFFF"/>
        </w:rPr>
        <w:t xml:space="preserve">ą działalności gospodarczej za </w:t>
      </w:r>
      <w:r w:rsidR="007E6699">
        <w:rPr>
          <w:szCs w:val="40"/>
          <w:shd w:val="clear" w:color="auto" w:fill="FFFFFF"/>
        </w:rPr>
        <w:t>III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C44291">
        <w:rPr>
          <w:szCs w:val="40"/>
          <w:shd w:val="clear" w:color="auto" w:fill="FFFFFF"/>
        </w:rPr>
        <w:t>2021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C11430" w:rsidRDefault="00C11430" w:rsidP="00074DD8">
      <w:pPr>
        <w:pStyle w:val="tytuinformacji"/>
        <w:rPr>
          <w:shd w:val="clear" w:color="auto" w:fill="FFFFFF"/>
        </w:rPr>
      </w:pPr>
    </w:p>
    <w:p w:rsidR="005916D7" w:rsidRPr="009F7C0E" w:rsidRDefault="002B5719" w:rsidP="00881DE5">
      <w:pPr>
        <w:pStyle w:val="tytuinformacji"/>
        <w:spacing w:line="240" w:lineRule="exact"/>
        <w:jc w:val="both"/>
        <w:rPr>
          <w:rFonts w:ascii="Fira Sans" w:hAnsi="Fira Sans"/>
          <w:b/>
          <w:strike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51765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76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81DE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881DE5">
                              <w:rPr>
                                <w:rFonts w:eastAsia="Fira Sans Light" w:cs="Times New Roman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D4E9F8A" wp14:editId="5C4B602D">
                                  <wp:extent cx="342000" cy="334800"/>
                                  <wp:effectExtent l="0" t="0" r="1270" b="825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12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1,1</w:t>
                            </w:r>
                            <w:r w:rsidR="006F4C1A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33EC1" w:rsidRPr="00EB6683" w:rsidRDefault="004C5020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881DE5">
                              <w:t>usług</w:t>
                            </w:r>
                            <w:r w:rsidR="006E4174"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E4174" w:rsidRPr="006E4174">
                              <w:t>związanych z obsługą działalności gospodarczej</w:t>
                            </w:r>
                            <w:r w:rsidR="00881DE5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7E6699">
                              <w:t>II</w:t>
                            </w:r>
                            <w:r w:rsidR="00881DE5">
                              <w:t xml:space="preserve"> kwartałem </w:t>
                            </w:r>
                            <w:r w:rsidR="00F25123">
                              <w:t>2021</w:t>
                            </w:r>
                            <w:r w:rsidR="008205FC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95pt;width:2in;height:119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Gd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" fillcolor="#001d77" stroked="f">
                <v:textbox>
                  <w:txbxContent>
                    <w:p w:rsidR="00933EC1" w:rsidRPr="00B66B19" w:rsidRDefault="00881DE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881DE5">
                        <w:rPr>
                          <w:rFonts w:eastAsia="Fira Sans Light" w:cs="Times New Roman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D4E9F8A" wp14:editId="5C4B602D">
                            <wp:extent cx="342000" cy="334800"/>
                            <wp:effectExtent l="0" t="0" r="1270" b="825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12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1,1</w:t>
                      </w:r>
                      <w:r w:rsidR="006F4C1A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33EC1" w:rsidRPr="00EB6683" w:rsidRDefault="004C5020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proofErr w:type="spellStart"/>
                      <w:r>
                        <w:t>wrost</w:t>
                      </w:r>
                      <w:proofErr w:type="spellEnd"/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881DE5">
                        <w:t>usług</w:t>
                      </w:r>
                      <w:r w:rsidR="006E4174"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6E4174" w:rsidRPr="006E4174">
                        <w:t>związanych z obsługą działalności gospodarczej</w:t>
                      </w:r>
                      <w:r w:rsidR="00881DE5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7E6699">
                        <w:t>II</w:t>
                      </w:r>
                      <w:r w:rsidR="00881DE5">
                        <w:t xml:space="preserve"> kwartałem </w:t>
                      </w:r>
                      <w:r w:rsidR="00F25123">
                        <w:t>2021</w:t>
                      </w:r>
                      <w:r w:rsidR="008205FC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7E669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III</w:t>
      </w:r>
      <w:r w:rsidR="00BF481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2021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 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do </w:t>
      </w:r>
      <w:r w:rsidR="0082752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BF481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</w:t>
      </w:r>
      <w:r w:rsidR="007412A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rzedniego kwartału wzrosły o 1,1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7E669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III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BF481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4C50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F2512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7412A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rosły o 2,6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003437" w:rsidRPr="00286021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2915CD" w:rsidRPr="00286021" w:rsidRDefault="002915CD" w:rsidP="00CC44C5">
      <w:pPr>
        <w:rPr>
          <w:szCs w:val="19"/>
          <w:lang w:eastAsia="pl-PL"/>
        </w:rPr>
      </w:pPr>
    </w:p>
    <w:p w:rsidR="00DD6A59" w:rsidRPr="00255319" w:rsidRDefault="00DD6A59" w:rsidP="00C424B8">
      <w:pPr>
        <w:rPr>
          <w:sz w:val="18"/>
          <w:szCs w:val="19"/>
          <w:shd w:val="clear" w:color="auto" w:fill="FFFFFF"/>
        </w:rPr>
      </w:pPr>
    </w:p>
    <w:p w:rsidR="00BC65D7" w:rsidRPr="002B2141" w:rsidRDefault="00BC65D7" w:rsidP="00A63840">
      <w:pPr>
        <w:ind w:left="851" w:hanging="851"/>
        <w:rPr>
          <w:b/>
          <w:sz w:val="18"/>
          <w:shd w:val="clear" w:color="auto" w:fill="FFFFFF"/>
        </w:rPr>
      </w:pPr>
      <w:r w:rsidRPr="002B2141">
        <w:rPr>
          <w:b/>
          <w:noProof/>
          <w:spacing w:val="-2"/>
          <w:sz w:val="1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5AFABC6" wp14:editId="5F5D9FE6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AFABC6" id="Pole tekstowe 6" o:spid="_x0000_s1027" type="#_x0000_t202" style="position:absolute;left:0;text-align:left;margin-left:418.4pt;margin-top:26.75pt;width:135.75pt;height:251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2B2141">
        <w:rPr>
          <w:b/>
          <w:sz w:val="18"/>
          <w:shd w:val="clear" w:color="auto" w:fill="FFFFFF"/>
        </w:rPr>
        <w:t xml:space="preserve">Tablica 1. </w:t>
      </w:r>
      <w:r w:rsidR="007062D3" w:rsidRPr="002B2141">
        <w:rPr>
          <w:b/>
          <w:sz w:val="18"/>
          <w:shd w:val="clear" w:color="auto" w:fill="FFFFFF"/>
        </w:rPr>
        <w:t>Wskaźniki cen producentów usług związanych z obsługą działalnośc</w:t>
      </w:r>
      <w:r w:rsidR="00493E1F" w:rsidRPr="002B2141">
        <w:rPr>
          <w:b/>
          <w:sz w:val="18"/>
          <w:shd w:val="clear" w:color="auto" w:fill="FFFFFF"/>
        </w:rPr>
        <w:t>i gospodarczej za</w:t>
      </w:r>
      <w:r w:rsidR="007E6699">
        <w:rPr>
          <w:b/>
          <w:sz w:val="18"/>
          <w:shd w:val="clear" w:color="auto" w:fill="FFFFFF"/>
        </w:rPr>
        <w:t xml:space="preserve"> III</w:t>
      </w:r>
      <w:r w:rsidR="00493E1F" w:rsidRPr="002B2141">
        <w:rPr>
          <w:b/>
          <w:sz w:val="18"/>
          <w:shd w:val="clear" w:color="auto" w:fill="FFFFFF"/>
        </w:rPr>
        <w:t> </w:t>
      </w:r>
      <w:r w:rsidR="00C44291">
        <w:rPr>
          <w:b/>
          <w:sz w:val="18"/>
          <w:shd w:val="clear" w:color="auto" w:fill="FFFFFF"/>
        </w:rPr>
        <w:t>kwartał 2021</w:t>
      </w:r>
      <w:r w:rsidR="007062D3" w:rsidRPr="002B2141">
        <w:rPr>
          <w:b/>
          <w:sz w:val="18"/>
          <w:shd w:val="clear" w:color="auto" w:fill="FFFFFF"/>
        </w:rPr>
        <w:t xml:space="preserve"> </w:t>
      </w:r>
      <w:r w:rsidR="00C7723E" w:rsidRPr="002B2141">
        <w:rPr>
          <w:b/>
          <w:sz w:val="18"/>
          <w:shd w:val="clear" w:color="auto" w:fill="FFFFFF"/>
        </w:rPr>
        <w:t>r.</w:t>
      </w:r>
    </w:p>
    <w:tbl>
      <w:tblPr>
        <w:tblStyle w:val="Tabela-Siatka11"/>
        <w:tblpPr w:leftFromText="142" w:rightFromText="142" w:vertAnchor="text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850"/>
        <w:gridCol w:w="992"/>
        <w:gridCol w:w="1134"/>
      </w:tblGrid>
      <w:tr w:rsidR="002B2141" w:rsidRPr="002B2141" w:rsidTr="00D91E1D">
        <w:tc>
          <w:tcPr>
            <w:tcW w:w="4077" w:type="dxa"/>
            <w:vMerge w:val="restart"/>
            <w:vAlign w:val="center"/>
          </w:tcPr>
          <w:p w:rsidR="00A62F2E" w:rsidRPr="002B2141" w:rsidRDefault="00A62F2E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Arial"/>
                <w:sz w:val="16"/>
                <w:szCs w:val="16"/>
              </w:rPr>
              <w:t>WYSZCZEGÓLNIENIE</w:t>
            </w:r>
          </w:p>
        </w:tc>
        <w:tc>
          <w:tcPr>
            <w:tcW w:w="2835" w:type="dxa"/>
            <w:gridSpan w:val="3"/>
            <w:vAlign w:val="center"/>
          </w:tcPr>
          <w:p w:rsidR="00A62F2E" w:rsidRPr="002B2141" w:rsidRDefault="007E6699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</w:rPr>
              <w:t>III</w:t>
            </w:r>
            <w:r w:rsidR="006A307B" w:rsidRPr="002B2141">
              <w:rPr>
                <w:rFonts w:eastAsia="Fira Sans Light" w:cs="Times New Roman"/>
                <w:sz w:val="16"/>
                <w:szCs w:val="16"/>
              </w:rPr>
              <w:t xml:space="preserve"> kwartał</w:t>
            </w:r>
            <w:r w:rsidR="00C44291">
              <w:rPr>
                <w:rFonts w:eastAsia="Fira Sans Light" w:cs="Times New Roman"/>
                <w:sz w:val="16"/>
                <w:szCs w:val="16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A62F2E" w:rsidRPr="002B2141" w:rsidRDefault="007E6699" w:rsidP="007E6699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I-III</w:t>
            </w:r>
            <w:r w:rsidR="00131444" w:rsidRPr="00131444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kwartał</w:t>
            </w:r>
            <w:r w:rsidR="00131444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2021</w:t>
            </w:r>
          </w:p>
        </w:tc>
      </w:tr>
      <w:tr w:rsidR="002B2141" w:rsidRPr="002B2141" w:rsidTr="00D91E1D">
        <w:tc>
          <w:tcPr>
            <w:tcW w:w="4077" w:type="dxa"/>
            <w:vMerge/>
            <w:tcBorders>
              <w:bottom w:val="single" w:sz="12" w:space="0" w:color="001D77"/>
            </w:tcBorders>
            <w:vAlign w:val="center"/>
          </w:tcPr>
          <w:p w:rsidR="00D94093" w:rsidRPr="002B2141" w:rsidRDefault="00D94093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7E6699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pacing w:val="-12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</w:rPr>
              <w:t>III</w:t>
            </w:r>
            <w:r w:rsidR="006A307B" w:rsidRPr="002B2141">
              <w:rPr>
                <w:rFonts w:eastAsia="Fira Sans Light" w:cs="Times New Roman"/>
                <w:sz w:val="16"/>
                <w:szCs w:val="16"/>
              </w:rPr>
              <w:t xml:space="preserve"> kwartał</w:t>
            </w:r>
            <w:r w:rsidR="005A50E3">
              <w:rPr>
                <w:rFonts w:eastAsia="Fira Sans Light" w:cs="Times New Roman"/>
                <w:sz w:val="16"/>
                <w:szCs w:val="16"/>
              </w:rPr>
              <w:t xml:space="preserve"> 2020</w:t>
            </w:r>
            <w:r w:rsidR="00AC1D51" w:rsidRPr="002B2141">
              <w:rPr>
                <w:rFonts w:eastAsia="Fira Sans Light" w:cs="Times New Roman"/>
                <w:sz w:val="16"/>
                <w:szCs w:val="16"/>
              </w:rPr>
              <w:t>=100</w:t>
            </w:r>
          </w:p>
        </w:tc>
        <w:tc>
          <w:tcPr>
            <w:tcW w:w="850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7E6699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pacing w:val="-12"/>
                <w:sz w:val="16"/>
                <w:szCs w:val="16"/>
              </w:rPr>
              <w:t>IV</w:t>
            </w:r>
            <w:r w:rsidR="00C44291">
              <w:rPr>
                <w:rFonts w:eastAsia="Fira Sans Light" w:cs="Times New Roman"/>
                <w:spacing w:val="-12"/>
                <w:sz w:val="16"/>
                <w:szCs w:val="16"/>
              </w:rPr>
              <w:t xml:space="preserve"> </w:t>
            </w:r>
            <w:r w:rsidR="006A307B" w:rsidRPr="002B2141">
              <w:rPr>
                <w:rFonts w:eastAsia="Fira Sans Light" w:cs="Times New Roman"/>
                <w:spacing w:val="-12"/>
                <w:sz w:val="16"/>
                <w:szCs w:val="16"/>
              </w:rPr>
              <w:t>kwartał</w:t>
            </w:r>
            <w:r w:rsidR="005A50E3">
              <w:rPr>
                <w:rFonts w:eastAsia="Fira Sans Light" w:cs="Times New Roman"/>
                <w:spacing w:val="-12"/>
                <w:sz w:val="16"/>
                <w:szCs w:val="16"/>
              </w:rPr>
              <w:t xml:space="preserve"> 2020</w:t>
            </w:r>
            <w:r w:rsidR="00AC1D51" w:rsidRPr="002B2141">
              <w:rPr>
                <w:rFonts w:eastAsia="Fira Sans Light" w:cs="Times New Roman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7E6699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II</w:t>
            </w:r>
            <w:r w:rsidR="006A307B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kwartał</w:t>
            </w:r>
            <w:r w:rsidR="005A50E3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2021</w:t>
            </w:r>
            <w:r w:rsidR="001F6B8D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7E6699" w:rsidP="007E6699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I-III</w:t>
            </w:r>
            <w:r w:rsidR="00D91E1D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131444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kwartał 202</w:t>
            </w:r>
            <w:r w:rsidR="006E270B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0</w:t>
            </w:r>
            <w:r w:rsidR="001F6B8D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=100</w:t>
            </w:r>
          </w:p>
        </w:tc>
      </w:tr>
      <w:tr w:rsidR="00D94093" w:rsidRPr="008E08A4" w:rsidTr="00D91E1D">
        <w:tc>
          <w:tcPr>
            <w:tcW w:w="4077" w:type="dxa"/>
            <w:tcBorders>
              <w:bottom w:val="single" w:sz="4" w:space="0" w:color="001D77"/>
            </w:tcBorders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Times New Roman"/>
                <w:b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Calibri"/>
                <w:b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vAlign w:val="center"/>
          </w:tcPr>
          <w:p w:rsidR="00D94093" w:rsidRPr="00223178" w:rsidRDefault="00542F82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center"/>
          </w:tcPr>
          <w:p w:rsidR="00D94093" w:rsidRPr="00223178" w:rsidRDefault="00542F82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D94093" w:rsidRPr="00223178" w:rsidRDefault="00542F82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center"/>
          </w:tcPr>
          <w:p w:rsidR="00D94093" w:rsidRPr="00223178" w:rsidRDefault="00542F82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101,8</w:t>
            </w:r>
          </w:p>
        </w:tc>
      </w:tr>
      <w:tr w:rsidR="00D94093" w:rsidRPr="008E08A4" w:rsidTr="00D91E1D">
        <w:tc>
          <w:tcPr>
            <w:tcW w:w="407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wydawnicza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94093" w:rsidRPr="008E08A4" w:rsidRDefault="000C1545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94093" w:rsidRPr="008E08A4" w:rsidRDefault="00FE1EB6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94093" w:rsidRPr="008E08A4" w:rsidRDefault="0057639B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94093" w:rsidRPr="008E08A4" w:rsidRDefault="0053648E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101,4</w:t>
            </w:r>
          </w:p>
        </w:tc>
      </w:tr>
      <w:tr w:rsidR="00E50D7A" w:rsidRPr="008E08A4" w:rsidTr="00D91E1D">
        <w:tc>
          <w:tcPr>
            <w:tcW w:w="407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97,9</w:t>
            </w:r>
          </w:p>
        </w:tc>
      </w:tr>
      <w:tr w:rsidR="00E50D7A" w:rsidRPr="008E08A4" w:rsidTr="00D91E1D">
        <w:tc>
          <w:tcPr>
            <w:tcW w:w="407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Nadawanie programów ogólnodostępnych i abonamentowych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96,1</w:t>
            </w:r>
          </w:p>
        </w:tc>
      </w:tr>
      <w:tr w:rsidR="00E50D7A" w:rsidRPr="008E08A4" w:rsidTr="00D91E1D">
        <w:tc>
          <w:tcPr>
            <w:tcW w:w="407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oprogramowaniem i doradztwem w zakresie informatyki oraz działalność powiązana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103,1</w:t>
            </w:r>
          </w:p>
        </w:tc>
      </w:tr>
      <w:tr w:rsidR="00E50D7A" w:rsidRPr="008E08A4" w:rsidTr="00D91E1D">
        <w:trPr>
          <w:trHeight w:val="492"/>
        </w:trPr>
        <w:tc>
          <w:tcPr>
            <w:tcW w:w="407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w zakresie informacji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100,7</w:t>
            </w:r>
          </w:p>
        </w:tc>
      </w:tr>
      <w:tr w:rsidR="00E50D7A" w:rsidRPr="008E08A4" w:rsidTr="00D91E1D">
        <w:trPr>
          <w:trHeight w:val="428"/>
        </w:trPr>
        <w:tc>
          <w:tcPr>
            <w:tcW w:w="407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101,9</w:t>
            </w:r>
          </w:p>
        </w:tc>
      </w:tr>
      <w:tr w:rsidR="00E50D7A" w:rsidRPr="008E08A4" w:rsidTr="00D91E1D">
        <w:trPr>
          <w:trHeight w:val="562"/>
        </w:trPr>
        <w:tc>
          <w:tcPr>
            <w:tcW w:w="407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prawnicza, rachunkowo-księgowa i doradztwo podatkowe; doradztwo związane z zarządzaniem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101,5</w:t>
            </w:r>
          </w:p>
        </w:tc>
      </w:tr>
      <w:tr w:rsidR="00E50D7A" w:rsidRPr="008E08A4" w:rsidTr="00D91E1D">
        <w:tc>
          <w:tcPr>
            <w:tcW w:w="407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 zakresie architektury i inżynierii; badania i analizy techniczne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102,6</w:t>
            </w:r>
          </w:p>
        </w:tc>
      </w:tr>
      <w:tr w:rsidR="00E50D7A" w:rsidRPr="008E08A4" w:rsidTr="00D91E1D">
        <w:trPr>
          <w:trHeight w:val="422"/>
        </w:trPr>
        <w:tc>
          <w:tcPr>
            <w:tcW w:w="407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Reklama, badanie rynku i opinii publicznej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102,0</w:t>
            </w:r>
          </w:p>
        </w:tc>
      </w:tr>
      <w:tr w:rsidR="00E50D7A" w:rsidRPr="008E08A4" w:rsidTr="00D91E1D">
        <w:tc>
          <w:tcPr>
            <w:tcW w:w="407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Pozostała działalność profesjonalna, naukowa i techniczna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</w:tr>
      <w:tr w:rsidR="00E50D7A" w:rsidRPr="008E08A4" w:rsidTr="00D91E1D">
        <w:trPr>
          <w:trHeight w:val="422"/>
        </w:trPr>
        <w:tc>
          <w:tcPr>
            <w:tcW w:w="407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Wynajem i dzierżawa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103,2</w:t>
            </w:r>
          </w:p>
        </w:tc>
      </w:tr>
      <w:tr w:rsidR="00E50D7A" w:rsidRPr="008E08A4" w:rsidTr="00D91E1D">
        <w:tc>
          <w:tcPr>
            <w:tcW w:w="4077" w:type="dxa"/>
            <w:tcBorders>
              <w:top w:val="single" w:sz="4" w:space="0" w:color="001D77"/>
              <w:bottom w:val="nil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zatrudnieniem</w:t>
            </w: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105,0</w:t>
            </w:r>
          </w:p>
        </w:tc>
      </w:tr>
    </w:tbl>
    <w:p w:rsidR="00255319" w:rsidRDefault="00255319"/>
    <w:tbl>
      <w:tblPr>
        <w:tblStyle w:val="Tabela-Siatka11"/>
        <w:tblpPr w:leftFromText="142" w:rightFromText="142" w:vertAnchor="text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974"/>
        <w:gridCol w:w="951"/>
        <w:gridCol w:w="910"/>
        <w:gridCol w:w="992"/>
      </w:tblGrid>
      <w:tr w:rsidR="00E50D7A" w:rsidRPr="008E08A4" w:rsidTr="00255319">
        <w:tc>
          <w:tcPr>
            <w:tcW w:w="4219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974" w:type="dxa"/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951" w:type="dxa"/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910" w:type="dxa"/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992" w:type="dxa"/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95,4</w:t>
            </w:r>
          </w:p>
        </w:tc>
      </w:tr>
      <w:tr w:rsidR="00E50D7A" w:rsidRPr="008E08A4" w:rsidTr="00255319">
        <w:tc>
          <w:tcPr>
            <w:tcW w:w="4219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detektywistyczna i ochroniarska</w:t>
            </w:r>
          </w:p>
        </w:tc>
        <w:tc>
          <w:tcPr>
            <w:tcW w:w="974" w:type="dxa"/>
            <w:vAlign w:val="center"/>
          </w:tcPr>
          <w:p w:rsidR="00E50D7A" w:rsidRPr="008E08A4" w:rsidRDefault="0057258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951" w:type="dxa"/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910" w:type="dxa"/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92" w:type="dxa"/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107,8</w:t>
            </w:r>
          </w:p>
        </w:tc>
      </w:tr>
      <w:tr w:rsidR="00E50D7A" w:rsidRPr="008E08A4" w:rsidTr="00255319">
        <w:tc>
          <w:tcPr>
            <w:tcW w:w="4219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związana z utrzymaniem porządku w budynkach i zagospodarowaniem terenów zieleni</w:t>
            </w:r>
          </w:p>
        </w:tc>
        <w:tc>
          <w:tcPr>
            <w:tcW w:w="974" w:type="dxa"/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951" w:type="dxa"/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910" w:type="dxa"/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92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104,6</w:t>
            </w:r>
          </w:p>
        </w:tc>
      </w:tr>
      <w:tr w:rsidR="00E50D7A" w:rsidRPr="008E08A4" w:rsidTr="00255319">
        <w:tc>
          <w:tcPr>
            <w:tcW w:w="4219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974" w:type="dxa"/>
            <w:vAlign w:val="center"/>
          </w:tcPr>
          <w:p w:rsidR="00E50D7A" w:rsidRPr="008E08A4" w:rsidRDefault="000C15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951" w:type="dxa"/>
            <w:vAlign w:val="center"/>
          </w:tcPr>
          <w:p w:rsidR="00E50D7A" w:rsidRPr="008E08A4" w:rsidRDefault="00FE1EB6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910" w:type="dxa"/>
            <w:vAlign w:val="center"/>
          </w:tcPr>
          <w:p w:rsidR="00E50D7A" w:rsidRPr="008E08A4" w:rsidRDefault="0057639B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992" w:type="dxa"/>
            <w:vAlign w:val="center"/>
          </w:tcPr>
          <w:p w:rsidR="00E50D7A" w:rsidRPr="008E08A4" w:rsidRDefault="0053648E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</w:tr>
    </w:tbl>
    <w:p w:rsidR="00C20023" w:rsidRPr="00493E1F" w:rsidRDefault="00C20023" w:rsidP="00C424B8">
      <w:pPr>
        <w:rPr>
          <w:b/>
          <w:sz w:val="18"/>
          <w:shd w:val="clear" w:color="auto" w:fill="FFFFFF"/>
        </w:rPr>
      </w:pPr>
    </w:p>
    <w:p w:rsidR="007A0137" w:rsidRPr="00053E1D" w:rsidRDefault="001D06C5" w:rsidP="001D06C5">
      <w:r w:rsidRPr="001D06C5">
        <w:rPr>
          <w:b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1FCD6981" wp14:editId="265540BF">
                <wp:simplePos x="0" y="0"/>
                <wp:positionH relativeFrom="column">
                  <wp:posOffset>5321300</wp:posOffset>
                </wp:positionH>
                <wp:positionV relativeFrom="paragraph">
                  <wp:posOffset>337185</wp:posOffset>
                </wp:positionV>
                <wp:extent cx="1734820" cy="1492250"/>
                <wp:effectExtent l="0" t="0" r="0" b="0"/>
                <wp:wrapTight wrapText="bothSides">
                  <wp:wrapPolygon edited="0">
                    <wp:start x="712" y="0"/>
                    <wp:lineTo x="712" y="21232"/>
                    <wp:lineTo x="20873" y="21232"/>
                    <wp:lineTo x="20873" y="0"/>
                    <wp:lineTo x="712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6C5" w:rsidRPr="00074DD8" w:rsidRDefault="00053E1D" w:rsidP="001D06C5">
                            <w:pPr>
                              <w:pStyle w:val="tekstzboku"/>
                              <w:spacing w:before="0"/>
                            </w:pPr>
                            <w:r>
                              <w:t>W III</w:t>
                            </w:r>
                            <w:r w:rsidR="001D06C5" w:rsidRPr="007958EA">
                              <w:t xml:space="preserve"> kwartale </w:t>
                            </w:r>
                            <w:r w:rsidR="001D06C5">
                              <w:t>2021</w:t>
                            </w:r>
                            <w:r w:rsidR="001D06C5" w:rsidRPr="007958EA">
                              <w:t> r.</w:t>
                            </w:r>
                            <w:r w:rsidR="001D06C5">
                              <w:t xml:space="preserve"> największy </w:t>
                            </w:r>
                            <w:r w:rsidR="001D06C5" w:rsidRPr="007958EA">
                              <w:t xml:space="preserve">wzrost cen odnotowano </w:t>
                            </w:r>
                            <w:r w:rsidR="001D06C5">
                              <w:t xml:space="preserve">w zakresie </w:t>
                            </w:r>
                            <w:r w:rsidR="001D06C5" w:rsidRPr="007958EA">
                              <w:t xml:space="preserve">usług </w:t>
                            </w:r>
                            <w:r w:rsidR="00BB52F9" w:rsidRPr="00BB52F9">
                              <w:t>organizatorów turystyki, pośredników i agentów turystycznych oraz pozostałej działalności usługowej w zakresie rezerwacji i działalności</w:t>
                            </w:r>
                            <w:r>
                              <w:t>ach</w:t>
                            </w:r>
                            <w:r w:rsidR="00BB52F9" w:rsidRPr="00BB52F9">
                              <w:t xml:space="preserve"> z nią związanych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CD6981" id="_x0000_s1028" type="#_x0000_t202" style="position:absolute;margin-left:419pt;margin-top:26.55pt;width:136.6pt;height:117.5pt;z-index:-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" filled="f" stroked="f">
                <v:textbox inset="2.5mm,1mm,2.5mm,1mm">
                  <w:txbxContent>
                    <w:p w:rsidR="001D06C5" w:rsidRPr="00074DD8" w:rsidRDefault="00053E1D" w:rsidP="001D06C5">
                      <w:pPr>
                        <w:pStyle w:val="tekstzboku"/>
                        <w:spacing w:before="0"/>
                      </w:pPr>
                      <w:r>
                        <w:t>W III</w:t>
                      </w:r>
                      <w:r w:rsidR="001D06C5" w:rsidRPr="007958EA">
                        <w:t xml:space="preserve"> kwartale </w:t>
                      </w:r>
                      <w:r w:rsidR="001D06C5">
                        <w:t>2021</w:t>
                      </w:r>
                      <w:r w:rsidR="001D06C5" w:rsidRPr="007958EA">
                        <w:t> r.</w:t>
                      </w:r>
                      <w:r w:rsidR="001D06C5">
                        <w:t xml:space="preserve"> największy </w:t>
                      </w:r>
                      <w:r w:rsidR="001D06C5" w:rsidRPr="007958EA">
                        <w:t xml:space="preserve">wzrost cen odnotowano </w:t>
                      </w:r>
                      <w:r w:rsidR="001D06C5">
                        <w:t xml:space="preserve">w zakresie </w:t>
                      </w:r>
                      <w:r w:rsidR="001D06C5" w:rsidRPr="007958EA">
                        <w:t xml:space="preserve">usług </w:t>
                      </w:r>
                      <w:r w:rsidR="00BB52F9" w:rsidRPr="00BB52F9">
                        <w:t>organizatorów turystyki, pośredników i agentów turystycznych oraz pozostałej działalności usługowej w zakresie rezerwacji i działalności</w:t>
                      </w:r>
                      <w:r>
                        <w:t>ach</w:t>
                      </w:r>
                      <w:r w:rsidR="00BB52F9" w:rsidRPr="00BB52F9">
                        <w:t xml:space="preserve"> z nią związanych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E25A6">
        <w:rPr>
          <w:color w:val="000000" w:themeColor="text1"/>
        </w:rPr>
        <w:t xml:space="preserve">W </w:t>
      </w:r>
      <w:r w:rsidR="005679C2">
        <w:rPr>
          <w:color w:val="000000" w:themeColor="text1"/>
        </w:rPr>
        <w:t>III</w:t>
      </w:r>
      <w:r w:rsidRPr="001D06C5">
        <w:rPr>
          <w:color w:val="000000" w:themeColor="text1"/>
        </w:rPr>
        <w:t xml:space="preserve"> kwartale 2021 r. </w:t>
      </w:r>
      <w:r w:rsidR="005E25A6">
        <w:rPr>
          <w:color w:val="000000" w:themeColor="text1"/>
        </w:rPr>
        <w:t xml:space="preserve">największy </w:t>
      </w:r>
      <w:r w:rsidR="00B04395">
        <w:rPr>
          <w:color w:val="000000" w:themeColor="text1"/>
        </w:rPr>
        <w:t xml:space="preserve">wzrost </w:t>
      </w:r>
      <w:r w:rsidR="0007018F" w:rsidRPr="00053E1D">
        <w:t xml:space="preserve">cen </w:t>
      </w:r>
      <w:r w:rsidR="000972E8" w:rsidRPr="00053E1D">
        <w:t>w stosunku do</w:t>
      </w:r>
      <w:r w:rsidR="0007018F" w:rsidRPr="00053E1D">
        <w:t xml:space="preserve"> poprzedniego kwartału </w:t>
      </w:r>
      <w:r w:rsidR="00F03526" w:rsidRPr="00053E1D">
        <w:t xml:space="preserve">odnotowano </w:t>
      </w:r>
      <w:r w:rsidR="005E25A6" w:rsidRPr="00053E1D">
        <w:t>w</w:t>
      </w:r>
      <w:r w:rsidR="00B04395" w:rsidRPr="00053E1D">
        <w:t xml:space="preserve"> </w:t>
      </w:r>
      <w:r w:rsidR="005E25A6" w:rsidRPr="00053E1D">
        <w:t xml:space="preserve">działalności </w:t>
      </w:r>
      <w:r w:rsidR="00EC7AD0" w:rsidRPr="00053E1D">
        <w:t xml:space="preserve">świadczonej przez </w:t>
      </w:r>
      <w:r w:rsidR="005E25A6" w:rsidRPr="00053E1D">
        <w:t>organizatorów turystyki, pośredników i agentów turystycznych oraz pozostałej działalności usługowej w zakresie rezerwacji i działalności</w:t>
      </w:r>
      <w:r w:rsidR="001452CA" w:rsidRPr="00053E1D">
        <w:t>ach</w:t>
      </w:r>
      <w:r w:rsidR="005E25A6" w:rsidRPr="00053E1D">
        <w:t xml:space="preserve"> z nią związanych (o 7,5%), na co największy wpływ miał wzrost cen w działalności organizatorów turystyki.</w:t>
      </w:r>
      <w:r w:rsidRPr="00053E1D">
        <w:t xml:space="preserve"> </w:t>
      </w:r>
      <w:r w:rsidR="005E25A6" w:rsidRPr="00053E1D">
        <w:t>W dalszej kol</w:t>
      </w:r>
      <w:r w:rsidR="00FD2B00" w:rsidRPr="00053E1D">
        <w:t xml:space="preserve">ejności wzrost cen dotyczył </w:t>
      </w:r>
      <w:r w:rsidR="005E25A6" w:rsidRPr="00053E1D">
        <w:t>usług</w:t>
      </w:r>
      <w:r w:rsidR="00A75A70" w:rsidRPr="00053E1D">
        <w:t xml:space="preserve"> związanych</w:t>
      </w:r>
      <w:r w:rsidR="005E25A6" w:rsidRPr="00053E1D">
        <w:t xml:space="preserve"> z wynajmem i dzierżawą (o 2,1%)</w:t>
      </w:r>
      <w:r w:rsidR="00BB52F9" w:rsidRPr="00053E1D">
        <w:t xml:space="preserve"> </w:t>
      </w:r>
      <w:r w:rsidR="005E25A6" w:rsidRPr="00053E1D">
        <w:t xml:space="preserve">oraz </w:t>
      </w:r>
      <w:r w:rsidR="008C596F" w:rsidRPr="00053E1D">
        <w:t>us</w:t>
      </w:r>
      <w:r w:rsidR="00A75A70" w:rsidRPr="00053E1D">
        <w:t xml:space="preserve">ług w działalności wydawniczej, a także </w:t>
      </w:r>
      <w:r w:rsidR="008C596F" w:rsidRPr="00053E1D">
        <w:t xml:space="preserve">usług w </w:t>
      </w:r>
      <w:r w:rsidR="007A0137" w:rsidRPr="00053E1D">
        <w:t>działalności prawniczej</w:t>
      </w:r>
      <w:r w:rsidR="008C596F" w:rsidRPr="00053E1D">
        <w:t>, rachun</w:t>
      </w:r>
      <w:r w:rsidR="007A0137" w:rsidRPr="00053E1D">
        <w:t>kowo-księgowej</w:t>
      </w:r>
      <w:r w:rsidR="008C596F" w:rsidRPr="00053E1D">
        <w:t xml:space="preserve"> i do</w:t>
      </w:r>
      <w:r w:rsidR="007A0137" w:rsidRPr="00053E1D">
        <w:t>radztwie podatkowym; doradztwie związanym</w:t>
      </w:r>
      <w:r w:rsidR="008C596F" w:rsidRPr="00053E1D">
        <w:t xml:space="preserve"> z zarządzaniem</w:t>
      </w:r>
      <w:r w:rsidR="00C57115" w:rsidRPr="00053E1D">
        <w:t xml:space="preserve"> (po </w:t>
      </w:r>
      <w:r w:rsidR="008C596F" w:rsidRPr="00053E1D">
        <w:t xml:space="preserve"> 1,4%).</w:t>
      </w:r>
      <w:r w:rsidR="00A75A70" w:rsidRPr="00053E1D">
        <w:t xml:space="preserve"> </w:t>
      </w:r>
      <w:r w:rsidR="005A74DD" w:rsidRPr="00053E1D">
        <w:t xml:space="preserve">W najmniejszym stopniu </w:t>
      </w:r>
      <w:r w:rsidR="00A75A70" w:rsidRPr="00053E1D">
        <w:t>(</w:t>
      </w:r>
      <w:r w:rsidR="00C57115" w:rsidRPr="00053E1D">
        <w:t>p</w:t>
      </w:r>
      <w:r w:rsidR="005A74DD" w:rsidRPr="00053E1D">
        <w:t>o 0,1%) wzrosły ceny</w:t>
      </w:r>
      <w:r w:rsidR="00082029" w:rsidRPr="00053E1D">
        <w:t xml:space="preserve"> </w:t>
      </w:r>
      <w:r w:rsidR="00A75A70" w:rsidRPr="00053E1D">
        <w:t xml:space="preserve">usług </w:t>
      </w:r>
      <w:r w:rsidR="005F3E9C" w:rsidRPr="00053E1D">
        <w:t xml:space="preserve">w działalności </w:t>
      </w:r>
      <w:r w:rsidR="00A75A70" w:rsidRPr="00053E1D">
        <w:t xml:space="preserve">w zakresie informacji oraz usług w </w:t>
      </w:r>
      <w:r w:rsidR="005F3E9C" w:rsidRPr="00053E1D">
        <w:t xml:space="preserve">działalności w </w:t>
      </w:r>
      <w:r w:rsidR="00A75A70" w:rsidRPr="00053E1D">
        <w:t>zakresie architektury i inżynierii; badań i analiz technicznych.</w:t>
      </w:r>
      <w:r w:rsidR="00074816" w:rsidRPr="00053E1D">
        <w:t xml:space="preserve"> Działalnością</w:t>
      </w:r>
      <w:r w:rsidR="003B685F">
        <w:t>,</w:t>
      </w:r>
      <w:r w:rsidR="00074816" w:rsidRPr="00053E1D">
        <w:t xml:space="preserve"> w której zanoto</w:t>
      </w:r>
      <w:r w:rsidR="00FD2B00" w:rsidRPr="00053E1D">
        <w:t>wano spadek cen</w:t>
      </w:r>
      <w:r w:rsidR="003B685F">
        <w:t>,</w:t>
      </w:r>
      <w:r w:rsidR="00FD2B00" w:rsidRPr="00053E1D">
        <w:t xml:space="preserve"> </w:t>
      </w:r>
      <w:r w:rsidR="00074816" w:rsidRPr="00053E1D">
        <w:t>były usługi nadawania programów ogólnodostępnych i abonamentowych (o 3,5%), co związane było głównie ze spadkiem cen sprzedaży czasu i miejsca na cele reklamowe w telewizji.</w:t>
      </w:r>
    </w:p>
    <w:p w:rsidR="00B90EA2" w:rsidRDefault="005679C2" w:rsidP="0019092B">
      <w:pPr>
        <w:rPr>
          <w:color w:val="000000" w:themeColor="text1"/>
        </w:rPr>
      </w:pPr>
      <w:r w:rsidRPr="00053E1D">
        <w:t>W stosunku do III</w:t>
      </w:r>
      <w:r w:rsidR="001D06C5" w:rsidRPr="00053E1D">
        <w:t xml:space="preserve"> kwartału 2020 r. </w:t>
      </w:r>
      <w:r w:rsidR="00B27987" w:rsidRPr="00053E1D">
        <w:t xml:space="preserve">największy wzrost cen dotyczył usług detektywistycznych i ochroniarskich </w:t>
      </w:r>
      <w:r w:rsidR="00E121C4" w:rsidRPr="00053E1D">
        <w:t>(</w:t>
      </w:r>
      <w:r w:rsidR="000622D4" w:rsidRPr="00053E1D">
        <w:t xml:space="preserve">o </w:t>
      </w:r>
      <w:r w:rsidR="00BB52F9" w:rsidRPr="00053E1D">
        <w:t>7,9</w:t>
      </w:r>
      <w:r w:rsidR="00B27987" w:rsidRPr="00053E1D">
        <w:t>%). W dalszej kolejności naj</w:t>
      </w:r>
      <w:r w:rsidR="000622D4" w:rsidRPr="00053E1D">
        <w:t>większe wzrosty</w:t>
      </w:r>
      <w:r w:rsidR="00B27987" w:rsidRPr="00053E1D">
        <w:t xml:space="preserve"> w stosunku do analogiczneg</w:t>
      </w:r>
      <w:r w:rsidR="00194BE9" w:rsidRPr="00053E1D">
        <w:t xml:space="preserve">o okresu ubiegłego roku </w:t>
      </w:r>
      <w:r w:rsidR="000972E8" w:rsidRPr="00053E1D">
        <w:t>zanotowano w przypadku</w:t>
      </w:r>
      <w:r w:rsidR="000622D4" w:rsidRPr="00053E1D">
        <w:t xml:space="preserve"> cen</w:t>
      </w:r>
      <w:r w:rsidR="00B27987" w:rsidRPr="00053E1D">
        <w:t xml:space="preserve"> usług </w:t>
      </w:r>
      <w:r w:rsidR="00BB52F9" w:rsidRPr="00053E1D">
        <w:t xml:space="preserve">wynajmu i dzierżawy oraz usług </w:t>
      </w:r>
      <w:r w:rsidR="00B27987" w:rsidRPr="00053E1D">
        <w:t>związanych z zatrudnieniem (</w:t>
      </w:r>
      <w:r w:rsidR="00BB52F9" w:rsidRPr="00053E1D">
        <w:t>po 5,4</w:t>
      </w:r>
      <w:r w:rsidR="00B27987" w:rsidRPr="00053E1D">
        <w:t xml:space="preserve">%) oraz </w:t>
      </w:r>
      <w:r w:rsidR="001D06C5" w:rsidRPr="00053E1D">
        <w:t>usług  związanych z utrzymaniem porządku w budynkach i zagospodarowaniem terenów zieleni</w:t>
      </w:r>
      <w:r w:rsidR="00BB52F9" w:rsidRPr="00053E1D">
        <w:t xml:space="preserve"> (o 4,5</w:t>
      </w:r>
      <w:r w:rsidR="00B27987" w:rsidRPr="00053E1D">
        <w:t>%)</w:t>
      </w:r>
      <w:r w:rsidR="001D06C5" w:rsidRPr="00053E1D">
        <w:t>.</w:t>
      </w:r>
      <w:r w:rsidR="00BB52F9" w:rsidRPr="00053E1D">
        <w:t xml:space="preserve"> Najmniejszy wzrost (</w:t>
      </w:r>
      <w:r w:rsidR="00C57115" w:rsidRPr="00053E1D">
        <w:t>p</w:t>
      </w:r>
      <w:r w:rsidR="00BB52F9" w:rsidRPr="00053E1D">
        <w:t xml:space="preserve">o 0,7%) </w:t>
      </w:r>
      <w:r w:rsidR="00AD1A1A" w:rsidRPr="00053E1D">
        <w:t xml:space="preserve">dotyczył </w:t>
      </w:r>
      <w:r w:rsidR="002D569C" w:rsidRPr="00053E1D">
        <w:t xml:space="preserve">cen </w:t>
      </w:r>
      <w:r w:rsidR="00AD1A1A" w:rsidRPr="00053E1D">
        <w:t xml:space="preserve">usług związanych z produkcją filmów, nagrań wideo, programów telewizyjnych, nagrań dźwiękowych i muzycznych oraz usług w </w:t>
      </w:r>
      <w:r w:rsidR="005F3E9C" w:rsidRPr="00053E1D">
        <w:t xml:space="preserve">działalności w </w:t>
      </w:r>
      <w:r w:rsidR="00AD1A1A" w:rsidRPr="00AD1A1A">
        <w:rPr>
          <w:color w:val="000000" w:themeColor="text1"/>
        </w:rPr>
        <w:t>zakresie informacji</w:t>
      </w:r>
      <w:r w:rsidR="00AD1A1A">
        <w:rPr>
          <w:color w:val="000000" w:themeColor="text1"/>
        </w:rPr>
        <w:t>.</w:t>
      </w:r>
      <w:r w:rsidR="003B685F">
        <w:rPr>
          <w:color w:val="000000" w:themeColor="text1"/>
        </w:rPr>
        <w:t xml:space="preserve"> </w:t>
      </w:r>
      <w:r w:rsidR="00FD2B00">
        <w:rPr>
          <w:color w:val="000000" w:themeColor="text1"/>
        </w:rPr>
        <w:t>Spad</w:t>
      </w:r>
      <w:r w:rsidR="003B685F">
        <w:rPr>
          <w:color w:val="000000" w:themeColor="text1"/>
        </w:rPr>
        <w:t xml:space="preserve">ek cen </w:t>
      </w:r>
      <w:r w:rsidR="00D91E1D">
        <w:rPr>
          <w:color w:val="000000" w:themeColor="text1"/>
        </w:rPr>
        <w:t>w porównaniu z III</w:t>
      </w:r>
      <w:r w:rsidR="00FD2B00">
        <w:rPr>
          <w:color w:val="000000" w:themeColor="text1"/>
        </w:rPr>
        <w:t xml:space="preserve"> kwartalem ubiegłego roku </w:t>
      </w:r>
      <w:r w:rsidR="003B685F">
        <w:rPr>
          <w:color w:val="000000" w:themeColor="text1"/>
        </w:rPr>
        <w:t xml:space="preserve">odnotowano natomiast w przypadku </w:t>
      </w:r>
      <w:r w:rsidR="00F03526">
        <w:rPr>
          <w:color w:val="000000" w:themeColor="text1"/>
        </w:rPr>
        <w:t>usług</w:t>
      </w:r>
      <w:r w:rsidR="00FD2B00">
        <w:rPr>
          <w:color w:val="000000" w:themeColor="text1"/>
        </w:rPr>
        <w:t xml:space="preserve"> </w:t>
      </w:r>
      <w:r w:rsidR="002F1676" w:rsidRPr="002F1676">
        <w:rPr>
          <w:color w:val="000000" w:themeColor="text1"/>
        </w:rPr>
        <w:t>nadawania programów ogólnodostępnych i abonamentowych</w:t>
      </w:r>
      <w:r w:rsidR="00BB52F9">
        <w:rPr>
          <w:color w:val="000000" w:themeColor="text1"/>
        </w:rPr>
        <w:t xml:space="preserve"> (o 5,5</w:t>
      </w:r>
      <w:r w:rsidR="002F1676">
        <w:rPr>
          <w:color w:val="000000" w:themeColor="text1"/>
        </w:rPr>
        <w:t>%)</w:t>
      </w:r>
      <w:r w:rsidR="000622D4">
        <w:rPr>
          <w:color w:val="000000" w:themeColor="text1"/>
        </w:rPr>
        <w:t>.</w:t>
      </w:r>
      <w:r w:rsidR="002F1676">
        <w:rPr>
          <w:color w:val="000000" w:themeColor="text1"/>
        </w:rPr>
        <w:t xml:space="preserve"> </w:t>
      </w:r>
    </w:p>
    <w:p w:rsidR="003F2EE7" w:rsidRPr="00DD1CE0" w:rsidRDefault="006D5592" w:rsidP="0034392C">
      <w:pPr>
        <w:rPr>
          <w:color w:val="000000" w:themeColor="text1"/>
          <w:sz w:val="14"/>
        </w:rPr>
      </w:pPr>
      <w:r w:rsidRPr="00DA0DA2">
        <w:rPr>
          <w:b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49536" behindDoc="1" locked="0" layoutInCell="1" allowOverlap="1" wp14:anchorId="77E59F99" wp14:editId="3F28B2BC">
                <wp:simplePos x="0" y="0"/>
                <wp:positionH relativeFrom="column">
                  <wp:posOffset>5323205</wp:posOffset>
                </wp:positionH>
                <wp:positionV relativeFrom="paragraph">
                  <wp:posOffset>1681480</wp:posOffset>
                </wp:positionV>
                <wp:extent cx="1734820" cy="2019300"/>
                <wp:effectExtent l="0" t="0" r="0" b="0"/>
                <wp:wrapTight wrapText="bothSides">
                  <wp:wrapPolygon edited="0">
                    <wp:start x="712" y="0"/>
                    <wp:lineTo x="712" y="21396"/>
                    <wp:lineTo x="20873" y="21396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DA2" w:rsidRPr="00074DD8" w:rsidRDefault="00DA0DA2" w:rsidP="00DA0DA2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E59F99" id="_x0000_s1029" type="#_x0000_t202" style="position:absolute;margin-left:419.15pt;margin-top:132.4pt;width:136.6pt;height:159pt;z-index:-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" filled="f" stroked="f">
                <v:textbox inset="2.5mm,1mm,2.5mm,1mm">
                  <w:txbxContent>
                    <w:p w:rsidR="00DA0DA2" w:rsidRPr="00074DD8" w:rsidRDefault="00DA0DA2" w:rsidP="00DA0DA2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C305A"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7488" behindDoc="1" locked="0" layoutInCell="1" allowOverlap="1" wp14:anchorId="7A38C90C" wp14:editId="6F85B7B5">
                <wp:simplePos x="0" y="0"/>
                <wp:positionH relativeFrom="column">
                  <wp:posOffset>5323205</wp:posOffset>
                </wp:positionH>
                <wp:positionV relativeFrom="paragraph">
                  <wp:posOffset>19050</wp:posOffset>
                </wp:positionV>
                <wp:extent cx="1734820" cy="1009650"/>
                <wp:effectExtent l="0" t="0" r="0" b="0"/>
                <wp:wrapTight wrapText="bothSides">
                  <wp:wrapPolygon edited="0">
                    <wp:start x="712" y="0"/>
                    <wp:lineTo x="712" y="21192"/>
                    <wp:lineTo x="20873" y="21192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38C90C" id="_x0000_s1030" type="#_x0000_t202" style="position:absolute;margin-left:419.15pt;margin-top:1.5pt;width:136.6pt;height:79.5pt;z-index:-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" filled="f" stroked="f">
                <v:textbox inset="2.5mm,1mm,2.5mm,1mm">
                  <w:txbxContent>
                    <w:p w:rsidR="006C305A" w:rsidRPr="00074DD8" w:rsidRDefault="006C305A" w:rsidP="00717BFD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</w:pPr>
      <w:r w:rsidRPr="009F57F6">
        <w:rPr>
          <w:color w:val="000000" w:themeColor="text1"/>
        </w:rPr>
        <w:t xml:space="preserve">Wykres 1. Zmiany </w:t>
      </w:r>
      <w:r w:rsidRPr="009F57F6">
        <w:rPr>
          <w:color w:val="000000" w:themeColor="text1"/>
          <w:szCs w:val="18"/>
        </w:rPr>
        <w:t>c</w:t>
      </w:r>
      <w:r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en producentów usług związanych z obsługą działalnośc</w:t>
      </w:r>
      <w:r w:rsidR="001F7393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i gospodarczej w latach 2018-2021</w:t>
      </w:r>
      <w:r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 xml:space="preserve">  </w:t>
      </w:r>
      <w:r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(zmiana w % do poprzedniego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 kwartału</w:t>
      </w:r>
      <w:r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)</w:t>
      </w:r>
    </w:p>
    <w:p w:rsidR="00C4451B" w:rsidRDefault="00DF1E32">
      <w:pPr>
        <w:spacing w:before="0" w:after="160" w:line="259" w:lineRule="auto"/>
        <w:rPr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4B22D3B4" wp14:editId="222BD7F4">
            <wp:extent cx="5122545" cy="2482850"/>
            <wp:effectExtent l="0" t="0" r="1905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451B" w:rsidRDefault="00C4451B">
      <w:pPr>
        <w:spacing w:before="0" w:after="160" w:line="259" w:lineRule="auto"/>
        <w:rPr>
          <w:b/>
          <w:spacing w:val="-2"/>
          <w:sz w:val="18"/>
        </w:rPr>
      </w:pPr>
      <w:r>
        <w:rPr>
          <w:b/>
          <w:spacing w:val="-2"/>
          <w:sz w:val="18"/>
        </w:rPr>
        <w:br w:type="page"/>
      </w:r>
    </w:p>
    <w:p w:rsidR="00095B4F" w:rsidRPr="00F31DD1" w:rsidRDefault="00C4451B" w:rsidP="00095B4F">
      <w:pPr>
        <w:pStyle w:val="tytuwykresu"/>
        <w:ind w:left="851" w:hanging="851"/>
        <w:jc w:val="both"/>
        <w:rPr>
          <w:noProof/>
          <w:szCs w:val="18"/>
          <w:shd w:val="clear" w:color="auto" w:fill="FFFFFF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524856</wp:posOffset>
            </wp:positionV>
            <wp:extent cx="5122545" cy="2421890"/>
            <wp:effectExtent l="0" t="0" r="1905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095B4F" w:rsidRPr="00CD555D">
        <w:t xml:space="preserve">Wykres </w:t>
      </w:r>
      <w:r w:rsidR="00095B4F">
        <w:t>2</w:t>
      </w:r>
      <w:r w:rsidR="00095B4F" w:rsidRPr="00CD555D">
        <w:t>.</w:t>
      </w:r>
      <w:r w:rsidR="00095B4F" w:rsidRPr="007062D3">
        <w:rPr>
          <w:rFonts w:eastAsia="Fira Sans Light" w:cs="Times New Roman"/>
          <w:b w:val="0"/>
          <w:color w:val="FF0000"/>
          <w:spacing w:val="0"/>
          <w:sz w:val="19"/>
          <w:shd w:val="clear" w:color="auto" w:fill="FFFFFF"/>
        </w:rPr>
        <w:t xml:space="preserve"> </w:t>
      </w:r>
      <w:r w:rsidR="00095B4F">
        <w:t xml:space="preserve">Zmiany </w:t>
      </w:r>
      <w:r w:rsidR="00095B4F" w:rsidRPr="00F31DD1">
        <w:rPr>
          <w:szCs w:val="18"/>
        </w:rPr>
        <w:t>c</w:t>
      </w:r>
      <w:r w:rsidR="00095B4F">
        <w:rPr>
          <w:rFonts w:eastAsia="Fira Sans Light" w:cs="Times New Roman"/>
          <w:bCs/>
          <w:spacing w:val="0"/>
          <w:szCs w:val="18"/>
          <w:shd w:val="clear" w:color="auto" w:fill="FFFFFF"/>
        </w:rPr>
        <w:t>en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producentów</w:t>
      </w:r>
      <w:r w:rsidR="000377A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usług związanych z obsługą działalności </w:t>
      </w:r>
      <w:r w:rsidR="0034392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gospodarczej </w:t>
      </w:r>
      <w:r w:rsidR="0034392C">
        <w:rPr>
          <w:rFonts w:eastAsia="Fira Sans Light" w:cs="Times New Roman"/>
          <w:bCs/>
          <w:spacing w:val="0"/>
          <w:szCs w:val="18"/>
          <w:shd w:val="clear" w:color="auto" w:fill="FFFFFF"/>
        </w:rPr>
        <w:br/>
      </w:r>
      <w:r w:rsidR="00F829E2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w latach </w:t>
      </w:r>
      <w:r w:rsidR="001F7393">
        <w:rPr>
          <w:rFonts w:eastAsia="Fira Sans Light" w:cs="Times New Roman"/>
          <w:bCs/>
          <w:spacing w:val="0"/>
          <w:szCs w:val="18"/>
          <w:shd w:val="clear" w:color="auto" w:fill="FFFFFF"/>
        </w:rPr>
        <w:t>2018-2021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 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 xml:space="preserve">(zmiana w % do 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analogicznego kwartału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>roku</w:t>
      </w:r>
      <w:r w:rsidR="00095B4F" w:rsidRPr="00F31DD1">
        <w:rPr>
          <w:rFonts w:eastAsia="Fira Sans Light" w:cs="Times New Roman"/>
          <w:spacing w:val="0"/>
          <w:szCs w:val="18"/>
          <w:shd w:val="clear" w:color="auto" w:fill="FFFFFF"/>
        </w:rPr>
        <w:t xml:space="preserve"> poprzedniego)</w:t>
      </w:r>
      <w:r w:rsidR="00095B4F" w:rsidRPr="00F31DD1">
        <w:rPr>
          <w:rFonts w:eastAsia="Fira Sans Light" w:cs="Times New Roman"/>
          <w:noProof/>
          <w:spacing w:val="0"/>
          <w:szCs w:val="18"/>
          <w:shd w:val="clear" w:color="auto" w:fill="FFFFFF"/>
          <w:lang w:eastAsia="pl-PL"/>
        </w:rPr>
        <w:t xml:space="preserve"> </w:t>
      </w:r>
    </w:p>
    <w:p w:rsidR="00C4451B" w:rsidRDefault="00C4451B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C4451B" w:rsidRDefault="00C4451B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lang w:eastAsia="pl-PL"/>
        </w:rPr>
      </w:pPr>
    </w:p>
    <w:p w:rsidR="00C4451B" w:rsidRDefault="00C4451B" w:rsidP="00095B4F">
      <w:pPr>
        <w:pStyle w:val="tytuwykresu"/>
        <w:ind w:left="851" w:hanging="851"/>
        <w:jc w:val="both"/>
        <w:rPr>
          <w:noProof/>
          <w:lang w:eastAsia="pl-PL"/>
        </w:rPr>
      </w:pPr>
    </w:p>
    <w:p w:rsidR="00C4451B" w:rsidRDefault="00C4451B" w:rsidP="00095B4F">
      <w:pPr>
        <w:pStyle w:val="tytuwykresu"/>
        <w:ind w:left="851" w:hanging="851"/>
        <w:jc w:val="both"/>
        <w:rPr>
          <w:noProof/>
          <w:lang w:eastAsia="pl-PL"/>
        </w:rPr>
      </w:pPr>
    </w:p>
    <w:p w:rsidR="00C4451B" w:rsidRDefault="00C4451B" w:rsidP="00095B4F">
      <w:pPr>
        <w:pStyle w:val="tytuwykresu"/>
        <w:ind w:left="851" w:hanging="851"/>
        <w:jc w:val="both"/>
        <w:rPr>
          <w:noProof/>
          <w:lang w:eastAsia="pl-PL"/>
        </w:rPr>
      </w:pPr>
    </w:p>
    <w:p w:rsidR="00C4451B" w:rsidRDefault="00C4451B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:rsidTr="00EA26B5">
        <w:trPr>
          <w:trHeight w:val="1912"/>
        </w:trPr>
        <w:tc>
          <w:tcPr>
            <w:tcW w:w="4239" w:type="dxa"/>
          </w:tcPr>
          <w:p w:rsidR="00A46416" w:rsidRPr="008F3638" w:rsidRDefault="00A46416" w:rsidP="00F06F8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A46416" w:rsidRPr="008F3638" w:rsidRDefault="00A46416" w:rsidP="00F06F8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A46416" w:rsidRPr="00BB4F09" w:rsidRDefault="002B1F07" w:rsidP="00F06F8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A46416" w:rsidRPr="008F3638" w:rsidRDefault="00A46416" w:rsidP="00F06F8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A46416" w:rsidRPr="006E1B64" w:rsidRDefault="00A46416" w:rsidP="00F06F8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:rsidR="00A46416" w:rsidRPr="008F3638" w:rsidRDefault="00A46416" w:rsidP="00F06F8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A46416" w:rsidRPr="008F3638" w:rsidRDefault="00A46416" w:rsidP="00F06F8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46416" w:rsidRPr="008F3638" w:rsidRDefault="00A46416" w:rsidP="00F06F8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A46416" w:rsidRPr="008F3638" w:rsidRDefault="00A46416" w:rsidP="00F06F8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A46416" w:rsidRPr="00C11430" w:rsidRDefault="00A46416" w:rsidP="00A46416">
      <w:pPr>
        <w:rPr>
          <w:sz w:val="20"/>
          <w:lang w:val="en-US"/>
        </w:rPr>
      </w:pPr>
    </w:p>
    <w:p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:rsidTr="00F06F8E">
        <w:trPr>
          <w:trHeight w:val="610"/>
        </w:trPr>
        <w:tc>
          <w:tcPr>
            <w:tcW w:w="2721" w:type="pct"/>
            <w:vMerge w:val="restart"/>
            <w:vAlign w:val="center"/>
          </w:tcPr>
          <w:p w:rsidR="00A46416" w:rsidRPr="00C91687" w:rsidRDefault="00A46416" w:rsidP="00F06F8E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A46416" w:rsidRPr="00C91687" w:rsidRDefault="00A7770A" w:rsidP="00F06F8E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:rsidR="00A46416" w:rsidRPr="001636AA" w:rsidRDefault="00AC211E" w:rsidP="00F06F8E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18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:rsidR="00A46416" w:rsidRPr="00C11430" w:rsidRDefault="00A46416" w:rsidP="00F06F8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A46416" w:rsidRPr="00C11430" w:rsidRDefault="00A46416" w:rsidP="00F06F8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A46416" w:rsidRDefault="00A46416" w:rsidP="00F06F8E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:rsidTr="00F06F8E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F06F8E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F06F8E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F06F8E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:rsidTr="00F06F8E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F06F8E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F06F8E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F06F8E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61FDC" w:rsidRPr="006A7A5D" w:rsidRDefault="00EC7F6C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C61FDC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6A7A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46416" w:rsidRPr="006A7A5D" w:rsidRDefault="006A7A5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="00FE1B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C305A"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Ceny w gospodarce narodowej</w:t>
                            </w:r>
                          </w:p>
                          <w:p w:rsidR="0019729D" w:rsidRPr="0019729D" w:rsidRDefault="006A7A5D" w:rsidP="00A46416">
                            <w:pPr>
                              <w:rPr>
                                <w:color w:val="1F3864" w:themeColor="accent5" w:themeShade="80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  <w:p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46416" w:rsidRPr="006A7A5D" w:rsidRDefault="00EC7F6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:rsidR="00A46416" w:rsidRPr="006A7A5D" w:rsidRDefault="00EC7F6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46416" w:rsidRPr="006A7A5D" w:rsidRDefault="00EC7F6C" w:rsidP="00A4641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5" w:history="1">
                              <w:r w:rsidR="0019729D" w:rsidRPr="006A7A5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Wskaźniki cen producentów usług związanych z obsługą działalności gospodarczej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161B8" id="_x0000_s1031" type="#_x0000_t202" style="position:absolute;margin-left:1.5pt;margin-top:33.4pt;width:457.2pt;height:283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:rsidR="00A46416" w:rsidRDefault="00A46416" w:rsidP="00A46416">
                      <w:pPr>
                        <w:rPr>
                          <w:b/>
                        </w:rPr>
                      </w:pPr>
                    </w:p>
                    <w:p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:rsidR="00C61FDC" w:rsidRPr="006A7A5D" w:rsidRDefault="00970983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="00C61FDC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6A7A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46416" w:rsidRPr="006A7A5D" w:rsidRDefault="006A7A5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="00FE1B5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instrText>HYPERLINK "https://stat.gov.pl/obszary-tematyczne/ceny-handel/ceny/ceny-w-gospodarce-narodowej-w-2019-r-,3,17.html"</w:instrText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6C305A"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Ceny w gospodarce narodowej</w:t>
                      </w:r>
                    </w:p>
                    <w:p w:rsidR="0019729D" w:rsidRPr="0019729D" w:rsidRDefault="006A7A5D" w:rsidP="00A46416">
                      <w:pPr>
                        <w:rPr>
                          <w:color w:val="1F3864" w:themeColor="accent5" w:themeShade="80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  <w:p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46416" w:rsidRPr="006A7A5D" w:rsidRDefault="0097098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:rsidR="00A46416" w:rsidRPr="006A7A5D" w:rsidRDefault="0097098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46416" w:rsidRPr="006A7A5D" w:rsidRDefault="00970983" w:rsidP="00A4641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29" w:history="1">
                        <w:r w:rsidR="0019729D" w:rsidRPr="006A7A5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Wskaźniki cen producentów usług związanych z obsługą działalności gospodarczej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D122C" w:rsidRDefault="00FD122C" w:rsidP="000470AA">
      <w:pPr>
        <w:rPr>
          <w:sz w:val="18"/>
        </w:rPr>
      </w:pPr>
    </w:p>
    <w:p w:rsidR="00FD122C" w:rsidRDefault="00FD122C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6C" w:rsidRDefault="00EC7F6C" w:rsidP="000662E2">
      <w:pPr>
        <w:spacing w:after="0" w:line="240" w:lineRule="auto"/>
      </w:pPr>
      <w:r>
        <w:separator/>
      </w:r>
    </w:p>
  </w:endnote>
  <w:endnote w:type="continuationSeparator" w:id="0">
    <w:p w:rsidR="00EC7F6C" w:rsidRDefault="00EC7F6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766">
          <w:rPr>
            <w:noProof/>
          </w:rPr>
          <w:t>2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766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6C" w:rsidRDefault="00EC7F6C" w:rsidP="000662E2">
      <w:pPr>
        <w:spacing w:after="0" w:line="240" w:lineRule="auto"/>
      </w:pPr>
      <w:r>
        <w:separator/>
      </w:r>
    </w:p>
  </w:footnote>
  <w:footnote w:type="continuationSeparator" w:id="0">
    <w:p w:rsidR="00EC7F6C" w:rsidRDefault="00EC7F6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6374D5" wp14:editId="7185E50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8123B9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8AFE242" wp14:editId="4E87D7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AFE242" id="Schemat blokowy: opóźnienie 6" o:spid="_x0000_s1032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4C74FE57" wp14:editId="3F4E20C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D3AAA3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334B5B17" wp14:editId="6CF24610">
          <wp:extent cx="1153274" cy="720000"/>
          <wp:effectExtent l="0" t="0" r="0" b="4445"/>
          <wp:docPr id="31" name="Obraz 3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2901">
      <w:rPr>
        <w:noProof/>
        <w:lang w:eastAsia="pl-PL"/>
      </w:rPr>
      <w:tab/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2576C34F" wp14:editId="582F6BF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D1448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10.12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B73FF1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76C34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D1448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10.12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B73FF1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6A42"/>
    <w:rsid w:val="0000709F"/>
    <w:rsid w:val="000075BC"/>
    <w:rsid w:val="000108B8"/>
    <w:rsid w:val="00011C3F"/>
    <w:rsid w:val="00012097"/>
    <w:rsid w:val="0001266E"/>
    <w:rsid w:val="0001377D"/>
    <w:rsid w:val="00013C52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557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E59"/>
    <w:rsid w:val="000377AC"/>
    <w:rsid w:val="00040002"/>
    <w:rsid w:val="00044A91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1F55"/>
    <w:rsid w:val="00053E1D"/>
    <w:rsid w:val="0005466E"/>
    <w:rsid w:val="000563A8"/>
    <w:rsid w:val="000569A0"/>
    <w:rsid w:val="000569BC"/>
    <w:rsid w:val="00056AE7"/>
    <w:rsid w:val="00056F31"/>
    <w:rsid w:val="00057CA1"/>
    <w:rsid w:val="00060815"/>
    <w:rsid w:val="00060961"/>
    <w:rsid w:val="000622D4"/>
    <w:rsid w:val="00063EBC"/>
    <w:rsid w:val="000662E2"/>
    <w:rsid w:val="0006686B"/>
    <w:rsid w:val="00066883"/>
    <w:rsid w:val="000674D8"/>
    <w:rsid w:val="00067904"/>
    <w:rsid w:val="00067C55"/>
    <w:rsid w:val="0007018F"/>
    <w:rsid w:val="000704E0"/>
    <w:rsid w:val="00070ABF"/>
    <w:rsid w:val="00070BDA"/>
    <w:rsid w:val="00071C7C"/>
    <w:rsid w:val="000726B6"/>
    <w:rsid w:val="00072AB4"/>
    <w:rsid w:val="00073CE0"/>
    <w:rsid w:val="000740BA"/>
    <w:rsid w:val="00074816"/>
    <w:rsid w:val="00074ABE"/>
    <w:rsid w:val="00074DD8"/>
    <w:rsid w:val="00074E4C"/>
    <w:rsid w:val="00077ABF"/>
    <w:rsid w:val="000806F7"/>
    <w:rsid w:val="00080895"/>
    <w:rsid w:val="00082029"/>
    <w:rsid w:val="00082575"/>
    <w:rsid w:val="000840F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2E8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3E16"/>
    <w:rsid w:val="000B4994"/>
    <w:rsid w:val="000B4F97"/>
    <w:rsid w:val="000B6A24"/>
    <w:rsid w:val="000C095F"/>
    <w:rsid w:val="000C0F94"/>
    <w:rsid w:val="000C135D"/>
    <w:rsid w:val="000C1545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0AE"/>
    <w:rsid w:val="000F5F1D"/>
    <w:rsid w:val="000F7912"/>
    <w:rsid w:val="0010064B"/>
    <w:rsid w:val="001011C3"/>
    <w:rsid w:val="0010242A"/>
    <w:rsid w:val="00106EBF"/>
    <w:rsid w:val="00106EFD"/>
    <w:rsid w:val="00107174"/>
    <w:rsid w:val="00110D87"/>
    <w:rsid w:val="00112322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7824"/>
    <w:rsid w:val="00130296"/>
    <w:rsid w:val="00130469"/>
    <w:rsid w:val="00130F35"/>
    <w:rsid w:val="00131194"/>
    <w:rsid w:val="0013144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5F52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F0B"/>
    <w:rsid w:val="0014317D"/>
    <w:rsid w:val="00143727"/>
    <w:rsid w:val="001448A7"/>
    <w:rsid w:val="0014523A"/>
    <w:rsid w:val="001452C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2BE4"/>
    <w:rsid w:val="0019306E"/>
    <w:rsid w:val="00193C53"/>
    <w:rsid w:val="00194665"/>
    <w:rsid w:val="00194742"/>
    <w:rsid w:val="00194BE9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B23"/>
    <w:rsid w:val="001D06C5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393"/>
    <w:rsid w:val="00200086"/>
    <w:rsid w:val="002000C0"/>
    <w:rsid w:val="0020135C"/>
    <w:rsid w:val="00201F29"/>
    <w:rsid w:val="0020381E"/>
    <w:rsid w:val="00203BEA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0C8A"/>
    <w:rsid w:val="00222619"/>
    <w:rsid w:val="002228EE"/>
    <w:rsid w:val="00223178"/>
    <w:rsid w:val="002240E0"/>
    <w:rsid w:val="00224339"/>
    <w:rsid w:val="00225760"/>
    <w:rsid w:val="00225BE3"/>
    <w:rsid w:val="00226300"/>
    <w:rsid w:val="00226A47"/>
    <w:rsid w:val="00227C33"/>
    <w:rsid w:val="0023087B"/>
    <w:rsid w:val="0023115F"/>
    <w:rsid w:val="002325D4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119"/>
    <w:rsid w:val="00241551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2901"/>
    <w:rsid w:val="00254280"/>
    <w:rsid w:val="00255319"/>
    <w:rsid w:val="002557B2"/>
    <w:rsid w:val="0025593F"/>
    <w:rsid w:val="002574F9"/>
    <w:rsid w:val="002577D7"/>
    <w:rsid w:val="00260280"/>
    <w:rsid w:val="002603B5"/>
    <w:rsid w:val="00261996"/>
    <w:rsid w:val="0026214E"/>
    <w:rsid w:val="00262399"/>
    <w:rsid w:val="0026423F"/>
    <w:rsid w:val="00265D40"/>
    <w:rsid w:val="002679E3"/>
    <w:rsid w:val="00267C48"/>
    <w:rsid w:val="00267FDB"/>
    <w:rsid w:val="00271036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D1A"/>
    <w:rsid w:val="002B1312"/>
    <w:rsid w:val="002B1870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69C"/>
    <w:rsid w:val="002D5B56"/>
    <w:rsid w:val="002D5DA9"/>
    <w:rsid w:val="002D6830"/>
    <w:rsid w:val="002D6C62"/>
    <w:rsid w:val="002D75BF"/>
    <w:rsid w:val="002E08C6"/>
    <w:rsid w:val="002E143E"/>
    <w:rsid w:val="002E18A9"/>
    <w:rsid w:val="002E26E4"/>
    <w:rsid w:val="002E2761"/>
    <w:rsid w:val="002E394B"/>
    <w:rsid w:val="002E3D2B"/>
    <w:rsid w:val="002E585E"/>
    <w:rsid w:val="002E5862"/>
    <w:rsid w:val="002E6140"/>
    <w:rsid w:val="002E6985"/>
    <w:rsid w:val="002E71B6"/>
    <w:rsid w:val="002E7FDD"/>
    <w:rsid w:val="002F1676"/>
    <w:rsid w:val="002F1B41"/>
    <w:rsid w:val="002F21BA"/>
    <w:rsid w:val="002F29CD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52D8"/>
    <w:rsid w:val="00316F52"/>
    <w:rsid w:val="00317469"/>
    <w:rsid w:val="00317E1D"/>
    <w:rsid w:val="00317F73"/>
    <w:rsid w:val="003203A3"/>
    <w:rsid w:val="0032064A"/>
    <w:rsid w:val="00321A66"/>
    <w:rsid w:val="00321ACB"/>
    <w:rsid w:val="00322DCC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2320"/>
    <w:rsid w:val="003344FD"/>
    <w:rsid w:val="00334755"/>
    <w:rsid w:val="003355D9"/>
    <w:rsid w:val="003365DC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80"/>
    <w:rsid w:val="00351B06"/>
    <w:rsid w:val="00352B6E"/>
    <w:rsid w:val="0035402D"/>
    <w:rsid w:val="00354824"/>
    <w:rsid w:val="00355A03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3F17"/>
    <w:rsid w:val="00374037"/>
    <w:rsid w:val="0037437C"/>
    <w:rsid w:val="00375CEF"/>
    <w:rsid w:val="003802BA"/>
    <w:rsid w:val="00380964"/>
    <w:rsid w:val="00381B0E"/>
    <w:rsid w:val="00383887"/>
    <w:rsid w:val="003843DB"/>
    <w:rsid w:val="003848A5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6BB2"/>
    <w:rsid w:val="003A72B2"/>
    <w:rsid w:val="003A7D98"/>
    <w:rsid w:val="003B1454"/>
    <w:rsid w:val="003B1517"/>
    <w:rsid w:val="003B1CC1"/>
    <w:rsid w:val="003B33C6"/>
    <w:rsid w:val="003B4C64"/>
    <w:rsid w:val="003B685F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4420"/>
    <w:rsid w:val="003E7858"/>
    <w:rsid w:val="003E7A68"/>
    <w:rsid w:val="003F2725"/>
    <w:rsid w:val="003F2EE7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655"/>
    <w:rsid w:val="0040713B"/>
    <w:rsid w:val="0041011E"/>
    <w:rsid w:val="00410DEC"/>
    <w:rsid w:val="00410F17"/>
    <w:rsid w:val="004113B2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1F11"/>
    <w:rsid w:val="00442638"/>
    <w:rsid w:val="00442B7F"/>
    <w:rsid w:val="00442EDA"/>
    <w:rsid w:val="00444E41"/>
    <w:rsid w:val="00445047"/>
    <w:rsid w:val="0044557A"/>
    <w:rsid w:val="0044588B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B05A8"/>
    <w:rsid w:val="004B1F5E"/>
    <w:rsid w:val="004B2548"/>
    <w:rsid w:val="004B2BBC"/>
    <w:rsid w:val="004B2FA9"/>
    <w:rsid w:val="004B31DC"/>
    <w:rsid w:val="004B3539"/>
    <w:rsid w:val="004B58A0"/>
    <w:rsid w:val="004B5D5F"/>
    <w:rsid w:val="004B625C"/>
    <w:rsid w:val="004B62D5"/>
    <w:rsid w:val="004B6783"/>
    <w:rsid w:val="004B683C"/>
    <w:rsid w:val="004B7D25"/>
    <w:rsid w:val="004B7F55"/>
    <w:rsid w:val="004C1895"/>
    <w:rsid w:val="004C1BEC"/>
    <w:rsid w:val="004C36CD"/>
    <w:rsid w:val="004C3F21"/>
    <w:rsid w:val="004C42CE"/>
    <w:rsid w:val="004C4790"/>
    <w:rsid w:val="004C5020"/>
    <w:rsid w:val="004C6D40"/>
    <w:rsid w:val="004D0841"/>
    <w:rsid w:val="004D092E"/>
    <w:rsid w:val="004D0B52"/>
    <w:rsid w:val="004D25B4"/>
    <w:rsid w:val="004D31E4"/>
    <w:rsid w:val="004D3485"/>
    <w:rsid w:val="004D432E"/>
    <w:rsid w:val="004D4888"/>
    <w:rsid w:val="004D493A"/>
    <w:rsid w:val="004D4C3C"/>
    <w:rsid w:val="004D5778"/>
    <w:rsid w:val="004D62E3"/>
    <w:rsid w:val="004D745A"/>
    <w:rsid w:val="004D7C98"/>
    <w:rsid w:val="004E059A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448B"/>
    <w:rsid w:val="0051563F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4A66"/>
    <w:rsid w:val="005257ED"/>
    <w:rsid w:val="00526065"/>
    <w:rsid w:val="00526281"/>
    <w:rsid w:val="005272AF"/>
    <w:rsid w:val="00527847"/>
    <w:rsid w:val="00527F2C"/>
    <w:rsid w:val="00531B09"/>
    <w:rsid w:val="00531C2E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48E"/>
    <w:rsid w:val="00536902"/>
    <w:rsid w:val="00537083"/>
    <w:rsid w:val="005370FD"/>
    <w:rsid w:val="00541896"/>
    <w:rsid w:val="005420F1"/>
    <w:rsid w:val="0054251F"/>
    <w:rsid w:val="00542F82"/>
    <w:rsid w:val="0054308B"/>
    <w:rsid w:val="005434D7"/>
    <w:rsid w:val="00543F49"/>
    <w:rsid w:val="00544091"/>
    <w:rsid w:val="00544907"/>
    <w:rsid w:val="00545086"/>
    <w:rsid w:val="00545F13"/>
    <w:rsid w:val="0054706A"/>
    <w:rsid w:val="005478C1"/>
    <w:rsid w:val="00547BAD"/>
    <w:rsid w:val="00547C4B"/>
    <w:rsid w:val="00550618"/>
    <w:rsid w:val="00551157"/>
    <w:rsid w:val="00551B0E"/>
    <w:rsid w:val="005520D8"/>
    <w:rsid w:val="00552483"/>
    <w:rsid w:val="00552567"/>
    <w:rsid w:val="00553353"/>
    <w:rsid w:val="00553A71"/>
    <w:rsid w:val="0055490E"/>
    <w:rsid w:val="00554AC9"/>
    <w:rsid w:val="00554E6D"/>
    <w:rsid w:val="005552BD"/>
    <w:rsid w:val="005559D5"/>
    <w:rsid w:val="00556CF1"/>
    <w:rsid w:val="0056003F"/>
    <w:rsid w:val="00560399"/>
    <w:rsid w:val="00562C71"/>
    <w:rsid w:val="0056513E"/>
    <w:rsid w:val="00566D5D"/>
    <w:rsid w:val="00566E2E"/>
    <w:rsid w:val="0056762A"/>
    <w:rsid w:val="005679C2"/>
    <w:rsid w:val="00570544"/>
    <w:rsid w:val="0057258A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39B"/>
    <w:rsid w:val="00576790"/>
    <w:rsid w:val="00580511"/>
    <w:rsid w:val="0058072B"/>
    <w:rsid w:val="0058132F"/>
    <w:rsid w:val="0058150A"/>
    <w:rsid w:val="0058185A"/>
    <w:rsid w:val="005840AB"/>
    <w:rsid w:val="00584F20"/>
    <w:rsid w:val="005859EB"/>
    <w:rsid w:val="00586371"/>
    <w:rsid w:val="00586939"/>
    <w:rsid w:val="005916D7"/>
    <w:rsid w:val="00593DE2"/>
    <w:rsid w:val="00596A81"/>
    <w:rsid w:val="005A0A4B"/>
    <w:rsid w:val="005A0CD2"/>
    <w:rsid w:val="005A10BB"/>
    <w:rsid w:val="005A1161"/>
    <w:rsid w:val="005A1363"/>
    <w:rsid w:val="005A2828"/>
    <w:rsid w:val="005A50E3"/>
    <w:rsid w:val="005A698C"/>
    <w:rsid w:val="005A74DD"/>
    <w:rsid w:val="005A7833"/>
    <w:rsid w:val="005B07DE"/>
    <w:rsid w:val="005B2766"/>
    <w:rsid w:val="005B3B81"/>
    <w:rsid w:val="005B3DE0"/>
    <w:rsid w:val="005B3E6F"/>
    <w:rsid w:val="005B5765"/>
    <w:rsid w:val="005C3773"/>
    <w:rsid w:val="005C72B7"/>
    <w:rsid w:val="005C766F"/>
    <w:rsid w:val="005C7721"/>
    <w:rsid w:val="005C7D83"/>
    <w:rsid w:val="005D275C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1269"/>
    <w:rsid w:val="005E16BE"/>
    <w:rsid w:val="005E1E47"/>
    <w:rsid w:val="005E2599"/>
    <w:rsid w:val="005E25A6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3E9C"/>
    <w:rsid w:val="005F4C35"/>
    <w:rsid w:val="005F4CB6"/>
    <w:rsid w:val="005F5A80"/>
    <w:rsid w:val="005F638A"/>
    <w:rsid w:val="005F7E43"/>
    <w:rsid w:val="00601ABA"/>
    <w:rsid w:val="00602F1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16AA4"/>
    <w:rsid w:val="00620AC2"/>
    <w:rsid w:val="00620F2F"/>
    <w:rsid w:val="00621911"/>
    <w:rsid w:val="00623E3C"/>
    <w:rsid w:val="00624BFD"/>
    <w:rsid w:val="00625926"/>
    <w:rsid w:val="00625AF5"/>
    <w:rsid w:val="0062608A"/>
    <w:rsid w:val="00627660"/>
    <w:rsid w:val="00627B08"/>
    <w:rsid w:val="00630984"/>
    <w:rsid w:val="00632315"/>
    <w:rsid w:val="00632ED3"/>
    <w:rsid w:val="00633014"/>
    <w:rsid w:val="0063437B"/>
    <w:rsid w:val="006350DF"/>
    <w:rsid w:val="00636C29"/>
    <w:rsid w:val="00640BEB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2675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50FE"/>
    <w:rsid w:val="006A540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B64"/>
    <w:rsid w:val="006E270B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93F"/>
    <w:rsid w:val="00712D9A"/>
    <w:rsid w:val="007138ED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12A7"/>
    <w:rsid w:val="00742625"/>
    <w:rsid w:val="00742959"/>
    <w:rsid w:val="00743272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1C59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D2"/>
    <w:rsid w:val="007716BF"/>
    <w:rsid w:val="00771D79"/>
    <w:rsid w:val="007725C2"/>
    <w:rsid w:val="0077373B"/>
    <w:rsid w:val="00774FFF"/>
    <w:rsid w:val="007759EA"/>
    <w:rsid w:val="00775DA6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23C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D4F"/>
    <w:rsid w:val="00796E86"/>
    <w:rsid w:val="007970EF"/>
    <w:rsid w:val="007A0137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7EB3"/>
    <w:rsid w:val="007B0685"/>
    <w:rsid w:val="007B14B4"/>
    <w:rsid w:val="007B1F7F"/>
    <w:rsid w:val="007B340E"/>
    <w:rsid w:val="007B4186"/>
    <w:rsid w:val="007B546D"/>
    <w:rsid w:val="007B5CA8"/>
    <w:rsid w:val="007B5EEF"/>
    <w:rsid w:val="007B6789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D2B"/>
    <w:rsid w:val="007C567C"/>
    <w:rsid w:val="007C6276"/>
    <w:rsid w:val="007C77DF"/>
    <w:rsid w:val="007D0308"/>
    <w:rsid w:val="007D04B5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E6699"/>
    <w:rsid w:val="007F030C"/>
    <w:rsid w:val="007F0B57"/>
    <w:rsid w:val="007F1014"/>
    <w:rsid w:val="007F324B"/>
    <w:rsid w:val="007F39AA"/>
    <w:rsid w:val="007F461F"/>
    <w:rsid w:val="007F46B2"/>
    <w:rsid w:val="007F69F3"/>
    <w:rsid w:val="007F6C73"/>
    <w:rsid w:val="0080172B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0A0B"/>
    <w:rsid w:val="008324FC"/>
    <w:rsid w:val="00832583"/>
    <w:rsid w:val="00834AD3"/>
    <w:rsid w:val="0083548C"/>
    <w:rsid w:val="008357B5"/>
    <w:rsid w:val="00836404"/>
    <w:rsid w:val="00836BBD"/>
    <w:rsid w:val="008370AE"/>
    <w:rsid w:val="00837602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1F87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A04B8"/>
    <w:rsid w:val="008A0524"/>
    <w:rsid w:val="008A0936"/>
    <w:rsid w:val="008A0ABF"/>
    <w:rsid w:val="008A26D9"/>
    <w:rsid w:val="008A31AE"/>
    <w:rsid w:val="008A575A"/>
    <w:rsid w:val="008A5829"/>
    <w:rsid w:val="008A6D39"/>
    <w:rsid w:val="008A6D42"/>
    <w:rsid w:val="008B023D"/>
    <w:rsid w:val="008B0CAD"/>
    <w:rsid w:val="008B18CA"/>
    <w:rsid w:val="008B36C0"/>
    <w:rsid w:val="008B44AB"/>
    <w:rsid w:val="008B52AD"/>
    <w:rsid w:val="008B5423"/>
    <w:rsid w:val="008B591A"/>
    <w:rsid w:val="008B761F"/>
    <w:rsid w:val="008C083F"/>
    <w:rsid w:val="008C0C29"/>
    <w:rsid w:val="008C1ADF"/>
    <w:rsid w:val="008C3384"/>
    <w:rsid w:val="008C4461"/>
    <w:rsid w:val="008C596F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1861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89F"/>
    <w:rsid w:val="008F1323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746E"/>
    <w:rsid w:val="00911549"/>
    <w:rsid w:val="00912135"/>
    <w:rsid w:val="00912766"/>
    <w:rsid w:val="009127BA"/>
    <w:rsid w:val="00912E32"/>
    <w:rsid w:val="0091494D"/>
    <w:rsid w:val="00914FE8"/>
    <w:rsid w:val="009153AD"/>
    <w:rsid w:val="00915671"/>
    <w:rsid w:val="00915B91"/>
    <w:rsid w:val="00915C54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1BE"/>
    <w:rsid w:val="0094069B"/>
    <w:rsid w:val="009411DC"/>
    <w:rsid w:val="00941EA0"/>
    <w:rsid w:val="009427F0"/>
    <w:rsid w:val="0094373E"/>
    <w:rsid w:val="00943778"/>
    <w:rsid w:val="00944D39"/>
    <w:rsid w:val="00945E5B"/>
    <w:rsid w:val="00947A34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E4B"/>
    <w:rsid w:val="00960164"/>
    <w:rsid w:val="00960B1B"/>
    <w:rsid w:val="00961754"/>
    <w:rsid w:val="009619FB"/>
    <w:rsid w:val="00963CC7"/>
    <w:rsid w:val="009647F9"/>
    <w:rsid w:val="00964846"/>
    <w:rsid w:val="00964CB5"/>
    <w:rsid w:val="009650A5"/>
    <w:rsid w:val="00965EA5"/>
    <w:rsid w:val="00967121"/>
    <w:rsid w:val="009705EE"/>
    <w:rsid w:val="00970983"/>
    <w:rsid w:val="009717A9"/>
    <w:rsid w:val="00972C5A"/>
    <w:rsid w:val="00974630"/>
    <w:rsid w:val="00975570"/>
    <w:rsid w:val="009757A7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3104"/>
    <w:rsid w:val="009A4F2A"/>
    <w:rsid w:val="009A5E45"/>
    <w:rsid w:val="009A6E65"/>
    <w:rsid w:val="009A6EA0"/>
    <w:rsid w:val="009A7548"/>
    <w:rsid w:val="009A7B6D"/>
    <w:rsid w:val="009B1420"/>
    <w:rsid w:val="009B1483"/>
    <w:rsid w:val="009B2C16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0D48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5752"/>
    <w:rsid w:val="00A46416"/>
    <w:rsid w:val="00A469D3"/>
    <w:rsid w:val="00A47BEA"/>
    <w:rsid w:val="00A47D1A"/>
    <w:rsid w:val="00A47D80"/>
    <w:rsid w:val="00A51CE2"/>
    <w:rsid w:val="00A51F67"/>
    <w:rsid w:val="00A52864"/>
    <w:rsid w:val="00A52BCD"/>
    <w:rsid w:val="00A52BD1"/>
    <w:rsid w:val="00A53132"/>
    <w:rsid w:val="00A54D94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0DA"/>
    <w:rsid w:val="00A74826"/>
    <w:rsid w:val="00A75A70"/>
    <w:rsid w:val="00A76FF4"/>
    <w:rsid w:val="00A7733F"/>
    <w:rsid w:val="00A7770A"/>
    <w:rsid w:val="00A777EE"/>
    <w:rsid w:val="00A77E14"/>
    <w:rsid w:val="00A810F9"/>
    <w:rsid w:val="00A81406"/>
    <w:rsid w:val="00A822B2"/>
    <w:rsid w:val="00A82FC7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1A7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3450"/>
    <w:rsid w:val="00AB3B33"/>
    <w:rsid w:val="00AB4211"/>
    <w:rsid w:val="00AB46D0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1A1A"/>
    <w:rsid w:val="00AD3AC7"/>
    <w:rsid w:val="00AD3EBB"/>
    <w:rsid w:val="00AD4998"/>
    <w:rsid w:val="00AD5AD8"/>
    <w:rsid w:val="00AD6217"/>
    <w:rsid w:val="00AD6C52"/>
    <w:rsid w:val="00AD7025"/>
    <w:rsid w:val="00AD7E72"/>
    <w:rsid w:val="00AD7FE7"/>
    <w:rsid w:val="00AE09A0"/>
    <w:rsid w:val="00AE29C5"/>
    <w:rsid w:val="00AE2B34"/>
    <w:rsid w:val="00AE2D4B"/>
    <w:rsid w:val="00AE3756"/>
    <w:rsid w:val="00AE377C"/>
    <w:rsid w:val="00AE39B9"/>
    <w:rsid w:val="00AE4F99"/>
    <w:rsid w:val="00AE587B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4043"/>
    <w:rsid w:val="00B04395"/>
    <w:rsid w:val="00B04F28"/>
    <w:rsid w:val="00B055CE"/>
    <w:rsid w:val="00B062C0"/>
    <w:rsid w:val="00B07B0D"/>
    <w:rsid w:val="00B102F1"/>
    <w:rsid w:val="00B10CDB"/>
    <w:rsid w:val="00B10E7E"/>
    <w:rsid w:val="00B116DF"/>
    <w:rsid w:val="00B11BD7"/>
    <w:rsid w:val="00B13634"/>
    <w:rsid w:val="00B13749"/>
    <w:rsid w:val="00B148CE"/>
    <w:rsid w:val="00B14952"/>
    <w:rsid w:val="00B15584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27987"/>
    <w:rsid w:val="00B31E5A"/>
    <w:rsid w:val="00B32008"/>
    <w:rsid w:val="00B32D04"/>
    <w:rsid w:val="00B33841"/>
    <w:rsid w:val="00B339A1"/>
    <w:rsid w:val="00B33F2E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61E5"/>
    <w:rsid w:val="00B50066"/>
    <w:rsid w:val="00B50DF4"/>
    <w:rsid w:val="00B51B52"/>
    <w:rsid w:val="00B54F75"/>
    <w:rsid w:val="00B55098"/>
    <w:rsid w:val="00B55842"/>
    <w:rsid w:val="00B55861"/>
    <w:rsid w:val="00B55E02"/>
    <w:rsid w:val="00B56B16"/>
    <w:rsid w:val="00B56C12"/>
    <w:rsid w:val="00B57312"/>
    <w:rsid w:val="00B6002B"/>
    <w:rsid w:val="00B60F82"/>
    <w:rsid w:val="00B62062"/>
    <w:rsid w:val="00B63624"/>
    <w:rsid w:val="00B63AAB"/>
    <w:rsid w:val="00B63BED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301B"/>
    <w:rsid w:val="00B73455"/>
    <w:rsid w:val="00B73FF1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9080E"/>
    <w:rsid w:val="00B90EA2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035"/>
    <w:rsid w:val="00BA0BAD"/>
    <w:rsid w:val="00BA1FE8"/>
    <w:rsid w:val="00BA22BA"/>
    <w:rsid w:val="00BA2BA1"/>
    <w:rsid w:val="00BA3A8D"/>
    <w:rsid w:val="00BA50D2"/>
    <w:rsid w:val="00BA511D"/>
    <w:rsid w:val="00BB08FA"/>
    <w:rsid w:val="00BB3034"/>
    <w:rsid w:val="00BB31C6"/>
    <w:rsid w:val="00BB4F09"/>
    <w:rsid w:val="00BB52F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3498"/>
    <w:rsid w:val="00BD36B4"/>
    <w:rsid w:val="00BD3EBB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4810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291"/>
    <w:rsid w:val="00C4451B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115"/>
    <w:rsid w:val="00C5733B"/>
    <w:rsid w:val="00C57C3E"/>
    <w:rsid w:val="00C57F2F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BCB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B1B"/>
    <w:rsid w:val="00C83D05"/>
    <w:rsid w:val="00C84438"/>
    <w:rsid w:val="00C84AE0"/>
    <w:rsid w:val="00C859E8"/>
    <w:rsid w:val="00C85BA3"/>
    <w:rsid w:val="00C864AE"/>
    <w:rsid w:val="00C9002C"/>
    <w:rsid w:val="00C90E7C"/>
    <w:rsid w:val="00C91687"/>
    <w:rsid w:val="00C91823"/>
    <w:rsid w:val="00C9196E"/>
    <w:rsid w:val="00C924A8"/>
    <w:rsid w:val="00C93A28"/>
    <w:rsid w:val="00C93FFC"/>
    <w:rsid w:val="00C945FE"/>
    <w:rsid w:val="00C94748"/>
    <w:rsid w:val="00C951D0"/>
    <w:rsid w:val="00C952A4"/>
    <w:rsid w:val="00C95786"/>
    <w:rsid w:val="00C9660B"/>
    <w:rsid w:val="00C96B83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307B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6E21"/>
    <w:rsid w:val="00CE7088"/>
    <w:rsid w:val="00CE71A6"/>
    <w:rsid w:val="00CE7E2E"/>
    <w:rsid w:val="00CF17FC"/>
    <w:rsid w:val="00CF183C"/>
    <w:rsid w:val="00CF2E7C"/>
    <w:rsid w:val="00CF36E2"/>
    <w:rsid w:val="00CF4099"/>
    <w:rsid w:val="00CF6D38"/>
    <w:rsid w:val="00CF7B8E"/>
    <w:rsid w:val="00D00796"/>
    <w:rsid w:val="00D01780"/>
    <w:rsid w:val="00D06888"/>
    <w:rsid w:val="00D07601"/>
    <w:rsid w:val="00D105C0"/>
    <w:rsid w:val="00D11337"/>
    <w:rsid w:val="00D1343C"/>
    <w:rsid w:val="00D13833"/>
    <w:rsid w:val="00D14485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4EF7"/>
    <w:rsid w:val="00D450BA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5442"/>
    <w:rsid w:val="00D769CE"/>
    <w:rsid w:val="00D806A8"/>
    <w:rsid w:val="00D810A7"/>
    <w:rsid w:val="00D8111D"/>
    <w:rsid w:val="00D81740"/>
    <w:rsid w:val="00D81F4C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1E1D"/>
    <w:rsid w:val="00D92149"/>
    <w:rsid w:val="00D9341E"/>
    <w:rsid w:val="00D93733"/>
    <w:rsid w:val="00D93A03"/>
    <w:rsid w:val="00D93C0F"/>
    <w:rsid w:val="00D94093"/>
    <w:rsid w:val="00D9421D"/>
    <w:rsid w:val="00D943F6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1CE0"/>
    <w:rsid w:val="00DD3579"/>
    <w:rsid w:val="00DD4438"/>
    <w:rsid w:val="00DD4E06"/>
    <w:rsid w:val="00DD521C"/>
    <w:rsid w:val="00DD68A8"/>
    <w:rsid w:val="00DD6A59"/>
    <w:rsid w:val="00DD6F96"/>
    <w:rsid w:val="00DE0FB7"/>
    <w:rsid w:val="00DE17EC"/>
    <w:rsid w:val="00DE1C34"/>
    <w:rsid w:val="00DE1DCD"/>
    <w:rsid w:val="00DE2096"/>
    <w:rsid w:val="00DE23EB"/>
    <w:rsid w:val="00DE3246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1E3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1C4"/>
    <w:rsid w:val="00E12D74"/>
    <w:rsid w:val="00E12EB5"/>
    <w:rsid w:val="00E12FBE"/>
    <w:rsid w:val="00E1333E"/>
    <w:rsid w:val="00E13B63"/>
    <w:rsid w:val="00E14FF9"/>
    <w:rsid w:val="00E15D8D"/>
    <w:rsid w:val="00E15F9A"/>
    <w:rsid w:val="00E16C34"/>
    <w:rsid w:val="00E17122"/>
    <w:rsid w:val="00E178FF"/>
    <w:rsid w:val="00E17B77"/>
    <w:rsid w:val="00E205A6"/>
    <w:rsid w:val="00E20901"/>
    <w:rsid w:val="00E23337"/>
    <w:rsid w:val="00E24428"/>
    <w:rsid w:val="00E2586D"/>
    <w:rsid w:val="00E259EA"/>
    <w:rsid w:val="00E303CD"/>
    <w:rsid w:val="00E30E01"/>
    <w:rsid w:val="00E32061"/>
    <w:rsid w:val="00E321D8"/>
    <w:rsid w:val="00E339F7"/>
    <w:rsid w:val="00E33CB0"/>
    <w:rsid w:val="00E3474B"/>
    <w:rsid w:val="00E34C67"/>
    <w:rsid w:val="00E353C5"/>
    <w:rsid w:val="00E361A0"/>
    <w:rsid w:val="00E379F2"/>
    <w:rsid w:val="00E407A4"/>
    <w:rsid w:val="00E411C2"/>
    <w:rsid w:val="00E422B5"/>
    <w:rsid w:val="00E42FF9"/>
    <w:rsid w:val="00E43E80"/>
    <w:rsid w:val="00E43F04"/>
    <w:rsid w:val="00E45D7D"/>
    <w:rsid w:val="00E460BF"/>
    <w:rsid w:val="00E46B3E"/>
    <w:rsid w:val="00E4714C"/>
    <w:rsid w:val="00E50158"/>
    <w:rsid w:val="00E50D7A"/>
    <w:rsid w:val="00E5112E"/>
    <w:rsid w:val="00E51AEB"/>
    <w:rsid w:val="00E51D96"/>
    <w:rsid w:val="00E522A7"/>
    <w:rsid w:val="00E528E6"/>
    <w:rsid w:val="00E5337B"/>
    <w:rsid w:val="00E54452"/>
    <w:rsid w:val="00E544D5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DFC"/>
    <w:rsid w:val="00E92A10"/>
    <w:rsid w:val="00E93438"/>
    <w:rsid w:val="00E93508"/>
    <w:rsid w:val="00E9357F"/>
    <w:rsid w:val="00E9376E"/>
    <w:rsid w:val="00E93CCF"/>
    <w:rsid w:val="00E96EAE"/>
    <w:rsid w:val="00E97303"/>
    <w:rsid w:val="00EA1004"/>
    <w:rsid w:val="00EA1711"/>
    <w:rsid w:val="00EA26B5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C7ACE"/>
    <w:rsid w:val="00EC7AD0"/>
    <w:rsid w:val="00EC7C69"/>
    <w:rsid w:val="00EC7F6C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0F6A"/>
    <w:rsid w:val="00F0158F"/>
    <w:rsid w:val="00F03526"/>
    <w:rsid w:val="00F037A4"/>
    <w:rsid w:val="00F0456E"/>
    <w:rsid w:val="00F05472"/>
    <w:rsid w:val="00F05E6D"/>
    <w:rsid w:val="00F06F8E"/>
    <w:rsid w:val="00F10D06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5123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DDA"/>
    <w:rsid w:val="00F4477E"/>
    <w:rsid w:val="00F4601D"/>
    <w:rsid w:val="00F46A7B"/>
    <w:rsid w:val="00F46AB5"/>
    <w:rsid w:val="00F46AD9"/>
    <w:rsid w:val="00F512B0"/>
    <w:rsid w:val="00F5453E"/>
    <w:rsid w:val="00F54974"/>
    <w:rsid w:val="00F55EC6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985"/>
    <w:rsid w:val="00F71633"/>
    <w:rsid w:val="00F7220C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35B4"/>
    <w:rsid w:val="00F939B7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645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2A54"/>
    <w:rsid w:val="00FD2B00"/>
    <w:rsid w:val="00FD38BD"/>
    <w:rsid w:val="00FD5917"/>
    <w:rsid w:val="00FD5EA7"/>
    <w:rsid w:val="00FD5ECD"/>
    <w:rsid w:val="00FD6B6B"/>
    <w:rsid w:val="00FD720F"/>
    <w:rsid w:val="00FE0992"/>
    <w:rsid w:val="00FE0E3A"/>
    <w:rsid w:val="00FE1224"/>
    <w:rsid w:val="00FE1B58"/>
    <w:rsid w:val="00FE1EB6"/>
    <w:rsid w:val="00FE291A"/>
    <w:rsid w:val="00FE2FE5"/>
    <w:rsid w:val="00FE3CB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56024C-8383-41EC-86D3-A0158C81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sygnalne/informacje-sygnalne/2,2021,kategoria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metainformacje/slownik-pojec/pojecia-stosowane-w-statystyce-publicznej/320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metainformacje/slownik-pojec/pojecia-stosowane-w-statystyce-publicznej/320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ceny-handel/ceny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swaid.stat.gov.pl/SitePagesDBW/Ceny.aspx" TargetMode="External"/><Relationship Id="rId28" Type="http://schemas.openxmlformats.org/officeDocument/2006/relationships/hyperlink" Target="https://stat.gov.pl/obszary-tematyczne/ceny-handel/ceny/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sygnalne/informacje-sygnalne/2,2021,kategoria.html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419572553430822E-2"/>
          <c:y val="9.5124903504708966E-2"/>
          <c:w val="0.85770381981884014"/>
          <c:h val="0.75146147907982086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'wykres 1 IIIQ2021 (4)'!$A$6:$B$20</c:f>
              <c:multiLvlStrCache>
                <c:ptCount val="1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'wykres 1 IIIQ2021 (4)'!$C$6:$C$20</c:f>
              <c:numCache>
                <c:formatCode>General</c:formatCode>
                <c:ptCount val="15"/>
                <c:pt idx="0">
                  <c:v>0.7</c:v>
                </c:pt>
                <c:pt idx="1">
                  <c:v>0.5</c:v>
                </c:pt>
                <c:pt idx="2">
                  <c:v>0.2</c:v>
                </c:pt>
                <c:pt idx="3">
                  <c:v>0.3</c:v>
                </c:pt>
                <c:pt idx="4">
                  <c:v>0.8</c:v>
                </c:pt>
                <c:pt idx="5">
                  <c:v>0.4</c:v>
                </c:pt>
                <c:pt idx="6">
                  <c:v>0.5</c:v>
                </c:pt>
                <c:pt idx="7">
                  <c:v>0.2</c:v>
                </c:pt>
                <c:pt idx="8">
                  <c:v>0.9</c:v>
                </c:pt>
                <c:pt idx="9">
                  <c:v>-0.4</c:v>
                </c:pt>
                <c:pt idx="10">
                  <c:v>0.5</c:v>
                </c:pt>
                <c:pt idx="11">
                  <c:v>0.1</c:v>
                </c:pt>
                <c:pt idx="12">
                  <c:v>0.6</c:v>
                </c:pt>
                <c:pt idx="13">
                  <c:v>0.8</c:v>
                </c:pt>
                <c:pt idx="14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7A6-4847-BF4E-0B37BF4509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79623632"/>
        <c:axId val="1679619280"/>
      </c:lineChart>
      <c:catAx>
        <c:axId val="167962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1679619280"/>
        <c:crosses val="autoZero"/>
        <c:auto val="1"/>
        <c:lblAlgn val="ctr"/>
        <c:lblOffset val="100"/>
        <c:noMultiLvlLbl val="0"/>
      </c:catAx>
      <c:valAx>
        <c:axId val="1679619280"/>
        <c:scaling>
          <c:orientation val="minMax"/>
          <c:max val="1.5"/>
          <c:min val="-0.5"/>
        </c:scaling>
        <c:delete val="0"/>
        <c:axPos val="l"/>
        <c:majorGridlines/>
        <c:numFmt formatCode="#,##0.0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679623632"/>
        <c:crosses val="autoZero"/>
        <c:crossBetween val="between"/>
        <c:majorUnit val="0.5"/>
        <c:minorUnit val="0.5"/>
      </c:valAx>
      <c:spPr>
        <a:noFill/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419611164165113E-2"/>
          <c:y val="4.5854704083934592E-2"/>
          <c:w val="0.92655536478992573"/>
          <c:h val="0.75467445174345649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'wykres 2 IIIQ2021 (4)'!$A$6:$B$20</c:f>
              <c:multiLvlStrCache>
                <c:ptCount val="1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'wykres 2 IIIQ2021 (4)'!$C$6:$C$20</c:f>
              <c:numCache>
                <c:formatCode>_-* #\ ##0.0\ _z_ł_-;\-* #\ ##0.0\ _z_ł_-;_-* "-"?\ _z_ł_-;_-@_-</c:formatCode>
                <c:ptCount val="15"/>
                <c:pt idx="0">
                  <c:v>2.1</c:v>
                </c:pt>
                <c:pt idx="1">
                  <c:v>2.2000000000000002</c:v>
                </c:pt>
                <c:pt idx="2">
                  <c:v>1.7</c:v>
                </c:pt>
                <c:pt idx="3">
                  <c:v>1.7</c:v>
                </c:pt>
                <c:pt idx="4">
                  <c:v>1.8</c:v>
                </c:pt>
                <c:pt idx="5">
                  <c:v>1.7</c:v>
                </c:pt>
                <c:pt idx="6">
                  <c:v>2</c:v>
                </c:pt>
                <c:pt idx="7">
                  <c:v>1.9</c:v>
                </c:pt>
                <c:pt idx="8">
                  <c:v>2</c:v>
                </c:pt>
                <c:pt idx="9">
                  <c:v>1.2</c:v>
                </c:pt>
                <c:pt idx="10">
                  <c:v>1.2</c:v>
                </c:pt>
                <c:pt idx="11">
                  <c:v>1.1000000000000001</c:v>
                </c:pt>
                <c:pt idx="12">
                  <c:v>0.8</c:v>
                </c:pt>
                <c:pt idx="13">
                  <c:v>2</c:v>
                </c:pt>
                <c:pt idx="14" formatCode="General">
                  <c:v>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BB6-4764-BF8A-084A15C076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9627440"/>
        <c:axId val="1679627984"/>
      </c:lineChart>
      <c:catAx>
        <c:axId val="167962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1679627984"/>
        <c:crosses val="autoZero"/>
        <c:auto val="1"/>
        <c:lblAlgn val="ctr"/>
        <c:lblOffset val="100"/>
        <c:noMultiLvlLbl val="0"/>
      </c:catAx>
      <c:valAx>
        <c:axId val="1679627984"/>
        <c:scaling>
          <c:orientation val="minMax"/>
          <c:max val="3"/>
          <c:min val="0"/>
        </c:scaling>
        <c:delete val="0"/>
        <c:axPos val="l"/>
        <c:majorGridlines/>
        <c:numFmt formatCode="#,##0.0" sourceLinked="0"/>
        <c:majorTickMark val="none"/>
        <c:minorTickMark val="in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679627440"/>
        <c:crosses val="autoZero"/>
        <c:crossBetween val="between"/>
        <c:majorUnit val="1"/>
        <c:min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2021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3A71A17-5A70-4BC9-A2DA-964D59D35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FECA0-4C76-4F9B-96B4-EAD27F1B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producentów usług związanych z obsługą działalności gospodarczej za III kwartał 2021 r.</dc:title>
  <dc:subject/>
  <cp:keywords/>
  <dc:description/>
  <cp:lastModifiedBy>Putkowska Beata</cp:lastModifiedBy>
  <cp:revision>3</cp:revision>
  <cp:lastPrinted>2021-12-08T14:26:00Z</cp:lastPrinted>
  <dcterms:created xsi:type="dcterms:W3CDTF">2021-12-08T14:25:00Z</dcterms:created>
  <dcterms:modified xsi:type="dcterms:W3CDTF">2021-12-10T06:34:00Z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