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5C4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C459C">
                              <w:rPr>
                                <w:rFonts w:ascii="Fira Sans SemiBold" w:hAnsi="Fira Sans SemiBold"/>
                                <w:color w:val="001D77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.0</w:t>
                            </w:r>
                            <w:r w:rsidR="008C459C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05C46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C459C">
                        <w:rPr>
                          <w:rFonts w:ascii="Fira Sans SemiBold" w:hAnsi="Fira Sans SemiBold"/>
                          <w:color w:val="001D77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.0</w:t>
                      </w:r>
                      <w:r w:rsidR="008C459C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Szybki szacunek</w:t>
      </w:r>
      <w:r w:rsidR="00D11F3C">
        <w:rPr>
          <w:rFonts w:cs="Arial"/>
          <w:szCs w:val="40"/>
        </w:rPr>
        <w:t xml:space="preserve"> produktu krajowego brutto za </w:t>
      </w:r>
      <w:r w:rsidR="00D11F3C">
        <w:rPr>
          <w:rFonts w:cs="Arial"/>
          <w:szCs w:val="40"/>
        </w:rPr>
        <w:br/>
        <w:t>I</w:t>
      </w:r>
      <w:r w:rsidR="00FA10DC">
        <w:rPr>
          <w:rFonts w:cs="Arial"/>
          <w:szCs w:val="40"/>
        </w:rPr>
        <w:t xml:space="preserve"> kwartał</w:t>
      </w:r>
      <w:r w:rsidR="00805C46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</w:t>
      </w:r>
      <w:r w:rsidR="008C459C">
        <w:rPr>
          <w:rFonts w:cs="Arial"/>
          <w:szCs w:val="40"/>
        </w:rPr>
        <w:t>1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11F3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EA6D7B" wp14:editId="0576F7EE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657C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F09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F09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I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</w:t>
                            </w:r>
                            <w:r w:rsidR="008C459C">
                              <w:rPr>
                                <w:szCs w:val="20"/>
                              </w:rPr>
                              <w:t>1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D11F3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EA6D7B" wp14:editId="0576F7EE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657C9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F09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F09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 xml:space="preserve">I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</w:t>
                      </w:r>
                      <w:r w:rsidR="008C459C">
                        <w:rPr>
                          <w:szCs w:val="20"/>
                        </w:rPr>
                        <w:t>1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</w:t>
      </w:r>
      <w:r w:rsidR="008C459C">
        <w:t>1</w:t>
      </w:r>
      <w:r w:rsidR="00A67688">
        <w:t xml:space="preserve"> roku </w:t>
      </w:r>
      <w:r w:rsidR="008657C9">
        <w:t>zmniejszył się</w:t>
      </w:r>
      <w:r w:rsidR="0004797B">
        <w:t xml:space="preserve"> realnie </w:t>
      </w:r>
      <w:r w:rsidR="00A67688">
        <w:t xml:space="preserve">o </w:t>
      </w:r>
      <w:r w:rsidR="00FF09C7">
        <w:t>1,2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8657C9">
        <w:t xml:space="preserve">wzrostu </w:t>
      </w:r>
      <w:r w:rsidR="0004797B">
        <w:t xml:space="preserve">o </w:t>
      </w:r>
      <w:r w:rsidR="00FF09C7">
        <w:t>2,0</w:t>
      </w:r>
      <w:r w:rsidR="00363F24">
        <w:t>% w analogicznym okresie 20</w:t>
      </w:r>
      <w:r w:rsidR="008C459C">
        <w:t>20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D91890" w:rsidRPr="00EA3C86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 w:rsidR="00C160C6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</w:t>
      </w:r>
      <w:r w:rsidR="00855093"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</w:t>
      </w:r>
      <w:r w:rsidR="000F069D"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) </w:t>
      </w:r>
      <w:r w:rsidR="00863079">
        <w:rPr>
          <w:rFonts w:ascii="Fira Sans" w:eastAsiaTheme="minorHAnsi" w:hAnsi="Fira Sans" w:cstheme="minorBidi"/>
          <w:bCs w:val="0"/>
          <w:color w:val="auto"/>
          <w:szCs w:val="22"/>
        </w:rPr>
        <w:t>wzrósł</w:t>
      </w:r>
      <w:r w:rsidR="00EB3609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realnie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863079">
        <w:rPr>
          <w:rFonts w:ascii="Fira Sans" w:eastAsiaTheme="minorHAnsi" w:hAnsi="Fira Sans" w:cstheme="minorBidi"/>
          <w:bCs w:val="0"/>
          <w:color w:val="auto"/>
          <w:szCs w:val="22"/>
        </w:rPr>
        <w:t>0,9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niższy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niż przed rokiem o </w:t>
      </w:r>
      <w:r w:rsidR="00863079">
        <w:rPr>
          <w:rFonts w:ascii="Fira Sans" w:eastAsiaTheme="minorHAnsi" w:hAnsi="Fira Sans" w:cstheme="minorBidi"/>
          <w:bCs w:val="0"/>
          <w:color w:val="auto"/>
          <w:szCs w:val="22"/>
        </w:rPr>
        <w:t>1,7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D91890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zmniejszył się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 o </w:t>
      </w:r>
      <w:r w:rsidR="009F5EEC">
        <w:rPr>
          <w:rFonts w:ascii="Fira Sans" w:eastAsiaTheme="minorHAnsi" w:hAnsi="Fira Sans" w:cstheme="minorBidi"/>
          <w:bCs w:val="0"/>
          <w:color w:val="auto"/>
          <w:szCs w:val="22"/>
        </w:rPr>
        <w:t>1,2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D91890" w:rsidRPr="00EA3C86" w:rsidRDefault="00D91890" w:rsidP="00D9189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PKB za I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</w:t>
      </w:r>
      <w:r w:rsidR="00855093"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 w:rsidR="00855093">
        <w:rPr>
          <w:rFonts w:ascii="Fira Sans" w:eastAsiaTheme="minorHAnsi" w:hAnsi="Fira Sans" w:cstheme="minorBidi"/>
          <w:bCs w:val="0"/>
          <w:color w:val="auto"/>
          <w:szCs w:val="22"/>
        </w:rPr>
        <w:t>31</w:t>
      </w:r>
      <w:r w:rsidR="00F24127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0</w:t>
      </w:r>
      <w:r w:rsidR="00855093"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D07837" w:rsidRDefault="00D07837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3pt;margin-top:45.6pt;width:146.8pt;height:108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0B198F" w:rsidRPr="007913DB" w:rsidRDefault="000B198F" w:rsidP="00A35B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</w:t>
      </w:r>
      <w:r w:rsidR="00F61FB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5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54"/>
        <w:gridCol w:w="754"/>
        <w:gridCol w:w="755"/>
        <w:gridCol w:w="754"/>
        <w:gridCol w:w="755"/>
        <w:gridCol w:w="754"/>
        <w:gridCol w:w="755"/>
        <w:gridCol w:w="754"/>
        <w:gridCol w:w="755"/>
      </w:tblGrid>
      <w:tr w:rsidR="00F42125" w:rsidRPr="00D91890" w:rsidTr="00C36FB0">
        <w:trPr>
          <w:trHeight w:val="207"/>
        </w:trPr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:rsidR="00F42125" w:rsidRPr="00D91890" w:rsidRDefault="00F42125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17" w:type="dxa"/>
            <w:gridSpan w:val="4"/>
            <w:shd w:val="clear" w:color="auto" w:fill="auto"/>
            <w:noWrap/>
            <w:vAlign w:val="bottom"/>
            <w:hideMark/>
          </w:tcPr>
          <w:p w:rsidR="00F42125" w:rsidRPr="00D91890" w:rsidRDefault="00F42125" w:rsidP="00F421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18" w:type="dxa"/>
            <w:gridSpan w:val="4"/>
            <w:shd w:val="clear" w:color="auto" w:fill="auto"/>
            <w:vAlign w:val="bottom"/>
          </w:tcPr>
          <w:p w:rsidR="00F42125" w:rsidRPr="00D91890" w:rsidRDefault="00F42125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755" w:type="dxa"/>
            <w:shd w:val="clear" w:color="auto" w:fill="auto"/>
            <w:vAlign w:val="bottom"/>
          </w:tcPr>
          <w:p w:rsidR="00F42125" w:rsidRPr="00D91890" w:rsidRDefault="00F42125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D4585C" w:rsidRPr="00D91890" w:rsidTr="000B0C58">
        <w:trPr>
          <w:trHeight w:val="207"/>
        </w:trPr>
        <w:tc>
          <w:tcPr>
            <w:tcW w:w="1277" w:type="dxa"/>
            <w:vMerge/>
            <w:vAlign w:val="center"/>
            <w:hideMark/>
          </w:tcPr>
          <w:p w:rsidR="00D4585C" w:rsidRPr="00D91890" w:rsidRDefault="00D4585C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D91890" w:rsidRDefault="00D4585C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D91890" w:rsidRDefault="00D4585C" w:rsidP="000224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B12835" w:rsidRPr="00D91890" w:rsidTr="00B12835">
        <w:trPr>
          <w:trHeight w:val="207"/>
        </w:trPr>
        <w:tc>
          <w:tcPr>
            <w:tcW w:w="1277" w:type="dxa"/>
            <w:vMerge/>
            <w:vAlign w:val="center"/>
            <w:hideMark/>
          </w:tcPr>
          <w:p w:rsidR="00B12835" w:rsidRPr="00D91890" w:rsidRDefault="00B12835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gridSpan w:val="9"/>
          </w:tcPr>
          <w:p w:rsidR="00B12835" w:rsidRPr="00D91890" w:rsidRDefault="00B12835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D4585C" w:rsidRPr="00D91890" w:rsidTr="00D4585C">
        <w:trPr>
          <w:trHeight w:val="498"/>
        </w:trPr>
        <w:tc>
          <w:tcPr>
            <w:tcW w:w="1277" w:type="dxa"/>
            <w:shd w:val="clear" w:color="auto" w:fill="auto"/>
            <w:vAlign w:val="center"/>
            <w:hideMark/>
          </w:tcPr>
          <w:p w:rsidR="00D4585C" w:rsidRPr="00D91890" w:rsidRDefault="00D4585C" w:rsidP="00D458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4585C" w:rsidRPr="00D91890" w:rsidRDefault="00D4585C" w:rsidP="004F41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 w:rsidR="004F41C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4F41C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 w:rsidR="004F41C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D4585C" w:rsidRPr="00524A7D" w:rsidRDefault="00D4585C" w:rsidP="00B25B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B25B98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B25B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B25B98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B25B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B25B98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B25B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B25B98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B25B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B25B98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B25B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</w:t>
            </w:r>
            <w:r w:rsidR="00B25B98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B25B98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B25B98" w:rsidP="00D4585C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D4585C" w:rsidRPr="00D91890" w:rsidTr="00D4585C">
        <w:trPr>
          <w:trHeight w:val="499"/>
        </w:trPr>
        <w:tc>
          <w:tcPr>
            <w:tcW w:w="1277" w:type="dxa"/>
            <w:shd w:val="clear" w:color="auto" w:fill="auto"/>
            <w:vAlign w:val="center"/>
            <w:hideMark/>
          </w:tcPr>
          <w:p w:rsidR="00D4585C" w:rsidRPr="00D91890" w:rsidRDefault="00D4585C" w:rsidP="00D4585C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4585C" w:rsidRPr="00D91890" w:rsidRDefault="00D4585C" w:rsidP="004F41C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 w:rsidR="004F41C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  <w:r w:rsidR="004F41C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D4585C" w:rsidRPr="00524A7D" w:rsidRDefault="00D4585C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1B3E3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99,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91,0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107,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99,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1B3E3E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100,9</w:t>
            </w:r>
          </w:p>
        </w:tc>
      </w:tr>
      <w:tr w:rsidR="00D4585C" w:rsidRPr="00D91890" w:rsidTr="00D4585C">
        <w:trPr>
          <w:trHeight w:val="303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4585C" w:rsidRPr="00D91890" w:rsidRDefault="00D4585C" w:rsidP="00D458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4585C" w:rsidRPr="00524A7D" w:rsidRDefault="00190E9A" w:rsidP="00190E9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="00D4585C"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F455B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7A5017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2316A9" w:rsidP="00D458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D4585C" w:rsidRPr="00D91890" w:rsidTr="00B12835">
        <w:trPr>
          <w:trHeight w:val="228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4585C" w:rsidRPr="00D91890" w:rsidRDefault="00D4585C" w:rsidP="00D458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0" w:type="dxa"/>
            <w:gridSpan w:val="9"/>
          </w:tcPr>
          <w:p w:rsidR="00D4585C" w:rsidRPr="00524A7D" w:rsidRDefault="00D4585C" w:rsidP="00D458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9C5EE4" w:rsidRPr="00D91890" w:rsidTr="00D4585C">
        <w:trPr>
          <w:trHeight w:val="499"/>
        </w:trPr>
        <w:tc>
          <w:tcPr>
            <w:tcW w:w="1277" w:type="dxa"/>
            <w:shd w:val="clear" w:color="auto" w:fill="auto"/>
            <w:vAlign w:val="center"/>
            <w:hideMark/>
          </w:tcPr>
          <w:p w:rsidR="009C5EE4" w:rsidRPr="00D91890" w:rsidRDefault="009C5EE4" w:rsidP="009C5EE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C5EE4" w:rsidRPr="00D91890" w:rsidRDefault="009C5EE4" w:rsidP="009C5EE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22.04.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9C5EE4" w:rsidRPr="00524A7D" w:rsidRDefault="009C5EE4" w:rsidP="00DF7D6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DF7D6C" w:rsidRPr="00524A7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9C5EE4" w:rsidP="00DF7D6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DF7D6C" w:rsidRPr="00524A7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9C5EE4" w:rsidP="00DF7D6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DF7D6C" w:rsidRPr="00524A7D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DF7D6C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DF7D6C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DF7D6C" w:rsidRPr="00524A7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9C5EE4" w:rsidP="00DF7D6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DF7D6C" w:rsidRPr="00524A7D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DF7D6C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9C5EE4" w:rsidRPr="00D91890" w:rsidTr="00D4585C">
        <w:trPr>
          <w:trHeight w:val="499"/>
        </w:trPr>
        <w:tc>
          <w:tcPr>
            <w:tcW w:w="1277" w:type="dxa"/>
            <w:shd w:val="clear" w:color="auto" w:fill="auto"/>
            <w:vAlign w:val="center"/>
            <w:hideMark/>
          </w:tcPr>
          <w:p w:rsidR="009C5EE4" w:rsidRPr="00D91890" w:rsidRDefault="009C5EE4" w:rsidP="009C5EE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C5EE4" w:rsidRPr="00D91890" w:rsidRDefault="009C5EE4" w:rsidP="009C5EE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05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9C5EE4" w:rsidRPr="00524A7D" w:rsidRDefault="009C5EE4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9C5EE4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9C5EE4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1B3E3E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1B3E3E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9C5EE4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9C5EE4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9C5EE4" w:rsidRPr="00524A7D" w:rsidRDefault="009C5EE4" w:rsidP="001B3E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1B3E3E" w:rsidRPr="00524A7D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C5EE4" w:rsidRPr="00524A7D" w:rsidRDefault="001B3E3E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98,3</w:t>
            </w:r>
          </w:p>
        </w:tc>
      </w:tr>
      <w:tr w:rsidR="00D4585C" w:rsidRPr="00D91890" w:rsidTr="002316A9">
        <w:trPr>
          <w:trHeight w:val="303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4585C" w:rsidRPr="00D91890" w:rsidRDefault="00D4585C" w:rsidP="00D458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D4585C" w:rsidP="00D458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4585C" w:rsidRPr="00524A7D" w:rsidRDefault="001B3E3E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85C" w:rsidRPr="00524A7D" w:rsidRDefault="000224A3" w:rsidP="002316A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0224A3" w:rsidRDefault="000224A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9D2B62" w:rsidRDefault="009D2B62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9D2B62" w:rsidRDefault="009D2B62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9D2B62" w:rsidRDefault="009D2B62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lastRenderedPageBreak/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AC2919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202F0F" w:rsidRDefault="00202F0F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752"/>
        <w:gridCol w:w="752"/>
        <w:gridCol w:w="752"/>
        <w:gridCol w:w="752"/>
        <w:gridCol w:w="752"/>
        <w:gridCol w:w="752"/>
        <w:gridCol w:w="752"/>
        <w:gridCol w:w="752"/>
        <w:gridCol w:w="753"/>
      </w:tblGrid>
      <w:tr w:rsidR="009C5EE4" w:rsidRPr="00202F0F" w:rsidTr="00497120">
        <w:trPr>
          <w:trHeight w:val="207"/>
        </w:trPr>
        <w:tc>
          <w:tcPr>
            <w:tcW w:w="1298" w:type="dxa"/>
            <w:vMerge w:val="restart"/>
            <w:shd w:val="clear" w:color="auto" w:fill="auto"/>
            <w:noWrap/>
            <w:vAlign w:val="center"/>
            <w:hideMark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08" w:type="dxa"/>
            <w:gridSpan w:val="4"/>
            <w:shd w:val="clear" w:color="auto" w:fill="auto"/>
            <w:noWrap/>
            <w:vAlign w:val="bottom"/>
          </w:tcPr>
          <w:p w:rsidR="009C5EE4" w:rsidRPr="00202F0F" w:rsidRDefault="002316A9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3008" w:type="dxa"/>
            <w:gridSpan w:val="4"/>
            <w:shd w:val="clear" w:color="auto" w:fill="auto"/>
            <w:vAlign w:val="bottom"/>
          </w:tcPr>
          <w:p w:rsidR="009C5EE4" w:rsidRPr="00202F0F" w:rsidRDefault="002316A9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C5EE4" w:rsidRPr="00202F0F" w:rsidRDefault="002316A9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9C5EE4" w:rsidRPr="00202F0F" w:rsidTr="009C5EE4">
        <w:trPr>
          <w:trHeight w:val="207"/>
        </w:trPr>
        <w:tc>
          <w:tcPr>
            <w:tcW w:w="1298" w:type="dxa"/>
            <w:vMerge/>
            <w:vAlign w:val="center"/>
            <w:hideMark/>
          </w:tcPr>
          <w:p w:rsidR="009C5EE4" w:rsidRPr="00202F0F" w:rsidRDefault="009C5EE4" w:rsidP="00B128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202F0F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C5EE4" w:rsidRPr="00D91890" w:rsidRDefault="009C5EE4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B12835" w:rsidRPr="00202F0F" w:rsidTr="00DA5693">
        <w:trPr>
          <w:trHeight w:val="207"/>
        </w:trPr>
        <w:tc>
          <w:tcPr>
            <w:tcW w:w="1298" w:type="dxa"/>
            <w:vMerge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69" w:type="dxa"/>
            <w:gridSpan w:val="9"/>
            <w:shd w:val="clear" w:color="auto" w:fill="auto"/>
            <w:noWrap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524A7D" w:rsidRPr="00524A7D" w:rsidTr="009C5EE4">
        <w:trPr>
          <w:trHeight w:val="498"/>
        </w:trPr>
        <w:tc>
          <w:tcPr>
            <w:tcW w:w="1298" w:type="dxa"/>
            <w:shd w:val="clear" w:color="auto" w:fill="auto"/>
            <w:vAlign w:val="center"/>
            <w:hideMark/>
          </w:tcPr>
          <w:p w:rsidR="009C5EE4" w:rsidRPr="00D91890" w:rsidRDefault="009C5EE4" w:rsidP="009C5EE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C5EE4" w:rsidRPr="00D91890" w:rsidRDefault="009C5EE4" w:rsidP="009C5EE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22.04.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9C5EE4" w:rsidRPr="00524A7D" w:rsidRDefault="009C5EE4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2316A9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2316A9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2316A9" w:rsidRPr="00524A7D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 w:rsidR="002316A9" w:rsidRPr="00524A7D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2316A9" w:rsidP="009C5EE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2316A9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</w:t>
            </w:r>
            <w:r w:rsidR="002316A9"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C5EE4" w:rsidRPr="00524A7D" w:rsidRDefault="002316A9" w:rsidP="009C5EE4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524A7D" w:rsidRPr="00524A7D" w:rsidTr="009C5EE4">
        <w:trPr>
          <w:trHeight w:val="499"/>
        </w:trPr>
        <w:tc>
          <w:tcPr>
            <w:tcW w:w="1298" w:type="dxa"/>
            <w:shd w:val="clear" w:color="auto" w:fill="auto"/>
            <w:vAlign w:val="center"/>
            <w:hideMark/>
          </w:tcPr>
          <w:p w:rsidR="002316A9" w:rsidRPr="00D91890" w:rsidRDefault="002316A9" w:rsidP="002316A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2316A9" w:rsidRPr="00D91890" w:rsidRDefault="002316A9" w:rsidP="002316A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05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316A9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316A9" w:rsidRPr="00524A7D" w:rsidRDefault="009F5EEC" w:rsidP="002316A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98,8</w:t>
            </w:r>
          </w:p>
        </w:tc>
      </w:tr>
      <w:tr w:rsidR="00524A7D" w:rsidRPr="00524A7D" w:rsidTr="009C5EE4">
        <w:trPr>
          <w:trHeight w:val="303"/>
        </w:trPr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9C5EE4" w:rsidRPr="00202F0F" w:rsidRDefault="009C5EE4" w:rsidP="009C5EE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9C5EE4" w:rsidP="009C5EE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C5EE4" w:rsidRPr="00524A7D" w:rsidRDefault="002316A9" w:rsidP="002316A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C5EE4" w:rsidRPr="00524A7D" w:rsidRDefault="009F5EEC" w:rsidP="009C5EE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</w:tbl>
    <w:p w:rsidR="00024330" w:rsidRDefault="00024330" w:rsidP="0025437A">
      <w:pPr>
        <w:pStyle w:val="tytuwykresu"/>
        <w:spacing w:before="240"/>
        <w:rPr>
          <w:szCs w:val="18"/>
        </w:rPr>
      </w:pPr>
    </w:p>
    <w:p w:rsidR="00DD1376" w:rsidRDefault="00E41752" w:rsidP="0025437A">
      <w:pPr>
        <w:pStyle w:val="tytuwykresu"/>
        <w:spacing w:before="240"/>
        <w:rPr>
          <w:szCs w:val="18"/>
          <w:shd w:val="clear" w:color="auto" w:fill="FFFFFF"/>
        </w:rPr>
      </w:pPr>
      <w:r w:rsidRPr="00024330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-12446</wp:posOffset>
            </wp:positionH>
            <wp:positionV relativeFrom="paragraph">
              <wp:posOffset>457962</wp:posOffset>
            </wp:positionV>
            <wp:extent cx="5050790" cy="31134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464289" w:rsidRDefault="00464289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C6349B" w:rsidRDefault="006B41F3" w:rsidP="00A51423">
      <w:pPr>
        <w:pStyle w:val="tytuwykresu"/>
        <w:rPr>
          <w:szCs w:val="18"/>
          <w:shd w:val="clear" w:color="auto" w:fill="FFFFFF"/>
        </w:rPr>
      </w:pPr>
      <w:r w:rsidRPr="006B41F3"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-54864</wp:posOffset>
            </wp:positionH>
            <wp:positionV relativeFrom="paragraph">
              <wp:posOffset>360934</wp:posOffset>
            </wp:positionV>
            <wp:extent cx="5050800" cy="3009600"/>
            <wp:effectExtent l="0" t="0" r="0" b="63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0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52">
        <w:rPr>
          <w:szCs w:val="18"/>
        </w:rPr>
        <w:t>Wy</w:t>
      </w:r>
      <w:r w:rsidR="00470CEE" w:rsidRPr="00A26B34">
        <w:rPr>
          <w:szCs w:val="18"/>
        </w:rPr>
        <w:t>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464289" w:rsidRDefault="00464289" w:rsidP="000119F6">
      <w:pPr>
        <w:pStyle w:val="tytuwykresu"/>
        <w:spacing w:before="240"/>
        <w:rPr>
          <w:sz w:val="20"/>
          <w:szCs w:val="20"/>
        </w:rPr>
      </w:pPr>
    </w:p>
    <w:p w:rsidR="006B41F3" w:rsidRDefault="006B41F3" w:rsidP="000119F6">
      <w:pPr>
        <w:pStyle w:val="tytuwykresu"/>
        <w:spacing w:before="240"/>
        <w:rPr>
          <w:sz w:val="20"/>
          <w:szCs w:val="20"/>
        </w:rPr>
        <w:sectPr w:rsidR="006B41F3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5961E1" w:rsidRPr="005961E1" w:rsidRDefault="005961E1" w:rsidP="005961E1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5961E1" w:rsidRDefault="005961E1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0489F" w:rsidRDefault="004F6C6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B93745" w:rsidRPr="00B937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zaktualizowanego szacunku PKB według kwartałów za lata 2019-2020</w:t>
                              </w:r>
                            </w:hyperlink>
                          </w:p>
                          <w:p w:rsidR="00C63C2A" w:rsidRPr="00702585" w:rsidRDefault="00C63C2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4F6C6C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4F6C6C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4F6C6C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4F6C6C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p w:rsidR="0070489F" w:rsidRDefault="00B9374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"https://stat.gov.pl/obszary-tematyczne/rachunki-narodowe/kwartalne-rachunki-narodowe/informacja-glownego-urzedu-statystycznego-w-sprawie-zaktualizowanego-szacunku-pkb-wedlug-kwartalow-za-lata-2019-2020,8,9.html"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B9374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Informacja Głównego Urzędu Statystycznego w sprawie zaktualizowanego szacunku PKB według kwartałów za lata 2019-2020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  <w:bookmarkEnd w:id="1"/>
                    <w:p w:rsidR="00C63C2A" w:rsidRPr="00702585" w:rsidRDefault="00C63C2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B9374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B9374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B9374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B9374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25" w:rsidRDefault="00AA7D25" w:rsidP="000662E2">
      <w:pPr>
        <w:spacing w:after="0" w:line="240" w:lineRule="auto"/>
      </w:pPr>
      <w:r>
        <w:separator/>
      </w:r>
    </w:p>
  </w:endnote>
  <w:end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25" w:rsidRDefault="00AA7D25" w:rsidP="000662E2">
      <w:pPr>
        <w:spacing w:after="0" w:line="240" w:lineRule="auto"/>
      </w:pPr>
      <w:r>
        <w:separator/>
      </w:r>
    </w:p>
  </w:footnote>
  <w:foot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14" name="Obraz 1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pt;height:122.2pt;visibility:visible" o:bullet="t">
        <v:imagedata r:id="rId1" o:title=""/>
      </v:shape>
    </w:pict>
  </w:numPicBullet>
  <w:numPicBullet w:numPicBulletId="1">
    <w:pict>
      <v:shape id="_x0000_i1027" type="#_x0000_t75" style="width:122.7pt;height:122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174DF"/>
    <w:rsid w:val="000224A3"/>
    <w:rsid w:val="00024330"/>
    <w:rsid w:val="000257D2"/>
    <w:rsid w:val="000305FA"/>
    <w:rsid w:val="00033949"/>
    <w:rsid w:val="00034090"/>
    <w:rsid w:val="0004582E"/>
    <w:rsid w:val="000470AA"/>
    <w:rsid w:val="0004797B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8717F"/>
    <w:rsid w:val="00091E49"/>
    <w:rsid w:val="00091ED0"/>
    <w:rsid w:val="0009213C"/>
    <w:rsid w:val="00094689"/>
    <w:rsid w:val="000A4612"/>
    <w:rsid w:val="000B0460"/>
    <w:rsid w:val="000B0727"/>
    <w:rsid w:val="000B0C58"/>
    <w:rsid w:val="000B198F"/>
    <w:rsid w:val="000B5B6C"/>
    <w:rsid w:val="000B7FBD"/>
    <w:rsid w:val="000C04C3"/>
    <w:rsid w:val="000C135D"/>
    <w:rsid w:val="000C7470"/>
    <w:rsid w:val="000D139A"/>
    <w:rsid w:val="000D1D43"/>
    <w:rsid w:val="000D225C"/>
    <w:rsid w:val="000D2A5C"/>
    <w:rsid w:val="000D60C7"/>
    <w:rsid w:val="000E0918"/>
    <w:rsid w:val="000E3151"/>
    <w:rsid w:val="000E44A3"/>
    <w:rsid w:val="000E6618"/>
    <w:rsid w:val="000F069D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01D5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6A8C"/>
    <w:rsid w:val="001772B4"/>
    <w:rsid w:val="00185EB3"/>
    <w:rsid w:val="00190E9A"/>
    <w:rsid w:val="00194CC5"/>
    <w:rsid w:val="001951DA"/>
    <w:rsid w:val="001A0A55"/>
    <w:rsid w:val="001A71E8"/>
    <w:rsid w:val="001B363C"/>
    <w:rsid w:val="001B3E3E"/>
    <w:rsid w:val="001B6F2F"/>
    <w:rsid w:val="001C3269"/>
    <w:rsid w:val="001C617E"/>
    <w:rsid w:val="001C7694"/>
    <w:rsid w:val="001D1DB4"/>
    <w:rsid w:val="001D507D"/>
    <w:rsid w:val="001D754F"/>
    <w:rsid w:val="001D7AC4"/>
    <w:rsid w:val="001E04A6"/>
    <w:rsid w:val="001E1531"/>
    <w:rsid w:val="001E157A"/>
    <w:rsid w:val="001E27C7"/>
    <w:rsid w:val="001F658A"/>
    <w:rsid w:val="00200000"/>
    <w:rsid w:val="00202F0F"/>
    <w:rsid w:val="002073D4"/>
    <w:rsid w:val="00207F20"/>
    <w:rsid w:val="00211D42"/>
    <w:rsid w:val="00216A9E"/>
    <w:rsid w:val="00223A12"/>
    <w:rsid w:val="00224234"/>
    <w:rsid w:val="002276C7"/>
    <w:rsid w:val="002316A9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6069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A0498"/>
    <w:rsid w:val="002B036B"/>
    <w:rsid w:val="002B0472"/>
    <w:rsid w:val="002B6B12"/>
    <w:rsid w:val="002B7CEB"/>
    <w:rsid w:val="002C0941"/>
    <w:rsid w:val="002C7F9C"/>
    <w:rsid w:val="002D5657"/>
    <w:rsid w:val="002D6952"/>
    <w:rsid w:val="002E0ABC"/>
    <w:rsid w:val="002E0C25"/>
    <w:rsid w:val="002E1A06"/>
    <w:rsid w:val="002E22D7"/>
    <w:rsid w:val="002E6140"/>
    <w:rsid w:val="002E6985"/>
    <w:rsid w:val="002E71B6"/>
    <w:rsid w:val="002E7791"/>
    <w:rsid w:val="002F07BE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0549"/>
    <w:rsid w:val="0033203F"/>
    <w:rsid w:val="00332320"/>
    <w:rsid w:val="003344B0"/>
    <w:rsid w:val="0034013D"/>
    <w:rsid w:val="00344797"/>
    <w:rsid w:val="00347D72"/>
    <w:rsid w:val="003525BE"/>
    <w:rsid w:val="00357611"/>
    <w:rsid w:val="00363286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5DC0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01AC8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535"/>
    <w:rsid w:val="00463E39"/>
    <w:rsid w:val="00464289"/>
    <w:rsid w:val="004657FC"/>
    <w:rsid w:val="00470CEE"/>
    <w:rsid w:val="004722CA"/>
    <w:rsid w:val="004733F6"/>
    <w:rsid w:val="00474E69"/>
    <w:rsid w:val="00480622"/>
    <w:rsid w:val="004842A9"/>
    <w:rsid w:val="00484FD6"/>
    <w:rsid w:val="00487968"/>
    <w:rsid w:val="0049158F"/>
    <w:rsid w:val="004916D2"/>
    <w:rsid w:val="00492120"/>
    <w:rsid w:val="0049621B"/>
    <w:rsid w:val="00497A22"/>
    <w:rsid w:val="004A1D66"/>
    <w:rsid w:val="004B6486"/>
    <w:rsid w:val="004C1895"/>
    <w:rsid w:val="004C68E2"/>
    <w:rsid w:val="004C6B67"/>
    <w:rsid w:val="004C6D40"/>
    <w:rsid w:val="004C710C"/>
    <w:rsid w:val="004D0F4F"/>
    <w:rsid w:val="004D28C0"/>
    <w:rsid w:val="004D37DF"/>
    <w:rsid w:val="004D5D18"/>
    <w:rsid w:val="004D7B8F"/>
    <w:rsid w:val="004E1655"/>
    <w:rsid w:val="004F0C3C"/>
    <w:rsid w:val="004F41CF"/>
    <w:rsid w:val="004F43E5"/>
    <w:rsid w:val="004F63FC"/>
    <w:rsid w:val="004F6C6C"/>
    <w:rsid w:val="005026F8"/>
    <w:rsid w:val="00505A92"/>
    <w:rsid w:val="00505CA4"/>
    <w:rsid w:val="00512E9E"/>
    <w:rsid w:val="00514703"/>
    <w:rsid w:val="005203F1"/>
    <w:rsid w:val="00520C98"/>
    <w:rsid w:val="00520CEB"/>
    <w:rsid w:val="00521BC3"/>
    <w:rsid w:val="00524A7D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80F87"/>
    <w:rsid w:val="00590EEC"/>
    <w:rsid w:val="005916D7"/>
    <w:rsid w:val="005961E1"/>
    <w:rsid w:val="00596DD4"/>
    <w:rsid w:val="005A5879"/>
    <w:rsid w:val="005A698C"/>
    <w:rsid w:val="005B0FAA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5F6757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1EB1"/>
    <w:rsid w:val="00673C26"/>
    <w:rsid w:val="0067550F"/>
    <w:rsid w:val="00675EBF"/>
    <w:rsid w:val="006812AF"/>
    <w:rsid w:val="0068327D"/>
    <w:rsid w:val="00684DA0"/>
    <w:rsid w:val="00690893"/>
    <w:rsid w:val="00694AF0"/>
    <w:rsid w:val="00695E23"/>
    <w:rsid w:val="006A4133"/>
    <w:rsid w:val="006A59C7"/>
    <w:rsid w:val="006B0E9E"/>
    <w:rsid w:val="006B2ED9"/>
    <w:rsid w:val="006B41F3"/>
    <w:rsid w:val="006B5AE4"/>
    <w:rsid w:val="006D4054"/>
    <w:rsid w:val="006D49AB"/>
    <w:rsid w:val="006D71DA"/>
    <w:rsid w:val="006E02EC"/>
    <w:rsid w:val="006E7138"/>
    <w:rsid w:val="006F23A8"/>
    <w:rsid w:val="006F31DF"/>
    <w:rsid w:val="006F3896"/>
    <w:rsid w:val="00702585"/>
    <w:rsid w:val="0070489F"/>
    <w:rsid w:val="007211B1"/>
    <w:rsid w:val="00744EF4"/>
    <w:rsid w:val="00746187"/>
    <w:rsid w:val="00747BF9"/>
    <w:rsid w:val="00757AD3"/>
    <w:rsid w:val="0076024E"/>
    <w:rsid w:val="0076254F"/>
    <w:rsid w:val="00762600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169"/>
    <w:rsid w:val="007A2DC1"/>
    <w:rsid w:val="007A3CE4"/>
    <w:rsid w:val="007A4EF4"/>
    <w:rsid w:val="007A5017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5C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5093"/>
    <w:rsid w:val="00857C44"/>
    <w:rsid w:val="00863079"/>
    <w:rsid w:val="00864425"/>
    <w:rsid w:val="0086454A"/>
    <w:rsid w:val="008657C9"/>
    <w:rsid w:val="00867237"/>
    <w:rsid w:val="00873EE5"/>
    <w:rsid w:val="00875722"/>
    <w:rsid w:val="0088258A"/>
    <w:rsid w:val="008850E9"/>
    <w:rsid w:val="00886332"/>
    <w:rsid w:val="0089796A"/>
    <w:rsid w:val="008A26D9"/>
    <w:rsid w:val="008A7F5E"/>
    <w:rsid w:val="008B2700"/>
    <w:rsid w:val="008B5A4B"/>
    <w:rsid w:val="008C0C29"/>
    <w:rsid w:val="008C2D92"/>
    <w:rsid w:val="008C40E6"/>
    <w:rsid w:val="008C4144"/>
    <w:rsid w:val="008C459C"/>
    <w:rsid w:val="008D1E61"/>
    <w:rsid w:val="008D34C9"/>
    <w:rsid w:val="008D40A8"/>
    <w:rsid w:val="008D7821"/>
    <w:rsid w:val="008E0503"/>
    <w:rsid w:val="008E4D10"/>
    <w:rsid w:val="008E60E4"/>
    <w:rsid w:val="008F069B"/>
    <w:rsid w:val="008F20BA"/>
    <w:rsid w:val="008F2259"/>
    <w:rsid w:val="008F349D"/>
    <w:rsid w:val="008F3638"/>
    <w:rsid w:val="008F4F78"/>
    <w:rsid w:val="008F6F31"/>
    <w:rsid w:val="008F74DF"/>
    <w:rsid w:val="00901E40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954"/>
    <w:rsid w:val="009A6768"/>
    <w:rsid w:val="009A6D3F"/>
    <w:rsid w:val="009A6EA0"/>
    <w:rsid w:val="009C1335"/>
    <w:rsid w:val="009C1AB2"/>
    <w:rsid w:val="009C5EE4"/>
    <w:rsid w:val="009C7251"/>
    <w:rsid w:val="009D2B62"/>
    <w:rsid w:val="009D71C3"/>
    <w:rsid w:val="009E09F2"/>
    <w:rsid w:val="009E1E75"/>
    <w:rsid w:val="009E2E91"/>
    <w:rsid w:val="009E464B"/>
    <w:rsid w:val="009E5053"/>
    <w:rsid w:val="009E5D95"/>
    <w:rsid w:val="009E7EDA"/>
    <w:rsid w:val="009F0DDE"/>
    <w:rsid w:val="009F14CD"/>
    <w:rsid w:val="009F5EEC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1423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2835"/>
    <w:rsid w:val="00B14952"/>
    <w:rsid w:val="00B15F83"/>
    <w:rsid w:val="00B17153"/>
    <w:rsid w:val="00B21C47"/>
    <w:rsid w:val="00B25B98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2C99"/>
    <w:rsid w:val="00B93745"/>
    <w:rsid w:val="00B956EE"/>
    <w:rsid w:val="00B96F54"/>
    <w:rsid w:val="00BA2BA1"/>
    <w:rsid w:val="00BA5630"/>
    <w:rsid w:val="00BB18E8"/>
    <w:rsid w:val="00BB2D93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160C6"/>
    <w:rsid w:val="00C22105"/>
    <w:rsid w:val="00C244B6"/>
    <w:rsid w:val="00C258AE"/>
    <w:rsid w:val="00C268E1"/>
    <w:rsid w:val="00C26EAE"/>
    <w:rsid w:val="00C32A26"/>
    <w:rsid w:val="00C3702F"/>
    <w:rsid w:val="00C4120D"/>
    <w:rsid w:val="00C6349B"/>
    <w:rsid w:val="00C63C2A"/>
    <w:rsid w:val="00C6453E"/>
    <w:rsid w:val="00C64A37"/>
    <w:rsid w:val="00C700EB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0F03"/>
    <w:rsid w:val="00D02F66"/>
    <w:rsid w:val="00D07837"/>
    <w:rsid w:val="00D11F3C"/>
    <w:rsid w:val="00D17F72"/>
    <w:rsid w:val="00D261A2"/>
    <w:rsid w:val="00D26890"/>
    <w:rsid w:val="00D26E8E"/>
    <w:rsid w:val="00D30974"/>
    <w:rsid w:val="00D33F1F"/>
    <w:rsid w:val="00D34816"/>
    <w:rsid w:val="00D43DCB"/>
    <w:rsid w:val="00D447C8"/>
    <w:rsid w:val="00D4585C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1890"/>
    <w:rsid w:val="00D94EED"/>
    <w:rsid w:val="00D96026"/>
    <w:rsid w:val="00DA491E"/>
    <w:rsid w:val="00DA5693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DF4B40"/>
    <w:rsid w:val="00DF7D6C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37B29"/>
    <w:rsid w:val="00E41752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3609"/>
    <w:rsid w:val="00EB4340"/>
    <w:rsid w:val="00EB556D"/>
    <w:rsid w:val="00EB5A7D"/>
    <w:rsid w:val="00EC121C"/>
    <w:rsid w:val="00ED0A8D"/>
    <w:rsid w:val="00ED3432"/>
    <w:rsid w:val="00ED393B"/>
    <w:rsid w:val="00ED48D1"/>
    <w:rsid w:val="00ED55C0"/>
    <w:rsid w:val="00ED682B"/>
    <w:rsid w:val="00ED7633"/>
    <w:rsid w:val="00EE1EE2"/>
    <w:rsid w:val="00EE41D5"/>
    <w:rsid w:val="00EF092D"/>
    <w:rsid w:val="00EF46A9"/>
    <w:rsid w:val="00F037A4"/>
    <w:rsid w:val="00F078E6"/>
    <w:rsid w:val="00F11C14"/>
    <w:rsid w:val="00F17FD0"/>
    <w:rsid w:val="00F24127"/>
    <w:rsid w:val="00F27C8F"/>
    <w:rsid w:val="00F32749"/>
    <w:rsid w:val="00F37172"/>
    <w:rsid w:val="00F42125"/>
    <w:rsid w:val="00F4477E"/>
    <w:rsid w:val="00F455BC"/>
    <w:rsid w:val="00F476E2"/>
    <w:rsid w:val="00F54E8C"/>
    <w:rsid w:val="00F55318"/>
    <w:rsid w:val="00F61FB7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3E5C"/>
    <w:rsid w:val="00F94B40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2E9B"/>
    <w:rsid w:val="00FC36FB"/>
    <w:rsid w:val="00FD0C1E"/>
    <w:rsid w:val="00FD1E5B"/>
    <w:rsid w:val="00FD37CD"/>
    <w:rsid w:val="00FD5EA7"/>
    <w:rsid w:val="00FE310F"/>
    <w:rsid w:val="00FF09C7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9-2020,8,9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F7D8F-CE78-49D0-9A10-DC5F0D82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2021-05-13T07:40:00Z</cp:lastPrinted>
  <dcterms:created xsi:type="dcterms:W3CDTF">2020-08-12T17:29:00Z</dcterms:created>
  <dcterms:modified xsi:type="dcterms:W3CDTF">2021-05-13T13:13:00Z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