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5C4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5B3152">
                              <w:rPr>
                                <w:rFonts w:ascii="Fira Sans SemiBold" w:hAnsi="Fira Sans SemiBold"/>
                                <w:color w:val="001D77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.0</w:t>
                            </w:r>
                            <w:r w:rsidR="005B3152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05C46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5B3152">
                        <w:rPr>
                          <w:rFonts w:ascii="Fira Sans SemiBold" w:hAnsi="Fira Sans SemiBold"/>
                          <w:color w:val="001D77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.0</w:t>
                      </w:r>
                      <w:r w:rsidR="005B3152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Szybki szacunek</w:t>
      </w:r>
      <w:r w:rsidR="00D11F3C">
        <w:rPr>
          <w:rFonts w:cs="Arial"/>
          <w:szCs w:val="40"/>
        </w:rPr>
        <w:t xml:space="preserve"> produktu krajowego brutto za </w:t>
      </w:r>
      <w:r w:rsidR="00D11F3C">
        <w:rPr>
          <w:rFonts w:cs="Arial"/>
          <w:szCs w:val="40"/>
        </w:rPr>
        <w:br/>
      </w:r>
      <w:r w:rsidR="005B3152">
        <w:rPr>
          <w:rFonts w:cs="Arial"/>
          <w:szCs w:val="40"/>
        </w:rPr>
        <w:t>I</w:t>
      </w:r>
      <w:r w:rsidR="00D11F3C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kwartał</w:t>
      </w:r>
      <w:r w:rsidR="00805C46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</w:t>
      </w:r>
      <w:r w:rsidR="008C459C">
        <w:rPr>
          <w:rFonts w:cs="Arial"/>
          <w:szCs w:val="40"/>
        </w:rPr>
        <w:t>1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11F3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EA6D7B" wp14:editId="0576F7EE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657C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5B315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110,9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>I</w:t>
                            </w:r>
                            <w:r w:rsidR="005B3152">
                              <w:rPr>
                                <w:szCs w:val="20"/>
                              </w:rPr>
                              <w:t>I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</w:t>
                            </w:r>
                            <w:r w:rsidR="008C459C">
                              <w:rPr>
                                <w:szCs w:val="20"/>
                              </w:rPr>
                              <w:t>1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D11F3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EA6D7B" wp14:editId="0576F7EE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657C9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5B315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110,9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>I</w:t>
                      </w:r>
                      <w:r w:rsidR="005B3152">
                        <w:rPr>
                          <w:szCs w:val="20"/>
                        </w:rPr>
                        <w:t>I</w:t>
                      </w:r>
                      <w:r w:rsidR="00064AE0">
                        <w:rPr>
                          <w:szCs w:val="20"/>
                        </w:rPr>
                        <w:t xml:space="preserve">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</w:t>
                      </w:r>
                      <w:r w:rsidR="008C459C">
                        <w:rPr>
                          <w:szCs w:val="20"/>
                        </w:rPr>
                        <w:t>1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EB3F80">
        <w:t>I</w:t>
      </w:r>
      <w:r w:rsidR="00B6357D">
        <w:t>I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</w:t>
      </w:r>
      <w:r w:rsidR="008C459C">
        <w:t>1</w:t>
      </w:r>
      <w:r w:rsidR="00A67688">
        <w:t xml:space="preserve"> roku </w:t>
      </w:r>
      <w:r w:rsidR="008657C9">
        <w:t>z</w:t>
      </w:r>
      <w:r w:rsidR="005B3152">
        <w:t>większył</w:t>
      </w:r>
      <w:r w:rsidR="008657C9">
        <w:t xml:space="preserve"> się</w:t>
      </w:r>
      <w:r w:rsidR="0004797B">
        <w:t xml:space="preserve"> realnie </w:t>
      </w:r>
      <w:r w:rsidR="00A67688">
        <w:t xml:space="preserve">o </w:t>
      </w:r>
      <w:r w:rsidR="005B3152">
        <w:t>10,9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5B3152">
        <w:t>spadku</w:t>
      </w:r>
      <w:r w:rsidR="008657C9">
        <w:t xml:space="preserve"> </w:t>
      </w:r>
      <w:r w:rsidR="0004797B">
        <w:t xml:space="preserve">o </w:t>
      </w:r>
      <w:r w:rsidR="005B3152">
        <w:t>8,3</w:t>
      </w:r>
      <w:r w:rsidR="00363F24">
        <w:t>% w analogicznym okresie 20</w:t>
      </w:r>
      <w:r w:rsidR="008C459C">
        <w:t>20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5B3152" w:rsidRPr="00EA3C86" w:rsidRDefault="005B3152" w:rsidP="005B3152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5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wzrósł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realnie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1,9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wyższy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niż przed rokiem o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10,7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5B3152" w:rsidRDefault="005B3152" w:rsidP="005B3152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wzrósł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 o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10,9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5B3152" w:rsidRPr="00EA3C86" w:rsidRDefault="005B3152" w:rsidP="005B3152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za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I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31.08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1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5B3152" w:rsidRDefault="005B3152" w:rsidP="005B3152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5B3152" w:rsidRPr="000B7FBD" w:rsidRDefault="005B3152" w:rsidP="005B3152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4519D728" wp14:editId="0B5FED61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152" w:rsidRPr="007913DB" w:rsidRDefault="005B3152" w:rsidP="005B3152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5B3152" w:rsidRPr="001036E7" w:rsidRDefault="005B3152" w:rsidP="005B315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D728" id="_x0000_s1029" type="#_x0000_t202" style="position:absolute;left:0;text-align:left;margin-left:412.3pt;margin-top:45.6pt;width:146.8pt;height:108.8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5B3152" w:rsidRPr="007913DB" w:rsidRDefault="005B3152" w:rsidP="005B3152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5B3152" w:rsidRPr="001036E7" w:rsidRDefault="005B3152" w:rsidP="005B315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Tablica 1. PKB wyrównany sezonowo, ceny stałe przy roku odniesienia 201</w:t>
      </w:r>
      <w:r>
        <w:rPr>
          <w:rFonts w:ascii="Fira Sans" w:hAnsi="Fira Sans"/>
          <w:b/>
          <w:noProof/>
          <w:color w:val="auto"/>
          <w:spacing w:val="-2"/>
          <w:sz w:val="18"/>
          <w:szCs w:val="18"/>
        </w:rPr>
        <w:t>5</w:t>
      </w:r>
    </w:p>
    <w:p w:rsidR="005B3152" w:rsidRPr="001C7694" w:rsidRDefault="005B3152" w:rsidP="005B3152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667"/>
        <w:gridCol w:w="665"/>
        <w:gridCol w:w="666"/>
        <w:gridCol w:w="666"/>
        <w:gridCol w:w="666"/>
        <w:gridCol w:w="665"/>
        <w:gridCol w:w="666"/>
        <w:gridCol w:w="666"/>
        <w:gridCol w:w="666"/>
        <w:gridCol w:w="665"/>
      </w:tblGrid>
      <w:tr w:rsidR="005B3152" w:rsidRPr="00D91890" w:rsidTr="00655FA3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651" w:type="pct"/>
            <w:gridSpan w:val="4"/>
            <w:shd w:val="clear" w:color="auto" w:fill="auto"/>
            <w:noWrap/>
            <w:vAlign w:val="bottom"/>
            <w:hideMark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51" w:type="pct"/>
            <w:gridSpan w:val="4"/>
            <w:shd w:val="clear" w:color="auto" w:fill="auto"/>
            <w:vAlign w:val="bottom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25" w:type="pct"/>
            <w:gridSpan w:val="2"/>
            <w:shd w:val="clear" w:color="auto" w:fill="auto"/>
            <w:vAlign w:val="bottom"/>
          </w:tcPr>
          <w:p w:rsidR="005B3152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5B3152" w:rsidRPr="00D91890" w:rsidTr="00655FA3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2" w:type="pct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</w:tr>
      <w:tr w:rsidR="005B3152" w:rsidRPr="00D91890" w:rsidTr="00655FA3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0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5B3152" w:rsidRPr="00D91890" w:rsidTr="00655FA3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31.05.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412" w:type="pct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5B3152" w:rsidRPr="00D91890" w:rsidTr="00655FA3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08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107,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99,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2" w:type="pct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101,9</w:t>
            </w:r>
          </w:p>
        </w:tc>
      </w:tr>
      <w:tr w:rsidR="005B3152" w:rsidRPr="00D91890" w:rsidTr="00655FA3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-0,3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</w:t>
            </w: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+0,2</w:t>
            </w:r>
          </w:p>
        </w:tc>
        <w:tc>
          <w:tcPr>
            <w:tcW w:w="412" w:type="pct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5B3152" w:rsidRPr="00D91890" w:rsidTr="00655FA3">
        <w:trPr>
          <w:trHeight w:val="228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7" w:type="pct"/>
            <w:gridSpan w:val="10"/>
          </w:tcPr>
          <w:p w:rsidR="005B3152" w:rsidRPr="00524A7D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5B3152" w:rsidRPr="00D91890" w:rsidTr="00655FA3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31.05.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412" w:type="pct"/>
            <w:vAlign w:val="center"/>
          </w:tcPr>
          <w:p w:rsidR="005B3152" w:rsidRPr="00AF321C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F321C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5B3152" w:rsidRPr="00D91890" w:rsidTr="00655FA3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08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2" w:type="pct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110,7</w:t>
            </w:r>
          </w:p>
        </w:tc>
      </w:tr>
      <w:tr w:rsidR="005B3152" w:rsidRPr="00D91890" w:rsidTr="00655FA3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412" w:type="pct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</w:tbl>
    <w:p w:rsidR="005B3152" w:rsidRDefault="005B3152" w:rsidP="005B3152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5B3152" w:rsidRDefault="005B3152" w:rsidP="005B3152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lastRenderedPageBreak/>
        <w:t>Tablica 2. PKB niewyrównany sezonowo, ceny stałe średnioroczne roku poprzedniego</w:t>
      </w:r>
    </w:p>
    <w:p w:rsidR="005B3152" w:rsidRDefault="005B3152" w:rsidP="005B3152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5B3152" w:rsidRDefault="005B3152" w:rsidP="005B3152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65"/>
        <w:gridCol w:w="664"/>
        <w:gridCol w:w="666"/>
        <w:gridCol w:w="668"/>
        <w:gridCol w:w="666"/>
        <w:gridCol w:w="666"/>
        <w:gridCol w:w="666"/>
        <w:gridCol w:w="666"/>
        <w:gridCol w:w="666"/>
        <w:gridCol w:w="666"/>
      </w:tblGrid>
      <w:tr w:rsidR="005B3152" w:rsidRPr="00202F0F" w:rsidTr="00655FA3">
        <w:trPr>
          <w:trHeight w:val="207"/>
        </w:trPr>
        <w:tc>
          <w:tcPr>
            <w:tcW w:w="730" w:type="pct"/>
            <w:vMerge w:val="restart"/>
            <w:shd w:val="clear" w:color="auto" w:fill="auto"/>
            <w:noWrap/>
            <w:vAlign w:val="center"/>
            <w:hideMark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708" w:type="pct"/>
            <w:gridSpan w:val="4"/>
            <w:shd w:val="clear" w:color="auto" w:fill="auto"/>
            <w:noWrap/>
            <w:vAlign w:val="bottom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708" w:type="pct"/>
            <w:gridSpan w:val="4"/>
            <w:shd w:val="clear" w:color="auto" w:fill="auto"/>
            <w:vAlign w:val="bottom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855" w:type="pct"/>
            <w:gridSpan w:val="2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5B3152" w:rsidRPr="00202F0F" w:rsidTr="00655FA3">
        <w:trPr>
          <w:trHeight w:val="207"/>
        </w:trPr>
        <w:tc>
          <w:tcPr>
            <w:tcW w:w="730" w:type="pct"/>
            <w:vMerge/>
            <w:vAlign w:val="center"/>
            <w:hideMark/>
          </w:tcPr>
          <w:p w:rsidR="005B3152" w:rsidRPr="00202F0F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27" w:type="pct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B3152" w:rsidRPr="00D91890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5B3152" w:rsidRPr="00202F0F" w:rsidTr="00655FA3">
        <w:trPr>
          <w:trHeight w:val="207"/>
        </w:trPr>
        <w:tc>
          <w:tcPr>
            <w:tcW w:w="730" w:type="pct"/>
            <w:vMerge/>
            <w:vAlign w:val="center"/>
            <w:hideMark/>
          </w:tcPr>
          <w:p w:rsidR="005B3152" w:rsidRPr="00202F0F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43" w:type="pct"/>
            <w:gridSpan w:val="9"/>
            <w:shd w:val="clear" w:color="auto" w:fill="auto"/>
            <w:noWrap/>
            <w:vAlign w:val="center"/>
            <w:hideMark/>
          </w:tcPr>
          <w:p w:rsidR="005B3152" w:rsidRPr="00202F0F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5B3152" w:rsidRPr="00524A7D" w:rsidTr="00655FA3">
        <w:trPr>
          <w:trHeight w:val="498"/>
        </w:trPr>
        <w:tc>
          <w:tcPr>
            <w:tcW w:w="730" w:type="pct"/>
            <w:shd w:val="clear" w:color="auto" w:fill="auto"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31.05.</w:t>
            </w: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427" w:type="pct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contextualSpacing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B3152" w:rsidRPr="00EB5648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EB5648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-</w:t>
            </w:r>
          </w:p>
        </w:tc>
      </w:tr>
      <w:tr w:rsidR="005B3152" w:rsidRPr="00524A7D" w:rsidTr="00655FA3">
        <w:trPr>
          <w:trHeight w:val="499"/>
        </w:trPr>
        <w:tc>
          <w:tcPr>
            <w:tcW w:w="730" w:type="pct"/>
            <w:shd w:val="clear" w:color="auto" w:fill="auto"/>
            <w:vAlign w:val="center"/>
            <w:hideMark/>
          </w:tcPr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B3152" w:rsidRPr="00D91890" w:rsidRDefault="005B3152" w:rsidP="00655FA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13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08</w:t>
            </w: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427" w:type="pct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110,9</w:t>
            </w:r>
          </w:p>
        </w:tc>
      </w:tr>
      <w:tr w:rsidR="005B3152" w:rsidRPr="00524A7D" w:rsidTr="00655FA3">
        <w:trPr>
          <w:trHeight w:val="303"/>
        </w:trPr>
        <w:tc>
          <w:tcPr>
            <w:tcW w:w="730" w:type="pct"/>
            <w:shd w:val="clear" w:color="auto" w:fill="auto"/>
            <w:noWrap/>
            <w:vAlign w:val="center"/>
            <w:hideMark/>
          </w:tcPr>
          <w:p w:rsidR="005B3152" w:rsidRPr="00202F0F" w:rsidRDefault="005B3152" w:rsidP="00655FA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pct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B3152" w:rsidRPr="00524A7D" w:rsidRDefault="005B3152" w:rsidP="00655FA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</w:tbl>
    <w:p w:rsidR="00024330" w:rsidRDefault="00024330" w:rsidP="0025437A">
      <w:pPr>
        <w:pStyle w:val="tytuwykresu"/>
        <w:spacing w:before="240"/>
        <w:rPr>
          <w:szCs w:val="18"/>
        </w:rPr>
      </w:pPr>
    </w:p>
    <w:p w:rsidR="00DD1376" w:rsidRDefault="0099775E" w:rsidP="0025437A">
      <w:pPr>
        <w:pStyle w:val="tytuwykresu"/>
        <w:spacing w:before="240"/>
        <w:rPr>
          <w:szCs w:val="18"/>
          <w:shd w:val="clear" w:color="auto" w:fill="FFFFFF"/>
        </w:rPr>
      </w:pPr>
      <w:r w:rsidRPr="0099775E"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515781</wp:posOffset>
            </wp:positionV>
            <wp:extent cx="5050790" cy="31134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464289" w:rsidRDefault="00464289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C6349B" w:rsidRDefault="0099775E" w:rsidP="00A51423">
      <w:pPr>
        <w:pStyle w:val="tytuwykresu"/>
        <w:rPr>
          <w:szCs w:val="18"/>
          <w:shd w:val="clear" w:color="auto" w:fill="FFFFFF"/>
        </w:rPr>
      </w:pPr>
      <w:r w:rsidRPr="0099775E"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375446</wp:posOffset>
            </wp:positionV>
            <wp:extent cx="5050800" cy="3009600"/>
            <wp:effectExtent l="0" t="0" r="0" b="63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0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18"/>
        </w:rPr>
        <w:t>W</w:t>
      </w:r>
      <w:r w:rsidR="00E41752">
        <w:rPr>
          <w:szCs w:val="18"/>
        </w:rPr>
        <w:t>y</w:t>
      </w:r>
      <w:r w:rsidR="00470CEE" w:rsidRPr="00A26B34">
        <w:rPr>
          <w:szCs w:val="18"/>
        </w:rPr>
        <w:t>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6B41F3" w:rsidRDefault="006B41F3" w:rsidP="000119F6">
      <w:pPr>
        <w:pStyle w:val="tytuwykresu"/>
        <w:spacing w:before="240"/>
        <w:rPr>
          <w:sz w:val="20"/>
          <w:szCs w:val="20"/>
        </w:rPr>
      </w:pPr>
    </w:p>
    <w:p w:rsidR="0099775E" w:rsidRDefault="0099775E" w:rsidP="000119F6">
      <w:pPr>
        <w:pStyle w:val="tytuwykresu"/>
        <w:spacing w:before="240"/>
        <w:rPr>
          <w:sz w:val="20"/>
          <w:szCs w:val="20"/>
        </w:rPr>
        <w:sectPr w:rsidR="0099775E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5961E1" w:rsidRPr="005961E1" w:rsidRDefault="005961E1" w:rsidP="005961E1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5961E1" w:rsidRDefault="005961E1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3C2A" w:rsidRDefault="0060330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75250F" w:rsidRPr="0075250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Wstępny szacunek produktu krajowego brutto w I kwartale 2021 roku</w:t>
                              </w:r>
                            </w:hyperlink>
                          </w:p>
                          <w:p w:rsidR="0075250F" w:rsidRPr="00702585" w:rsidRDefault="0075250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60330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60330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60330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603306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C63C2A" w:rsidRDefault="0075250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Pr="0075250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Wstępny szacunek produktu krajowego brutto w I kwartale 2021 roku</w:t>
                        </w:r>
                      </w:hyperlink>
                    </w:p>
                    <w:p w:rsidR="0075250F" w:rsidRPr="00702585" w:rsidRDefault="0075250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EB3F80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EB3F80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EB3F80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EB3F80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25" w:rsidRDefault="00AA7D25" w:rsidP="000662E2">
      <w:pPr>
        <w:spacing w:after="0" w:line="240" w:lineRule="auto"/>
      </w:pPr>
      <w:r>
        <w:separator/>
      </w:r>
    </w:p>
  </w:endnote>
  <w:end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25" w:rsidRDefault="00AA7D25" w:rsidP="000662E2">
      <w:pPr>
        <w:spacing w:after="0" w:line="240" w:lineRule="auto"/>
      </w:pPr>
      <w:r>
        <w:separator/>
      </w:r>
    </w:p>
  </w:footnote>
  <w:foot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14" name="Obraz 1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22.5pt;visibility:visible" o:bullet="t">
        <v:imagedata r:id="rId1" o:title=""/>
      </v:shape>
    </w:pict>
  </w:numPicBullet>
  <w:numPicBullet w:numPicBulletId="1">
    <w:pict>
      <v:shape id="_x0000_i1027" type="#_x0000_t75" style="width:122.5pt;height:122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174DF"/>
    <w:rsid w:val="000224A3"/>
    <w:rsid w:val="00024330"/>
    <w:rsid w:val="000257D2"/>
    <w:rsid w:val="000305FA"/>
    <w:rsid w:val="00033949"/>
    <w:rsid w:val="00034090"/>
    <w:rsid w:val="0004582E"/>
    <w:rsid w:val="000470AA"/>
    <w:rsid w:val="0004797B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8717F"/>
    <w:rsid w:val="00091E49"/>
    <w:rsid w:val="00091ED0"/>
    <w:rsid w:val="0009213C"/>
    <w:rsid w:val="00094689"/>
    <w:rsid w:val="000A4612"/>
    <w:rsid w:val="000B0460"/>
    <w:rsid w:val="000B0727"/>
    <w:rsid w:val="000B0C58"/>
    <w:rsid w:val="000B198F"/>
    <w:rsid w:val="000B5B6C"/>
    <w:rsid w:val="000B7FBD"/>
    <w:rsid w:val="000C04C3"/>
    <w:rsid w:val="000C135D"/>
    <w:rsid w:val="000C7470"/>
    <w:rsid w:val="000D139A"/>
    <w:rsid w:val="000D1D43"/>
    <w:rsid w:val="000D225C"/>
    <w:rsid w:val="000D2A5C"/>
    <w:rsid w:val="000D60C7"/>
    <w:rsid w:val="000E0918"/>
    <w:rsid w:val="000E3151"/>
    <w:rsid w:val="000E44A3"/>
    <w:rsid w:val="000E6618"/>
    <w:rsid w:val="000F069D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01D5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6A8C"/>
    <w:rsid w:val="001772B4"/>
    <w:rsid w:val="00185EB3"/>
    <w:rsid w:val="00190E9A"/>
    <w:rsid w:val="00194CC5"/>
    <w:rsid w:val="001951DA"/>
    <w:rsid w:val="001A0A55"/>
    <w:rsid w:val="001A71E8"/>
    <w:rsid w:val="001B363C"/>
    <w:rsid w:val="001B3E3E"/>
    <w:rsid w:val="001B6F2F"/>
    <w:rsid w:val="001C3269"/>
    <w:rsid w:val="001C617E"/>
    <w:rsid w:val="001C7694"/>
    <w:rsid w:val="001D1DB4"/>
    <w:rsid w:val="001D507D"/>
    <w:rsid w:val="001D754F"/>
    <w:rsid w:val="001D7AC4"/>
    <w:rsid w:val="001E04A6"/>
    <w:rsid w:val="001E1531"/>
    <w:rsid w:val="001E157A"/>
    <w:rsid w:val="001E2032"/>
    <w:rsid w:val="001E27C7"/>
    <w:rsid w:val="001F658A"/>
    <w:rsid w:val="00200000"/>
    <w:rsid w:val="00202F0F"/>
    <w:rsid w:val="002073D4"/>
    <w:rsid w:val="00207F20"/>
    <w:rsid w:val="00211D42"/>
    <w:rsid w:val="00216A9E"/>
    <w:rsid w:val="00223A12"/>
    <w:rsid w:val="00224234"/>
    <w:rsid w:val="002276C7"/>
    <w:rsid w:val="002316A9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6069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A0498"/>
    <w:rsid w:val="002B036B"/>
    <w:rsid w:val="002B0472"/>
    <w:rsid w:val="002B6B12"/>
    <w:rsid w:val="002B7CEB"/>
    <w:rsid w:val="002C0941"/>
    <w:rsid w:val="002C7F9C"/>
    <w:rsid w:val="002D5657"/>
    <w:rsid w:val="002D6952"/>
    <w:rsid w:val="002E0ABC"/>
    <w:rsid w:val="002E0C25"/>
    <w:rsid w:val="002E1A06"/>
    <w:rsid w:val="002E22D7"/>
    <w:rsid w:val="002E6140"/>
    <w:rsid w:val="002E6985"/>
    <w:rsid w:val="002E71B6"/>
    <w:rsid w:val="002E7791"/>
    <w:rsid w:val="002F07BE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0549"/>
    <w:rsid w:val="0033203F"/>
    <w:rsid w:val="00332320"/>
    <w:rsid w:val="003344B0"/>
    <w:rsid w:val="0034013D"/>
    <w:rsid w:val="00344797"/>
    <w:rsid w:val="00347D72"/>
    <w:rsid w:val="003525BE"/>
    <w:rsid w:val="00357611"/>
    <w:rsid w:val="00363286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5DC0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01AC8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535"/>
    <w:rsid w:val="00463E39"/>
    <w:rsid w:val="00464289"/>
    <w:rsid w:val="004657FC"/>
    <w:rsid w:val="00470CEE"/>
    <w:rsid w:val="004722CA"/>
    <w:rsid w:val="004733F6"/>
    <w:rsid w:val="00474E69"/>
    <w:rsid w:val="00480622"/>
    <w:rsid w:val="004842A9"/>
    <w:rsid w:val="00484FD6"/>
    <w:rsid w:val="00487968"/>
    <w:rsid w:val="0049158F"/>
    <w:rsid w:val="004916D2"/>
    <w:rsid w:val="00492120"/>
    <w:rsid w:val="0049621B"/>
    <w:rsid w:val="00497A22"/>
    <w:rsid w:val="004A1D66"/>
    <w:rsid w:val="004B6486"/>
    <w:rsid w:val="004C1895"/>
    <w:rsid w:val="004C68E2"/>
    <w:rsid w:val="004C6B67"/>
    <w:rsid w:val="004C6D40"/>
    <w:rsid w:val="004C710C"/>
    <w:rsid w:val="004D0F4F"/>
    <w:rsid w:val="004D28C0"/>
    <w:rsid w:val="004D37DF"/>
    <w:rsid w:val="004D5D18"/>
    <w:rsid w:val="004D7B8F"/>
    <w:rsid w:val="004E1655"/>
    <w:rsid w:val="004F0C3C"/>
    <w:rsid w:val="004F41CF"/>
    <w:rsid w:val="004F43E5"/>
    <w:rsid w:val="004F63FC"/>
    <w:rsid w:val="005026F8"/>
    <w:rsid w:val="00505A92"/>
    <w:rsid w:val="00505CA4"/>
    <w:rsid w:val="00512E9E"/>
    <w:rsid w:val="00514703"/>
    <w:rsid w:val="005203F1"/>
    <w:rsid w:val="00520C98"/>
    <w:rsid w:val="00520CEB"/>
    <w:rsid w:val="00521BC3"/>
    <w:rsid w:val="00524A7D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80F87"/>
    <w:rsid w:val="00590EEC"/>
    <w:rsid w:val="005916D7"/>
    <w:rsid w:val="005961E1"/>
    <w:rsid w:val="00596DD4"/>
    <w:rsid w:val="005A5879"/>
    <w:rsid w:val="005A698C"/>
    <w:rsid w:val="005B0FAA"/>
    <w:rsid w:val="005B191F"/>
    <w:rsid w:val="005B1D5A"/>
    <w:rsid w:val="005B3152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5F6757"/>
    <w:rsid w:val="00601660"/>
    <w:rsid w:val="00602750"/>
    <w:rsid w:val="00603306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1EB1"/>
    <w:rsid w:val="00673C26"/>
    <w:rsid w:val="0067550F"/>
    <w:rsid w:val="00675EBF"/>
    <w:rsid w:val="006812AF"/>
    <w:rsid w:val="0068327D"/>
    <w:rsid w:val="00684DA0"/>
    <w:rsid w:val="00690893"/>
    <w:rsid w:val="00694AF0"/>
    <w:rsid w:val="00695E23"/>
    <w:rsid w:val="006A4133"/>
    <w:rsid w:val="006A59C7"/>
    <w:rsid w:val="006B0E9E"/>
    <w:rsid w:val="006B2ED9"/>
    <w:rsid w:val="006B41F3"/>
    <w:rsid w:val="006B5AE4"/>
    <w:rsid w:val="006D4054"/>
    <w:rsid w:val="006D49AB"/>
    <w:rsid w:val="006D71DA"/>
    <w:rsid w:val="006E02EC"/>
    <w:rsid w:val="006E7138"/>
    <w:rsid w:val="006F23A8"/>
    <w:rsid w:val="006F31DF"/>
    <w:rsid w:val="006F3896"/>
    <w:rsid w:val="00702585"/>
    <w:rsid w:val="0070489F"/>
    <w:rsid w:val="007211B1"/>
    <w:rsid w:val="00744EF4"/>
    <w:rsid w:val="00746187"/>
    <w:rsid w:val="00747BF9"/>
    <w:rsid w:val="0075250F"/>
    <w:rsid w:val="00757AD3"/>
    <w:rsid w:val="0076024E"/>
    <w:rsid w:val="0076254F"/>
    <w:rsid w:val="00762600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169"/>
    <w:rsid w:val="007A2DC1"/>
    <w:rsid w:val="007A3CE4"/>
    <w:rsid w:val="007A4EF4"/>
    <w:rsid w:val="007A5017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5C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5093"/>
    <w:rsid w:val="00857C44"/>
    <w:rsid w:val="00863079"/>
    <w:rsid w:val="00864425"/>
    <w:rsid w:val="0086454A"/>
    <w:rsid w:val="008657C9"/>
    <w:rsid w:val="00867237"/>
    <w:rsid w:val="00873EE5"/>
    <w:rsid w:val="00875722"/>
    <w:rsid w:val="0088258A"/>
    <w:rsid w:val="008850E9"/>
    <w:rsid w:val="00886332"/>
    <w:rsid w:val="0089796A"/>
    <w:rsid w:val="008A26D9"/>
    <w:rsid w:val="008A7F5E"/>
    <w:rsid w:val="008B2700"/>
    <w:rsid w:val="008B5A4B"/>
    <w:rsid w:val="008C0C29"/>
    <w:rsid w:val="008C2D92"/>
    <w:rsid w:val="008C40E6"/>
    <w:rsid w:val="008C4144"/>
    <w:rsid w:val="008C459C"/>
    <w:rsid w:val="008D1E61"/>
    <w:rsid w:val="008D34C9"/>
    <w:rsid w:val="008D40A8"/>
    <w:rsid w:val="008D7821"/>
    <w:rsid w:val="008E0503"/>
    <w:rsid w:val="008E4D10"/>
    <w:rsid w:val="008E60E4"/>
    <w:rsid w:val="008F069B"/>
    <w:rsid w:val="008F20BA"/>
    <w:rsid w:val="008F2259"/>
    <w:rsid w:val="008F349D"/>
    <w:rsid w:val="008F3638"/>
    <w:rsid w:val="008F4F78"/>
    <w:rsid w:val="008F6F31"/>
    <w:rsid w:val="008F74DF"/>
    <w:rsid w:val="00901E40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75E"/>
    <w:rsid w:val="00997954"/>
    <w:rsid w:val="009A6768"/>
    <w:rsid w:val="009A6D3F"/>
    <w:rsid w:val="009A6EA0"/>
    <w:rsid w:val="009C1335"/>
    <w:rsid w:val="009C1AB2"/>
    <w:rsid w:val="009C5EE4"/>
    <w:rsid w:val="009C7251"/>
    <w:rsid w:val="009D2B62"/>
    <w:rsid w:val="009D71C3"/>
    <w:rsid w:val="009E09F2"/>
    <w:rsid w:val="009E1E75"/>
    <w:rsid w:val="009E2E91"/>
    <w:rsid w:val="009E464B"/>
    <w:rsid w:val="009E5053"/>
    <w:rsid w:val="009E5D95"/>
    <w:rsid w:val="009E7EDA"/>
    <w:rsid w:val="009F0DDE"/>
    <w:rsid w:val="009F14CD"/>
    <w:rsid w:val="009F5EEC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1423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2835"/>
    <w:rsid w:val="00B14952"/>
    <w:rsid w:val="00B15F83"/>
    <w:rsid w:val="00B17153"/>
    <w:rsid w:val="00B21C47"/>
    <w:rsid w:val="00B25B98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2C99"/>
    <w:rsid w:val="00B93745"/>
    <w:rsid w:val="00B956EE"/>
    <w:rsid w:val="00B96F54"/>
    <w:rsid w:val="00BA2BA1"/>
    <w:rsid w:val="00BA5630"/>
    <w:rsid w:val="00BB18E8"/>
    <w:rsid w:val="00BB2D93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160C6"/>
    <w:rsid w:val="00C22105"/>
    <w:rsid w:val="00C244B6"/>
    <w:rsid w:val="00C258AE"/>
    <w:rsid w:val="00C268E1"/>
    <w:rsid w:val="00C26EAE"/>
    <w:rsid w:val="00C32A26"/>
    <w:rsid w:val="00C3702F"/>
    <w:rsid w:val="00C4120D"/>
    <w:rsid w:val="00C6349B"/>
    <w:rsid w:val="00C63C2A"/>
    <w:rsid w:val="00C6453E"/>
    <w:rsid w:val="00C64A37"/>
    <w:rsid w:val="00C700EB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6E54"/>
    <w:rsid w:val="00CF4099"/>
    <w:rsid w:val="00CF76C3"/>
    <w:rsid w:val="00D00038"/>
    <w:rsid w:val="00D00796"/>
    <w:rsid w:val="00D00F03"/>
    <w:rsid w:val="00D02F66"/>
    <w:rsid w:val="00D07837"/>
    <w:rsid w:val="00D11F3C"/>
    <w:rsid w:val="00D17F72"/>
    <w:rsid w:val="00D261A2"/>
    <w:rsid w:val="00D26890"/>
    <w:rsid w:val="00D26E8E"/>
    <w:rsid w:val="00D30974"/>
    <w:rsid w:val="00D33F1F"/>
    <w:rsid w:val="00D34816"/>
    <w:rsid w:val="00D43DCB"/>
    <w:rsid w:val="00D447C8"/>
    <w:rsid w:val="00D4585C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1890"/>
    <w:rsid w:val="00D94EED"/>
    <w:rsid w:val="00D96026"/>
    <w:rsid w:val="00DA491E"/>
    <w:rsid w:val="00DA5693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DF4B40"/>
    <w:rsid w:val="00DF7D6C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37B29"/>
    <w:rsid w:val="00E41752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3609"/>
    <w:rsid w:val="00EB3F80"/>
    <w:rsid w:val="00EB4340"/>
    <w:rsid w:val="00EB556D"/>
    <w:rsid w:val="00EB5A7D"/>
    <w:rsid w:val="00EC121C"/>
    <w:rsid w:val="00ED0A8D"/>
    <w:rsid w:val="00ED3432"/>
    <w:rsid w:val="00ED393B"/>
    <w:rsid w:val="00ED48D1"/>
    <w:rsid w:val="00ED55C0"/>
    <w:rsid w:val="00ED682B"/>
    <w:rsid w:val="00ED7633"/>
    <w:rsid w:val="00EE1EE2"/>
    <w:rsid w:val="00EE41D5"/>
    <w:rsid w:val="00EF092D"/>
    <w:rsid w:val="00EF46A9"/>
    <w:rsid w:val="00F037A4"/>
    <w:rsid w:val="00F078E6"/>
    <w:rsid w:val="00F11C14"/>
    <w:rsid w:val="00F17FD0"/>
    <w:rsid w:val="00F24127"/>
    <w:rsid w:val="00F27C8F"/>
    <w:rsid w:val="00F32749"/>
    <w:rsid w:val="00F37172"/>
    <w:rsid w:val="00F42125"/>
    <w:rsid w:val="00F4477E"/>
    <w:rsid w:val="00F455BC"/>
    <w:rsid w:val="00F476E2"/>
    <w:rsid w:val="00F54E8C"/>
    <w:rsid w:val="00F55318"/>
    <w:rsid w:val="00F61FB7"/>
    <w:rsid w:val="00F623B5"/>
    <w:rsid w:val="00F67460"/>
    <w:rsid w:val="00F67D8F"/>
    <w:rsid w:val="00F728FF"/>
    <w:rsid w:val="00F802BE"/>
    <w:rsid w:val="00F86024"/>
    <w:rsid w:val="00F8611A"/>
    <w:rsid w:val="00F92945"/>
    <w:rsid w:val="00F92D05"/>
    <w:rsid w:val="00F92FFC"/>
    <w:rsid w:val="00F93E5C"/>
    <w:rsid w:val="00F94B40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2E9B"/>
    <w:rsid w:val="00FC36FB"/>
    <w:rsid w:val="00FD0C1E"/>
    <w:rsid w:val="00FD1E5B"/>
    <w:rsid w:val="00FD37CD"/>
    <w:rsid w:val="00FD5EA7"/>
    <w:rsid w:val="00FE310F"/>
    <w:rsid w:val="00FF09C7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rachunki-narodowe/kwartalne-rachunki-narodowe/wstepny-szacunek-produktu-krajowego-brutto-w-i-kwartale-2021-roku,3,7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wstepny-szacunek-produktu-krajowego-brutto-w-i-kwartale-2021-roku,3,75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A311E-7129-461D-A09D-BABC70B1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Brodawka Małgorzata</cp:lastModifiedBy>
  <cp:revision>115</cp:revision>
  <cp:lastPrinted>2021-08-12T08:35:00Z</cp:lastPrinted>
  <dcterms:created xsi:type="dcterms:W3CDTF">2020-08-12T17:29:00Z</dcterms:created>
  <dcterms:modified xsi:type="dcterms:W3CDTF">2021-08-12T08:56:00Z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