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drawings/drawing19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8577" w14:textId="77777777" w:rsidR="00764D9C" w:rsidRPr="008A0C4A" w:rsidRDefault="00764D9C" w:rsidP="00764D9C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shd w:val="clear" w:color="auto" w:fill="FFFFFF"/>
          <w:lang w:eastAsia="pl-PL"/>
        </w:rPr>
      </w:pPr>
      <w:bookmarkStart w:id="0" w:name="_Hlk70594064"/>
      <w:bookmarkEnd w:id="0"/>
      <w:r w:rsidRPr="008A0C4A">
        <w:rPr>
          <w:shd w:val="clear" w:color="auto" w:fill="FFFFFF"/>
        </w:rPr>
        <w:t>Sytu</w:t>
      </w:r>
      <w:r w:rsidR="00FA025A" w:rsidRPr="008A0C4A">
        <w:rPr>
          <w:shd w:val="clear" w:color="auto" w:fill="FFFFFF"/>
        </w:rPr>
        <w:t>acja gospodarstw domowych w 20</w:t>
      </w:r>
      <w:r w:rsidR="00D951E1">
        <w:rPr>
          <w:shd w:val="clear" w:color="auto" w:fill="FFFFFF"/>
        </w:rPr>
        <w:t>20</w:t>
      </w:r>
      <w:r w:rsidRPr="008A0C4A">
        <w:rPr>
          <w:shd w:val="clear" w:color="auto" w:fill="FFFFFF"/>
        </w:rPr>
        <w:t xml:space="preserve"> r. w świetle wyników badania budżetów gospodarstw domowych</w:t>
      </w:r>
      <w:r w:rsidRPr="008A0C4A">
        <w:rPr>
          <w:rFonts w:ascii="Fira Sans" w:hAnsi="Fira Sans"/>
          <w:b/>
          <w:noProof/>
          <w:color w:val="212492"/>
          <w:spacing w:val="-2"/>
          <w:sz w:val="19"/>
          <w:szCs w:val="19"/>
          <w:shd w:val="clear" w:color="auto" w:fill="FFFFFF"/>
          <w:lang w:eastAsia="pl-PL"/>
        </w:rPr>
        <w:t xml:space="preserve"> </w:t>
      </w:r>
    </w:p>
    <w:p w14:paraId="3FEE138D" w14:textId="770D3F4D" w:rsidR="00764D9C" w:rsidRPr="003B33FE" w:rsidRDefault="00117F74" w:rsidP="00764D9C">
      <w:pPr>
        <w:pStyle w:val="tytuinformacji"/>
        <w:rPr>
          <w:i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7CA83147" wp14:editId="1AEEA35F">
                <wp:simplePos x="0" y="0"/>
                <wp:positionH relativeFrom="column">
                  <wp:posOffset>5219700</wp:posOffset>
                </wp:positionH>
                <wp:positionV relativeFrom="paragraph">
                  <wp:posOffset>328930</wp:posOffset>
                </wp:positionV>
                <wp:extent cx="1725295" cy="2838450"/>
                <wp:effectExtent l="0" t="0" r="0" b="0"/>
                <wp:wrapTight wrapText="bothSides">
                  <wp:wrapPolygon edited="0">
                    <wp:start x="715" y="0"/>
                    <wp:lineTo x="715" y="21455"/>
                    <wp:lineTo x="20749" y="21455"/>
                    <wp:lineTo x="20749" y="0"/>
                    <wp:lineTo x="715" y="0"/>
                  </wp:wrapPolygon>
                </wp:wrapTight>
                <wp:docPr id="227" name="Pole tekstow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83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4C408" w14:textId="7068AFCD" w:rsidR="00E913EA" w:rsidRDefault="00E913EA" w:rsidP="00764D9C">
                            <w:pPr>
                              <w:pStyle w:val="tekstzboku"/>
                            </w:pPr>
                            <w:r w:rsidRPr="001D2DE7">
                              <w:t>W 20</w:t>
                            </w:r>
                            <w:r>
                              <w:t>20</w:t>
                            </w:r>
                            <w:r w:rsidRPr="001D2DE7">
                              <w:t xml:space="preserve"> r. </w:t>
                            </w:r>
                            <w:r>
                              <w:t xml:space="preserve">nieznacznie </w:t>
                            </w:r>
                            <w:r w:rsidRPr="001D2DE7">
                              <w:t xml:space="preserve">poprawiła się sytuacja dochodowa gospodarstw </w:t>
                            </w:r>
                            <w:r w:rsidRPr="00AA20C0">
                              <w:t xml:space="preserve">domowych, jednak dynamika zmian </w:t>
                            </w:r>
                            <w:r>
                              <w:t>była niższa niż w roku poprzednim</w:t>
                            </w:r>
                          </w:p>
                          <w:p w14:paraId="7B2D4860" w14:textId="133E834A" w:rsidR="00E913EA" w:rsidRDefault="00E913EA" w:rsidP="00764D9C">
                            <w:pPr>
                              <w:pStyle w:val="tekstzboku"/>
                            </w:pPr>
                          </w:p>
                          <w:p w14:paraId="577D9945" w14:textId="3BF04F79" w:rsidR="00E913EA" w:rsidRPr="001D2DE7" w:rsidRDefault="00E913EA" w:rsidP="00764D9C">
                            <w:pPr>
                              <w:pStyle w:val="tekstzboku"/>
                            </w:pPr>
                            <w:r>
                              <w:t>Zmieniła się struktura i poziom wydatków w następstwie pandemii COVID-19 i związanych z nią ograniczeń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83147" id="_x0000_t202" coordsize="21600,21600" o:spt="202" path="m,l,21600r21600,l21600,xe">
                <v:stroke joinstyle="miter"/>
                <v:path gradientshapeok="t" o:connecttype="rect"/>
              </v:shapetype>
              <v:shape id="Pole tekstowe 227" o:spid="_x0000_s1026" type="#_x0000_t202" style="position:absolute;margin-left:411pt;margin-top:25.9pt;width:135.85pt;height:223.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6sEQIAAPwDAAAOAAAAZHJzL2Uyb0RvYy54bWysU9Fu2yAUfZ+0f0C8L068eEmskKpr12lS&#10;t1Xq9gEE4xgVuAxI7Ozre8FpGm1v0/yAwPfec+85HNZXg9HkIH1QYBmdTaaUSCugUXbH6M8fd++W&#10;lITIbcM1WMnoUQZ6tXn7Zt27WpbQgW6kJwhiQ907RrsYXV0UQXTS8DABJy0GW/CGRzz6XdF43iO6&#10;0UU5nX4oevCN8yBkCPj3dgzSTcZvWyni97YNMhLNKM4W8+rzuk1rsVnzeue565Q4jcH/YQrDlcWm&#10;Z6hbHjnZe/UXlFHCQ4A2TgSYAtpWCZk5IJvZ9A82jx13MnNBcYI7yxT+H6z4dnjwRDWMluWCEssN&#10;XtIDaEmifAoReklSAGXqXagx+9Fhfhw+woDXnSkHdw/iKRALNx23O3ntPfSd5A2OOUuVxUXpiBMS&#10;yLb/Cg124/sIGWhovUkaoioE0fG6jucrkkMkIrVclFW5qigRGCuX75fzKl9iweuXcudD/CzBkLRh&#10;1KMHMjw/3IeYxuH1S0rqZuFOaZ19oC3pGV1VZZULLiJGRbSpVobR5TR9o3ESy0+2ycWRKz3usYG2&#10;J9qJ6cg5DtsBE5MWW2iOKICH0Y74fHDTgf9NSY9WZDT82nMvKdFfLIq4ms3nybv5MK8WJR78ZWR7&#10;GeFWIBSjkZJxexOz30eu1yh2q7IMr5OcZkWLZXVOzyF5+PKcs14f7eYZAAD//wMAUEsDBBQABgAI&#10;AAAAIQAlw3114AAAAAsBAAAPAAAAZHJzL2Rvd25yZXYueG1sTI/LTsMwEEX3SP0Hayqxo3ZDC0nI&#10;pEIgtkWUh8TOjadJRDyOYrcJf193BcvRXN17TrGZbCdONPjWMcJyoUAQV860XCN8vL/cpCB80Gx0&#10;55gQfsnDppxdFTo3buQ3Ou1CLWIJ+1wjNCH0uZS+ashqv3A9cfwd3GB1iOdQSzPoMZbbTiZK3Umr&#10;W44Lje7pqaHqZ3e0CJ/bw/fXSr3Wz3bdj25Skm0mEa/n0+MDiEBT+AvDBT+iQxmZ9u7IxosOIU2S&#10;6BIQ1suocAmo7PYexB5hlaUpyLKQ/x3KMwAAAP//AwBQSwECLQAUAAYACAAAACEAtoM4kv4AAADh&#10;AQAAEwAAAAAAAAAAAAAAAAAAAAAAW0NvbnRlbnRfVHlwZXNdLnhtbFBLAQItABQABgAIAAAAIQA4&#10;/SH/1gAAAJQBAAALAAAAAAAAAAAAAAAAAC8BAABfcmVscy8ucmVsc1BLAQItABQABgAIAAAAIQCq&#10;Ql6sEQIAAPwDAAAOAAAAAAAAAAAAAAAAAC4CAABkcnMvZTJvRG9jLnhtbFBLAQItABQABgAIAAAA&#10;IQAlw3114AAAAAsBAAAPAAAAAAAAAAAAAAAAAGsEAABkcnMvZG93bnJldi54bWxQSwUGAAAAAAQA&#10;BADzAAAAeAUAAAAA&#10;" filled="f" stroked="f">
                <v:textbox>
                  <w:txbxContent>
                    <w:p w14:paraId="04B4C408" w14:textId="7068AFCD" w:rsidR="00E913EA" w:rsidRDefault="00E913EA" w:rsidP="00764D9C">
                      <w:pPr>
                        <w:pStyle w:val="tekstzboku"/>
                      </w:pPr>
                      <w:r w:rsidRPr="001D2DE7">
                        <w:t>W 20</w:t>
                      </w:r>
                      <w:r>
                        <w:t>20</w:t>
                      </w:r>
                      <w:r w:rsidRPr="001D2DE7">
                        <w:t xml:space="preserve"> r. </w:t>
                      </w:r>
                      <w:r>
                        <w:t xml:space="preserve">nieznacznie </w:t>
                      </w:r>
                      <w:r w:rsidRPr="001D2DE7">
                        <w:t xml:space="preserve">poprawiła się sytuacja dochodowa gospodarstw </w:t>
                      </w:r>
                      <w:r w:rsidRPr="00AA20C0">
                        <w:t xml:space="preserve">domowych, jednak dynamika zmian </w:t>
                      </w:r>
                      <w:r>
                        <w:t>była niższa niż w roku poprzednim</w:t>
                      </w:r>
                    </w:p>
                    <w:p w14:paraId="7B2D4860" w14:textId="133E834A" w:rsidR="00E913EA" w:rsidRDefault="00E913EA" w:rsidP="00764D9C">
                      <w:pPr>
                        <w:pStyle w:val="tekstzboku"/>
                      </w:pPr>
                    </w:p>
                    <w:p w14:paraId="577D9945" w14:textId="3BF04F79" w:rsidR="00E913EA" w:rsidRPr="001D2DE7" w:rsidRDefault="00E913EA" w:rsidP="00764D9C">
                      <w:pPr>
                        <w:pStyle w:val="tekstzboku"/>
                      </w:pPr>
                      <w:r>
                        <w:t>Zmieniła się struktura i poziom wydatków w następstwie pandemii COVID-19 i związanych z nią ograniczeń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70E296" w14:textId="5D58388D" w:rsidR="00764D9C" w:rsidRPr="00B246C8" w:rsidRDefault="00117F74" w:rsidP="00764D9C">
      <w:pPr>
        <w:pStyle w:val="LID"/>
        <w:rPr>
          <w:b w:val="0"/>
        </w:rPr>
      </w:pPr>
      <w:r w:rsidRPr="00B246C8"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5B7767C7" wp14:editId="1FAFA38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470660"/>
                <wp:effectExtent l="0" t="0" r="0" b="0"/>
                <wp:wrapSquare wrapText="bothSides"/>
                <wp:docPr id="226" name="Pole tekstow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706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CA37E" w14:textId="77777777" w:rsidR="00E913EA" w:rsidRPr="002D4EF9" w:rsidRDefault="00E913EA" w:rsidP="00764D9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i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BED034F" wp14:editId="1EA49DF5">
                                  <wp:extent cx="342900" cy="34290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0A48">
                              <w:rPr>
                                <w:i/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  <w:t>2,0</w:t>
                            </w:r>
                            <w:r w:rsidRPr="002D4EF9"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  <w:t>%</w:t>
                            </w:r>
                          </w:p>
                          <w:p w14:paraId="0E29147C" w14:textId="77777777" w:rsidR="00E913EA" w:rsidRPr="002D4EF9" w:rsidRDefault="00E913EA" w:rsidP="00764D9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2D4EF9">
                              <w:t>Realny wzrost przeciętnego miesięcznego dochodu rozporządzalnego na osobę w</w:t>
                            </w:r>
                            <w:r>
                              <w:t> gospodarstwach domowych w 2020</w:t>
                            </w:r>
                            <w:r w:rsidRPr="002D4EF9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767C7" id="Pole tekstowe 226" o:spid="_x0000_s1027" type="#_x0000_t202" style="position:absolute;margin-left:0;margin-top:6.55pt;width:2in;height:115.8pt;z-index:251799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NuKgIAACwEAAAOAAAAZHJzL2Uyb0RvYy54bWysU9uO2yAQfa/Uf0C8N3as3NaKs9om3arS&#10;tl1p2w/AGMdogaFAYqdf3wFns9H2raofEOMZDmfOHNa3g1bkKJyXYCo6neSUCMOhkWZf0Z8/7j+s&#10;KPGBmYYpMKKiJ+Hp7eb9u3VvS1FAB6oRjiCI8WVvK9qFYMss87wTmvkJWGEw2YLTLGDo9lnjWI/o&#10;WmVFni+yHlxjHXDhPf7djUm6SfhtK3j43rZeBKIqitxCWl1a67hmmzUr947ZTvIzDfYPLDSTBi+9&#10;QO1YYOTg5F9QWnIHHtow4aAzaFvJReoBu5nmb7p56pgVqRcUx9uLTP7/wfJvx0dHZFPRolhQYpjG&#10;IT2CEiSIZx+gFyQmUKbe+hKrnyzWh+EjDDju1LK3D8CfPTGw7ZjZizvnoO8Ea5DmNJ7Mro6OOD6C&#10;1P1XaPA2dgiQgIbW6aghqkIQHcd1uoxIDIHweOWqWK1yTHHMTWfLfLFIQ8xY+XLcOh8+C9Akbirq&#10;0AMJnh0ffIh0WPlSEm/zoGRzL5VKgdvXW+XIkUW/5NPdcpk6eFOmDOkrejMv5gnZQDyfrKRlQD8r&#10;qSuKNPEbHRbl+GSaVBKYVOMemShz1idKMooThnpIE0niRe1qaE4omIPRvvjccNOB+01Jj9atqP91&#10;YE5Qor4YFP1mOptFr6dgNl8WGLjrTH2dYYYjVEUDJeN2G9L7iHIYuMPhtDLJ9srkTBktmdQ8P5/o&#10;+es4Vb0+8s0fAAAA//8DAFBLAwQUAAYACAAAACEAjGvqY9wAAAAHAQAADwAAAGRycy9kb3ducmV2&#10;LnhtbEyPQU+EQAyF7yb+h0lNvLkDSJQgw8ZoOKjR6K4Xb12mApHpEGZ2F/+99aS39r3m9XvVenGj&#10;OtAcBs8G0lUCirj1duDOwPu2uShAhYhscfRMBr4pwLo+PamwtP7Ib3TYxE5JCIcSDfQxTqXWoe3J&#10;YVj5iVi8Tz87jLLOnbYzHiXcjTpLkivtcGD50ONEdz21X5u9M5CnL23xGj627J+brHm6R/cQHo05&#10;P1tub0BFWuLfMfziCzrUwrTze7ZBjQakSBT1MgUlblYUIuxkyPNr0HWl//PXPwAAAP//AwBQSwEC&#10;LQAUAAYACAAAACEAtoM4kv4AAADhAQAAEwAAAAAAAAAAAAAAAAAAAAAAW0NvbnRlbnRfVHlwZXNd&#10;LnhtbFBLAQItABQABgAIAAAAIQA4/SH/1gAAAJQBAAALAAAAAAAAAAAAAAAAAC8BAABfcmVscy8u&#10;cmVsc1BLAQItABQABgAIAAAAIQB2zmNuKgIAACwEAAAOAAAAAAAAAAAAAAAAAC4CAABkcnMvZTJv&#10;RG9jLnhtbFBLAQItABQABgAIAAAAIQCMa+pj3AAAAAcBAAAPAAAAAAAAAAAAAAAAAIQEAABkcnMv&#10;ZG93bnJldi54bWxQSwUGAAAAAAQABADzAAAAjQUAAAAA&#10;" fillcolor="#001d77" stroked="f">
                <v:textbox>
                  <w:txbxContent>
                    <w:p w14:paraId="634CA37E" w14:textId="77777777" w:rsidR="00E913EA" w:rsidRPr="002D4EF9" w:rsidRDefault="00E913EA" w:rsidP="00764D9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i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BED034F" wp14:editId="1EA49DF5">
                            <wp:extent cx="342900" cy="34290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0A48">
                        <w:rPr>
                          <w:i/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  <w:t>2,0</w:t>
                      </w:r>
                      <w:r w:rsidRPr="002D4EF9"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  <w:t>%</w:t>
                      </w:r>
                    </w:p>
                    <w:p w14:paraId="0E29147C" w14:textId="77777777" w:rsidR="00E913EA" w:rsidRPr="002D4EF9" w:rsidRDefault="00E913EA" w:rsidP="00764D9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2D4EF9">
                        <w:t>Realny wzrost przeciętnego miesięcznego dochodu rozporządzalnego na osobę w</w:t>
                      </w:r>
                      <w:r>
                        <w:t> gospodarstwach domowych w 2020</w:t>
                      </w:r>
                      <w:r w:rsidRPr="002D4EF9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1556" w:rsidRPr="00461556">
        <w:t>W 2020 r., sytuacja materialna gospodarstw domowych nieznacznie poprawiła się pomimo pandemii COVID-19</w:t>
      </w:r>
      <w:r w:rsidR="0012628A" w:rsidRPr="00B246C8">
        <w:rPr>
          <w:rStyle w:val="Odwoanieprzypisudolnego"/>
        </w:rPr>
        <w:footnoteReference w:id="1"/>
      </w:r>
      <w:r w:rsidR="00461556" w:rsidRPr="00461556">
        <w:t>, która miała znaczący wpływ zwłaszcza na poziom i</w:t>
      </w:r>
      <w:r w:rsidR="00C52D7B">
        <w:t> </w:t>
      </w:r>
      <w:r w:rsidR="00461556" w:rsidRPr="00461556">
        <w:t>strukturę wydatków. Gospodarstwa domowe osiągały wyższe dochody, ale w porównaniu z rokiem poprzednim zauważalnie mniej wydawały. Wydatki zmieniały się w</w:t>
      </w:r>
      <w:r w:rsidR="00461556">
        <w:t> </w:t>
      </w:r>
      <w:r w:rsidR="00461556" w:rsidRPr="00461556">
        <w:t>odpowiedzi na dynamikę pandemii i wynikające z niej ograniczenia. Poziom przeciętnego miesięcznego dochodu rozporządzalnego na osobę w zaokrągleniu do 1</w:t>
      </w:r>
      <w:r w:rsidR="00461556">
        <w:t> </w:t>
      </w:r>
      <w:r w:rsidR="00461556" w:rsidRPr="00461556">
        <w:t xml:space="preserve">zł wyniósł w 2020 r. 1919 zł i był realnie wyższy o 2,0% (nominalnie o 5,4%) od dochodu z 2019 r. Tym samym tendencja wzrostowa dochodu rozporządzalnego została zachowana, ale jej dynamika została spowolniona. Przeciętne miesięczne wydatki na 1 osobę w gospodarstwach domowych osiągnęły w 2020 r. wartość 1210 zł i były realnie niższe o 6,5% (nominalnie o 3,4%) od wydatków z 2019 r. Wydatki na towary i usługi konsumpcyjne wyniosły 1165 zł i były realnie niższe o 6,2% </w:t>
      </w:r>
      <w:r w:rsidR="00A73A97">
        <w:t xml:space="preserve">(nominalnie o 3,0%) </w:t>
      </w:r>
      <w:r w:rsidR="00461556" w:rsidRPr="00461556">
        <w:t>w</w:t>
      </w:r>
      <w:r w:rsidR="00461556">
        <w:t> </w:t>
      </w:r>
      <w:r w:rsidR="00461556" w:rsidRPr="00461556">
        <w:t>stosunku do 2019 r.</w:t>
      </w:r>
      <w:r w:rsidR="00742452" w:rsidRPr="00742452">
        <w:rPr>
          <w:rStyle w:val="Odwoanieprzypisudolnego"/>
          <w:color w:val="FFFFFF" w:themeColor="background1"/>
          <w:sz w:val="2"/>
          <w:szCs w:val="2"/>
        </w:rPr>
        <w:footnoteReference w:id="2"/>
      </w:r>
      <w:r w:rsidR="00461556" w:rsidRPr="00461556">
        <w:t xml:space="preserve"> Jednocześnie w porównaniu </w:t>
      </w:r>
      <w:r w:rsidR="00113DD1">
        <w:t>z</w:t>
      </w:r>
      <w:r w:rsidR="00461556" w:rsidRPr="00461556">
        <w:t xml:space="preserve"> 2019 r. wzrosły wydatki na żywność i</w:t>
      </w:r>
      <w:r w:rsidR="00461556">
        <w:t> </w:t>
      </w:r>
      <w:r w:rsidR="00461556" w:rsidRPr="00461556">
        <w:t>napoje bezalkoholowe oraz użytkowanie mieszkania i nośniki energii (które mają najwyższy udział w</w:t>
      </w:r>
      <w:r w:rsidR="00113DD1">
        <w:t> </w:t>
      </w:r>
      <w:r w:rsidR="00461556" w:rsidRPr="00461556">
        <w:t>strukturze wydatków)</w:t>
      </w:r>
      <w:r w:rsidR="00461556">
        <w:t xml:space="preserve">. </w:t>
      </w:r>
      <w:r w:rsidR="00461556" w:rsidRPr="00461556">
        <w:t>Zmiany te były uwarunkowane zmieniającą się dynamiką pandemii COVID-19 i związanymi z nią ograniczeniami.</w:t>
      </w:r>
    </w:p>
    <w:p w14:paraId="24B17095" w14:textId="77777777" w:rsidR="00764D9C" w:rsidRPr="00032877" w:rsidRDefault="00764D9C" w:rsidP="00764D9C">
      <w:pPr>
        <w:jc w:val="both"/>
      </w:pPr>
    </w:p>
    <w:p w14:paraId="4638C0AC" w14:textId="7CB82D25" w:rsidR="00764D9C" w:rsidRPr="003B33FE" w:rsidRDefault="00117F74" w:rsidP="00764D9C">
      <w:pPr>
        <w:spacing w:line="240" w:lineRule="auto"/>
        <w:rPr>
          <w:i/>
          <w:lang w:eastAsia="pl-PL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1" locked="0" layoutInCell="1" allowOverlap="1" wp14:anchorId="0ED52838" wp14:editId="6BE9A051">
                <wp:simplePos x="0" y="0"/>
                <wp:positionH relativeFrom="column">
                  <wp:posOffset>5218430</wp:posOffset>
                </wp:positionH>
                <wp:positionV relativeFrom="paragraph">
                  <wp:posOffset>1327150</wp:posOffset>
                </wp:positionV>
                <wp:extent cx="1725295" cy="1228725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224" name="Pole tekstow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E9B8" w14:textId="77777777" w:rsidR="00E913EA" w:rsidRPr="007758FD" w:rsidRDefault="00E913EA" w:rsidP="00764D9C">
                            <w:pPr>
                              <w:pStyle w:val="tekstzboku"/>
                            </w:pPr>
                            <w:r w:rsidRPr="007758FD">
                              <w:t>W latach 2004–20</w:t>
                            </w:r>
                            <w:r>
                              <w:t>20</w:t>
                            </w:r>
                            <w:r w:rsidRPr="007758FD">
                              <w:t xml:space="preserve"> sytuacja materialna gospodarstw domowych systematycznie poprawiała się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2838" id="Pole tekstowe 224" o:spid="_x0000_s1028" type="#_x0000_t202" style="position:absolute;margin-left:410.9pt;margin-top:104.5pt;width:135.85pt;height:96.75pt;z-index:-251505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5GEAIAAAMEAAAOAAAAZHJzL2Uyb0RvYy54bWysU1Fv0zAQfkfiP1h+p2mjlq1R02lsDCEN&#10;mDT4AVfHaazZPmO7Tcqv5+y0pRpviDxYvpz93X3ffV7dDEazvfRBoa35bDLlTFqBjbLbmv/4/vDu&#10;mrMQwTag0cqaH2TgN+u3b1a9q2SJHepGekYgNlS9q3kXo6uKIohOGggTdNJSskVvIFLot0XjoSd0&#10;o4tyOn1f9Ogb51HIEOjv/Zjk64zftlLEb20bZGS65tRbzKvP6yatxXoF1daD65Q4tgH/0IUBZano&#10;GeoeIrCdV39BGSU8BmzjRKApsG2VkJkDsZlNX7F57sDJzIXECe4sU/h/sOLr/skz1dS8LOecWTA0&#10;pCfUkkX5EiL2kqUEydS7UNHpZ0fn4/ABBxp3phzcI4qXwCzedWC38tZ77DsJDbU5SzeLi6sjTkgg&#10;m/4LNlQNdhEz0NB6kzQkVRih07gO5xHJITKRSl6Vi3K54ExQblaW1xTnGlCdrjsf4ieJhqVNzT15&#10;IMPD/jHE1A5UpyOpmsUHpXX2gbasr/lyQZCvMkZFsqlWpubX0/SNxkksP9omX46g9LinAtoeaSem&#10;I+c4bIZR6JOaG2wOpIPH0ZX0imjTof/FWU+OrHn4uQMvOdOfLWm5nM3nycI5mC+uSgr8ZWZzmQEr&#10;CKrmkbNxexez7Udit6R5q7IaaThjJ8eWyWlZpOOrSFa+jPOpP293/RsAAP//AwBQSwMEFAAGAAgA&#10;AAAhAHLwjLngAAAADAEAAA8AAABkcnMvZG93bnJldi54bWxMj81OwzAQhO9IfQdrK3GjdkODmpBN&#10;VRVxBVF+JG5uvE0i4nUUu014e9wTPY5mNPNNsZlsJ840+NYxwnKhQBBXzrRcI3y8P9+tQfig2ejO&#10;MSH8kodNObspdG7cyG903odaxBL2uUZoQuhzKX3VkNV+4Xri6B3dYHWIcqilGfQYy20nE6UepNUt&#10;x4VG97RrqPrZnyzC58vx+2ulXusnm/ajm5Rkm0nE2/m0fQQRaAr/YbjgR3QoI9PBndh40SGsk2VE&#10;DwiJyuKpS0Jl9ymIA8JKJSnIspDXJ8o/AAAA//8DAFBLAQItABQABgAIAAAAIQC2gziS/gAAAOEB&#10;AAATAAAAAAAAAAAAAAAAAAAAAABbQ29udGVudF9UeXBlc10ueG1sUEsBAi0AFAAGAAgAAAAhADj9&#10;If/WAAAAlAEAAAsAAAAAAAAAAAAAAAAALwEAAF9yZWxzLy5yZWxzUEsBAi0AFAAGAAgAAAAhACa6&#10;jkYQAgAAAwQAAA4AAAAAAAAAAAAAAAAALgIAAGRycy9lMm9Eb2MueG1sUEsBAi0AFAAGAAgAAAAh&#10;AHLwjLngAAAADAEAAA8AAAAAAAAAAAAAAAAAagQAAGRycy9kb3ducmV2LnhtbFBLBQYAAAAABAAE&#10;APMAAAB3BQAAAAA=&#10;" filled="f" stroked="f">
                <v:textbox>
                  <w:txbxContent>
                    <w:p w14:paraId="778EE9B8" w14:textId="77777777" w:rsidR="00E913EA" w:rsidRPr="007758FD" w:rsidRDefault="00E913EA" w:rsidP="00764D9C">
                      <w:pPr>
                        <w:pStyle w:val="tekstzboku"/>
                      </w:pPr>
                      <w:r w:rsidRPr="007758FD">
                        <w:t>W latach 2004–20</w:t>
                      </w:r>
                      <w:r>
                        <w:t>20</w:t>
                      </w:r>
                      <w:r w:rsidRPr="007758FD">
                        <w:t xml:space="preserve"> sytuacja materialna gospodarstw domowych systematycznie poprawiała się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51E1">
        <w:rPr>
          <w:noProof/>
          <w:lang w:eastAsia="pl-PL"/>
        </w:rPr>
        <w:drawing>
          <wp:inline distT="0" distB="0" distL="0" distR="0" wp14:anchorId="2274A78A" wp14:editId="2A81AF37">
            <wp:extent cx="5122545" cy="3096000"/>
            <wp:effectExtent l="0" t="0" r="1905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445756" w14:textId="576156B0" w:rsidR="00764D9C" w:rsidRDefault="00764D9C" w:rsidP="00764D9C">
      <w:pPr>
        <w:jc w:val="both"/>
        <w:rPr>
          <w:i/>
          <w:shd w:val="clear" w:color="auto" w:fill="FFFFFF"/>
        </w:rPr>
      </w:pPr>
    </w:p>
    <w:p w14:paraId="7AD73157" w14:textId="1B78BE89" w:rsidR="00764D9C" w:rsidRPr="00354F10" w:rsidRDefault="00117F74" w:rsidP="00764D9C">
      <w:pPr>
        <w:spacing w:before="240" w:line="240" w:lineRule="auto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3366AD7F" wp14:editId="1E3C40A8">
                <wp:simplePos x="0" y="0"/>
                <wp:positionH relativeFrom="column">
                  <wp:posOffset>5210175</wp:posOffset>
                </wp:positionH>
                <wp:positionV relativeFrom="paragraph">
                  <wp:posOffset>95250</wp:posOffset>
                </wp:positionV>
                <wp:extent cx="1725295" cy="2032000"/>
                <wp:effectExtent l="0" t="0" r="0" b="6350"/>
                <wp:wrapTight wrapText="bothSides">
                  <wp:wrapPolygon edited="0">
                    <wp:start x="715" y="0"/>
                    <wp:lineTo x="715" y="21465"/>
                    <wp:lineTo x="20749" y="21465"/>
                    <wp:lineTo x="20749" y="0"/>
                    <wp:lineTo x="715" y="0"/>
                  </wp:wrapPolygon>
                </wp:wrapTight>
                <wp:docPr id="223" name="Pole tekstow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BCEA9" w14:textId="20F7DF81" w:rsidR="00E913EA" w:rsidRPr="00B31DA4" w:rsidRDefault="00E913EA" w:rsidP="00903E4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D03EA">
                              <w:t>Gospodarstwa domowe pracujących na własny rachunek poza gospodarstwem rolnym dysponowały najwyższym przeciętnym miesięcznym dochodem rozporządzalnym na 1 osobę – 2</w:t>
                            </w:r>
                            <w:r>
                              <w:t>238</w:t>
                            </w:r>
                            <w:r w:rsidRPr="003D03EA">
                              <w:t xml:space="preserve"> zł oraz ponosiły największe przeciętne miesięczne wydatki na 1</w:t>
                            </w:r>
                            <w:r>
                              <w:t> </w:t>
                            </w:r>
                            <w:r w:rsidRPr="003D03EA">
                              <w:t>osobę – 14</w:t>
                            </w:r>
                            <w:r>
                              <w:t>1</w:t>
                            </w:r>
                            <w:r w:rsidRPr="003D03EA">
                              <w:t>2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AD7F" id="Pole tekstowe 223" o:spid="_x0000_s1029" type="#_x0000_t202" style="position:absolute;margin-left:410.25pt;margin-top:7.5pt;width:135.85pt;height:160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UYEwIAAAMEAAAOAAAAZHJzL2Uyb0RvYy54bWysU8FuEzEQvSPxD5bvZJNtQptVNlVpKUIq&#10;UKnwAROvN2vV9hjbyW74+o69aYjghrhYtsfzZt6b59X1YDTbSx8U2prPJlPOpBXYKLut+Y/v9++u&#10;OAsRbAMaraz5QQZ+vX77ZtW7SpbYoW6kZwRiQ9W7mncxuqooguikgTBBJy0FW/QGIh39tmg89IRu&#10;dFFOp++LHn3jPAoZAt3ejUG+zvhtK0X81rZBRqZrTr3FvPq8btJarFdQbT24ToljG/APXRhQloqe&#10;oO4gAtt59ReUUcJjwDZOBJoC21YJmTkQm9n0DzZPHTiZuZA4wZ1kCv8PVnzdP3qmmpqX5QVnFgwN&#10;6RG1ZFE+h4i9ZClAMvUuVPT6ydH7OHzAgcadKQf3gOI5MIu3HditvPEe+05CQ23OUmZxljrihASy&#10;6b9gQ9VgFzEDDa03SUNShRE6jetwGpEcIhOp5GW5KJcLzgTFyukFeSAPsYDqNd35ED9JNCxtau7J&#10;Axke9g8hpnagen2Sqlm8V1pnH2jL+povF+UiJ5xFjIpkU61Mza+o4lgTqsTyo21ycgSlxz0V0PZI&#10;OzEdOcdhM2ShT2pusDmQDh5HV9Ivok2H/hdnPTmy5uHnDrzkTH+2pOVyNp8nC+fDfHFZ0sGfRzbn&#10;EbCCoGoeORu3tzHbfqR8Q5q3KquRhjN2cmyZnJZFOv6KZOXzc371+++uXwAAAP//AwBQSwMEFAAG&#10;AAgAAAAhAPNK3gXdAAAACwEAAA8AAABkcnMvZG93bnJldi54bWxMj81OwzAQhO9IvIO1SNzompSg&#10;NsSpEIgriPIjcXPjbRIRr6PYbcLbsz3BcWc+zc6Um9n36khj7AIbuF5oUMR1cB03Bt7fnq5WoGKy&#10;7GwfmAz8UIRNdX5W2sKFiV/puE2NkhCOhTXQpjQUiLFuydu4CAOxePswepvkHBt0o50k3PeYaX2L&#10;3nYsH1o70ENL9ff24A18PO+/Pm/0S/Po82EKs0b2azTm8mK+vwOVaE5/MJzqS3WopNMuHNhF1RtY&#10;ZToXVIxcNp0Avc4yUDsDy6VIWJX4f0P1CwAA//8DAFBLAQItABQABgAIAAAAIQC2gziS/gAAAOEB&#10;AAATAAAAAAAAAAAAAAAAAAAAAABbQ29udGVudF9UeXBlc10ueG1sUEsBAi0AFAAGAAgAAAAhADj9&#10;If/WAAAAlAEAAAsAAAAAAAAAAAAAAAAALwEAAF9yZWxzLy5yZWxzUEsBAi0AFAAGAAgAAAAhANjo&#10;xRgTAgAAAwQAAA4AAAAAAAAAAAAAAAAALgIAAGRycy9lMm9Eb2MueG1sUEsBAi0AFAAGAAgAAAAh&#10;APNK3gXdAAAACwEAAA8AAAAAAAAAAAAAAAAAbQQAAGRycy9kb3ducmV2LnhtbFBLBQYAAAAABAAE&#10;APMAAAB3BQAAAAA=&#10;" filled="f" stroked="f">
                <v:textbox>
                  <w:txbxContent>
                    <w:p w14:paraId="377BCEA9" w14:textId="20F7DF81" w:rsidR="00E913EA" w:rsidRPr="00B31DA4" w:rsidRDefault="00E913EA" w:rsidP="00903E49">
                      <w:pPr>
                        <w:pStyle w:val="tekstzboku"/>
                        <w:rPr>
                          <w:bCs w:val="0"/>
                        </w:rPr>
                      </w:pPr>
                      <w:r w:rsidRPr="003D03EA">
                        <w:t>Gospodarstwa domowe pracujących na własny rachunek poza gospodarstwem rolnym dysponowały najwyższym przeciętnym miesięcznym dochodem rozporządzalnym na 1 osobę – 2</w:t>
                      </w:r>
                      <w:r>
                        <w:t>238</w:t>
                      </w:r>
                      <w:r w:rsidRPr="003D03EA">
                        <w:t xml:space="preserve"> zł oraz ponosiły największe przeciętne miesięczne wydatki na 1</w:t>
                      </w:r>
                      <w:r>
                        <w:t> </w:t>
                      </w:r>
                      <w:r w:rsidRPr="003D03EA">
                        <w:t>osobę – 14</w:t>
                      </w:r>
                      <w:r>
                        <w:t>1</w:t>
                      </w:r>
                      <w:r w:rsidRPr="003D03EA">
                        <w:t>2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91260" w:rsidRPr="00354F10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Dochody</w:t>
      </w:r>
      <w:r w:rsidR="00764D9C" w:rsidRPr="00354F10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 xml:space="preserve"> </w:t>
      </w:r>
      <w:r w:rsidR="00991260" w:rsidRPr="00354F10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 xml:space="preserve">i </w:t>
      </w:r>
      <w:r w:rsidR="00764D9C" w:rsidRPr="00354F10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wydatki</w:t>
      </w:r>
    </w:p>
    <w:p w14:paraId="2C8CD22A" w14:textId="77777777" w:rsidR="00764D9C" w:rsidRPr="003D03EA" w:rsidRDefault="007758FD" w:rsidP="00764D9C">
      <w:pPr>
        <w:rPr>
          <w:spacing w:val="-2"/>
          <w:shd w:val="clear" w:color="auto" w:fill="FFFFFF"/>
        </w:rPr>
      </w:pPr>
      <w:r w:rsidRPr="003D03EA">
        <w:rPr>
          <w:spacing w:val="-2"/>
          <w:shd w:val="clear" w:color="auto" w:fill="FFFFFF"/>
        </w:rPr>
        <w:t>W 20</w:t>
      </w:r>
      <w:r w:rsidR="004236D1">
        <w:rPr>
          <w:spacing w:val="-2"/>
          <w:shd w:val="clear" w:color="auto" w:fill="FFFFFF"/>
        </w:rPr>
        <w:t>20</w:t>
      </w:r>
      <w:r w:rsidR="00764D9C" w:rsidRPr="003D03EA">
        <w:rPr>
          <w:spacing w:val="-2"/>
          <w:shd w:val="clear" w:color="auto" w:fill="FFFFFF"/>
        </w:rPr>
        <w:t xml:space="preserve"> r</w:t>
      </w:r>
      <w:r w:rsidR="0013076E">
        <w:rPr>
          <w:spacing w:val="-2"/>
          <w:shd w:val="clear" w:color="auto" w:fill="FFFFFF"/>
        </w:rPr>
        <w:t>.</w:t>
      </w:r>
      <w:r w:rsidR="00764D9C" w:rsidRPr="003D03EA">
        <w:rPr>
          <w:spacing w:val="-2"/>
          <w:shd w:val="clear" w:color="auto" w:fill="FFFFFF"/>
        </w:rPr>
        <w:t xml:space="preserve"> </w:t>
      </w:r>
      <w:r w:rsidR="00E84EE4" w:rsidRPr="003D03EA">
        <w:rPr>
          <w:spacing w:val="-2"/>
          <w:shd w:val="clear" w:color="auto" w:fill="FFFFFF"/>
        </w:rPr>
        <w:t xml:space="preserve">nadal </w:t>
      </w:r>
      <w:r w:rsidR="00764D9C" w:rsidRPr="003D03EA">
        <w:rPr>
          <w:spacing w:val="-2"/>
          <w:shd w:val="clear" w:color="auto" w:fill="FFFFFF"/>
        </w:rPr>
        <w:t>utrzym</w:t>
      </w:r>
      <w:r w:rsidR="00E84EE4" w:rsidRPr="003D03EA">
        <w:rPr>
          <w:spacing w:val="-2"/>
          <w:shd w:val="clear" w:color="auto" w:fill="FFFFFF"/>
        </w:rPr>
        <w:t>ywa</w:t>
      </w:r>
      <w:r w:rsidR="00764D9C" w:rsidRPr="003D03EA">
        <w:rPr>
          <w:spacing w:val="-2"/>
          <w:shd w:val="clear" w:color="auto" w:fill="FFFFFF"/>
        </w:rPr>
        <w:t xml:space="preserve">ło się relatywnie duże zróżnicowanie przeciętnych miesięcznych dochodów i wydatków pomiędzy </w:t>
      </w:r>
      <w:r w:rsidR="00E84EE4" w:rsidRPr="003D03EA">
        <w:rPr>
          <w:spacing w:val="-2"/>
          <w:shd w:val="clear" w:color="auto" w:fill="FFFFFF"/>
        </w:rPr>
        <w:t>różnymi</w:t>
      </w:r>
      <w:r w:rsidR="00764D9C" w:rsidRPr="003D03EA">
        <w:rPr>
          <w:spacing w:val="-2"/>
          <w:shd w:val="clear" w:color="auto" w:fill="FFFFFF"/>
        </w:rPr>
        <w:t xml:space="preserve"> grupami społeczno-ekonomicznymi gospodarstw domowych. </w:t>
      </w:r>
      <w:r w:rsidR="00482D0F">
        <w:rPr>
          <w:spacing w:val="-2"/>
          <w:shd w:val="clear" w:color="auto" w:fill="FFFFFF"/>
        </w:rPr>
        <w:t>P</w:t>
      </w:r>
      <w:r w:rsidR="00482D0F" w:rsidRPr="003D03EA">
        <w:rPr>
          <w:spacing w:val="-2"/>
          <w:shd w:val="clear" w:color="auto" w:fill="FFFFFF"/>
        </w:rPr>
        <w:t>odobnie jak w latach poprzednich</w:t>
      </w:r>
      <w:r w:rsidR="00482D0F">
        <w:rPr>
          <w:spacing w:val="-2"/>
          <w:shd w:val="clear" w:color="auto" w:fill="FFFFFF"/>
        </w:rPr>
        <w:t>,</w:t>
      </w:r>
      <w:r w:rsidR="00482D0F" w:rsidRPr="003D03EA">
        <w:rPr>
          <w:spacing w:val="-2"/>
          <w:shd w:val="clear" w:color="auto" w:fill="FFFFFF"/>
        </w:rPr>
        <w:t xml:space="preserve"> </w:t>
      </w:r>
      <w:r w:rsidR="00482D0F">
        <w:rPr>
          <w:spacing w:val="-2"/>
          <w:shd w:val="clear" w:color="auto" w:fill="FFFFFF"/>
        </w:rPr>
        <w:t>n</w:t>
      </w:r>
      <w:r w:rsidR="00764D9C" w:rsidRPr="003D03EA">
        <w:rPr>
          <w:spacing w:val="-2"/>
          <w:shd w:val="clear" w:color="auto" w:fill="FFFFFF"/>
        </w:rPr>
        <w:t xml:space="preserve">ajwyższy przeciętny miesięczny dochód rozporządzalny </w:t>
      </w:r>
      <w:r w:rsidR="00044796" w:rsidRPr="003D03EA">
        <w:rPr>
          <w:spacing w:val="-2"/>
          <w:shd w:val="clear" w:color="auto" w:fill="FFFFFF"/>
        </w:rPr>
        <w:t xml:space="preserve">na 1 osobę w gospodarstwach domowych </w:t>
      </w:r>
      <w:r w:rsidR="008E5389" w:rsidRPr="003D03EA">
        <w:rPr>
          <w:spacing w:val="-2"/>
          <w:shd w:val="clear" w:color="auto" w:fill="FFFFFF"/>
        </w:rPr>
        <w:t>(</w:t>
      </w:r>
      <w:r w:rsidR="004236D1">
        <w:rPr>
          <w:spacing w:val="-2"/>
          <w:shd w:val="clear" w:color="auto" w:fill="FFFFFF"/>
        </w:rPr>
        <w:t>2238</w:t>
      </w:r>
      <w:r w:rsidR="00764D9C" w:rsidRPr="003D03EA">
        <w:rPr>
          <w:spacing w:val="-2"/>
          <w:shd w:val="clear" w:color="auto" w:fill="FFFFFF"/>
        </w:rPr>
        <w:t xml:space="preserve"> zł) oraz prz</w:t>
      </w:r>
      <w:r w:rsidR="008E5389" w:rsidRPr="003D03EA">
        <w:rPr>
          <w:spacing w:val="-2"/>
          <w:shd w:val="clear" w:color="auto" w:fill="FFFFFF"/>
        </w:rPr>
        <w:t>eciętne miesięczne wydatki (14</w:t>
      </w:r>
      <w:r w:rsidR="004236D1">
        <w:rPr>
          <w:spacing w:val="-2"/>
          <w:shd w:val="clear" w:color="auto" w:fill="FFFFFF"/>
        </w:rPr>
        <w:t>1</w:t>
      </w:r>
      <w:r w:rsidR="008E5389" w:rsidRPr="003D03EA">
        <w:rPr>
          <w:spacing w:val="-2"/>
          <w:shd w:val="clear" w:color="auto" w:fill="FFFFFF"/>
        </w:rPr>
        <w:t>2</w:t>
      </w:r>
      <w:r w:rsidR="00764D9C" w:rsidRPr="003D03EA">
        <w:rPr>
          <w:spacing w:val="-2"/>
          <w:shd w:val="clear" w:color="auto" w:fill="FFFFFF"/>
        </w:rPr>
        <w:t xml:space="preserve"> zł) na osobę </w:t>
      </w:r>
      <w:r w:rsidR="00E84EE4" w:rsidRPr="003D03EA">
        <w:rPr>
          <w:spacing w:val="-2"/>
          <w:shd w:val="clear" w:color="auto" w:fill="FFFFFF"/>
        </w:rPr>
        <w:t>wystąpiły</w:t>
      </w:r>
      <w:r w:rsidR="00482D0F">
        <w:rPr>
          <w:spacing w:val="-2"/>
          <w:shd w:val="clear" w:color="auto" w:fill="FFFFFF"/>
        </w:rPr>
        <w:t xml:space="preserve"> </w:t>
      </w:r>
      <w:r w:rsidR="00764D9C" w:rsidRPr="003D03EA">
        <w:rPr>
          <w:spacing w:val="-2"/>
          <w:shd w:val="clear" w:color="auto" w:fill="FFFFFF"/>
        </w:rPr>
        <w:t xml:space="preserve">w gospodarstwach osób pracujących na własny rachunek poza gospodarstwem rolnym. </w:t>
      </w:r>
      <w:r w:rsidR="007E1F14" w:rsidRPr="003D03EA">
        <w:rPr>
          <w:spacing w:val="-2"/>
          <w:shd w:val="clear" w:color="auto" w:fill="FFFFFF"/>
        </w:rPr>
        <w:t>W</w:t>
      </w:r>
      <w:r w:rsidR="00E84EE4" w:rsidRPr="003D03EA">
        <w:rPr>
          <w:spacing w:val="-2"/>
          <w:shd w:val="clear" w:color="auto" w:fill="FFFFFF"/>
        </w:rPr>
        <w:t xml:space="preserve"> tej grupie gospodarstw domowych</w:t>
      </w:r>
      <w:r w:rsidR="00121317">
        <w:rPr>
          <w:spacing w:val="-2"/>
          <w:shd w:val="clear" w:color="auto" w:fill="FFFFFF"/>
        </w:rPr>
        <w:t xml:space="preserve"> –</w:t>
      </w:r>
      <w:r w:rsidR="00E84EE4" w:rsidRPr="003D03EA">
        <w:rPr>
          <w:spacing w:val="-2"/>
          <w:shd w:val="clear" w:color="auto" w:fill="FFFFFF"/>
        </w:rPr>
        <w:t xml:space="preserve"> w </w:t>
      </w:r>
      <w:r w:rsidR="00090C58">
        <w:rPr>
          <w:spacing w:val="-2"/>
          <w:shd w:val="clear" w:color="auto" w:fill="FFFFFF"/>
        </w:rPr>
        <w:t>stosunku</w:t>
      </w:r>
      <w:r w:rsidR="00E84EE4" w:rsidRPr="003D03EA">
        <w:rPr>
          <w:spacing w:val="-2"/>
          <w:shd w:val="clear" w:color="auto" w:fill="FFFFFF"/>
        </w:rPr>
        <w:t xml:space="preserve"> </w:t>
      </w:r>
      <w:r w:rsidR="00044796" w:rsidRPr="003D03EA">
        <w:rPr>
          <w:spacing w:val="-2"/>
          <w:shd w:val="clear" w:color="auto" w:fill="FFFFFF"/>
        </w:rPr>
        <w:t>do przeciętnej dla ogółu</w:t>
      </w:r>
      <w:r w:rsidR="00242FCB" w:rsidRPr="003D03EA">
        <w:rPr>
          <w:spacing w:val="-2"/>
          <w:shd w:val="clear" w:color="auto" w:fill="FFFFFF"/>
        </w:rPr>
        <w:t xml:space="preserve"> gospodarstw domowych w Polsce</w:t>
      </w:r>
      <w:r w:rsidR="00E84EE4" w:rsidRPr="003D03EA">
        <w:rPr>
          <w:spacing w:val="-2"/>
          <w:shd w:val="clear" w:color="auto" w:fill="FFFFFF"/>
        </w:rPr>
        <w:t xml:space="preserve"> – zarówno d</w:t>
      </w:r>
      <w:r w:rsidR="00764D9C" w:rsidRPr="003D03EA">
        <w:rPr>
          <w:spacing w:val="-2"/>
          <w:shd w:val="clear" w:color="auto" w:fill="FFFFFF"/>
        </w:rPr>
        <w:t>ochód</w:t>
      </w:r>
      <w:r w:rsidR="00157C8F" w:rsidRPr="003D03EA">
        <w:rPr>
          <w:spacing w:val="-2"/>
          <w:shd w:val="clear" w:color="auto" w:fill="FFFFFF"/>
        </w:rPr>
        <w:t>, jak i </w:t>
      </w:r>
      <w:r w:rsidR="00E84EE4" w:rsidRPr="003D03EA">
        <w:rPr>
          <w:spacing w:val="-2"/>
          <w:shd w:val="clear" w:color="auto" w:fill="FFFFFF"/>
        </w:rPr>
        <w:t xml:space="preserve">wydatki </w:t>
      </w:r>
      <w:r w:rsidR="00764D9C" w:rsidRPr="003D03EA">
        <w:rPr>
          <w:spacing w:val="-2"/>
          <w:shd w:val="clear" w:color="auto" w:fill="FFFFFF"/>
        </w:rPr>
        <w:t>był</w:t>
      </w:r>
      <w:r w:rsidR="00E84EE4" w:rsidRPr="003D03EA">
        <w:rPr>
          <w:spacing w:val="-2"/>
          <w:shd w:val="clear" w:color="auto" w:fill="FFFFFF"/>
        </w:rPr>
        <w:t>y wyższe</w:t>
      </w:r>
      <w:r w:rsidR="00F23108" w:rsidRPr="003D03EA">
        <w:rPr>
          <w:spacing w:val="-2"/>
          <w:shd w:val="clear" w:color="auto" w:fill="FFFFFF"/>
        </w:rPr>
        <w:t>, odpowiednio</w:t>
      </w:r>
      <w:r w:rsidR="007E1F14" w:rsidRPr="003D03EA">
        <w:rPr>
          <w:spacing w:val="-2"/>
          <w:shd w:val="clear" w:color="auto" w:fill="FFFFFF"/>
        </w:rPr>
        <w:t xml:space="preserve"> o </w:t>
      </w:r>
      <w:r w:rsidR="005B6140">
        <w:rPr>
          <w:spacing w:val="-2"/>
          <w:shd w:val="clear" w:color="auto" w:fill="FFFFFF"/>
        </w:rPr>
        <w:t>16,6</w:t>
      </w:r>
      <w:r w:rsidR="008E5389" w:rsidRPr="003D03EA">
        <w:rPr>
          <w:spacing w:val="-2"/>
          <w:shd w:val="clear" w:color="auto" w:fill="FFFFFF"/>
        </w:rPr>
        <w:t xml:space="preserve">% i o </w:t>
      </w:r>
      <w:r w:rsidR="005B6140">
        <w:rPr>
          <w:spacing w:val="-2"/>
          <w:shd w:val="clear" w:color="auto" w:fill="FFFFFF"/>
        </w:rPr>
        <w:t>16</w:t>
      </w:r>
      <w:r w:rsidR="008E5389" w:rsidRPr="003D03EA">
        <w:rPr>
          <w:spacing w:val="-2"/>
          <w:shd w:val="clear" w:color="auto" w:fill="FFFFFF"/>
        </w:rPr>
        <w:t>,</w:t>
      </w:r>
      <w:r w:rsidR="005B6140">
        <w:rPr>
          <w:spacing w:val="-2"/>
          <w:shd w:val="clear" w:color="auto" w:fill="FFFFFF"/>
        </w:rPr>
        <w:t>8</w:t>
      </w:r>
      <w:r w:rsidR="003475DF">
        <w:rPr>
          <w:spacing w:val="-2"/>
          <w:shd w:val="clear" w:color="auto" w:fill="FFFFFF"/>
        </w:rPr>
        <w:t xml:space="preserve">% </w:t>
      </w:r>
      <w:r w:rsidR="00044796" w:rsidRPr="003D03EA">
        <w:rPr>
          <w:spacing w:val="-2"/>
          <w:shd w:val="clear" w:color="auto" w:fill="FFFFFF"/>
        </w:rPr>
        <w:t>(w </w:t>
      </w:r>
      <w:r w:rsidR="008E5389" w:rsidRPr="003D03EA">
        <w:rPr>
          <w:spacing w:val="-2"/>
          <w:shd w:val="clear" w:color="auto" w:fill="FFFFFF"/>
        </w:rPr>
        <w:t>201</w:t>
      </w:r>
      <w:r w:rsidR="005B6140">
        <w:rPr>
          <w:spacing w:val="-2"/>
          <w:shd w:val="clear" w:color="auto" w:fill="FFFFFF"/>
        </w:rPr>
        <w:t>9</w:t>
      </w:r>
      <w:r w:rsidR="00764D9C" w:rsidRPr="003D03EA">
        <w:rPr>
          <w:spacing w:val="-2"/>
          <w:shd w:val="clear" w:color="auto" w:fill="FFFFFF"/>
        </w:rPr>
        <w:t xml:space="preserve"> r. odpowiednio </w:t>
      </w:r>
      <w:r w:rsidR="00F23108" w:rsidRPr="003D03EA">
        <w:rPr>
          <w:spacing w:val="-2"/>
          <w:shd w:val="clear" w:color="auto" w:fill="FFFFFF"/>
        </w:rPr>
        <w:t xml:space="preserve">o </w:t>
      </w:r>
      <w:r w:rsidR="005B6140">
        <w:rPr>
          <w:spacing w:val="-2"/>
          <w:shd w:val="clear" w:color="auto" w:fill="FFFFFF"/>
        </w:rPr>
        <w:t>19,5</w:t>
      </w:r>
      <w:r w:rsidR="008E5389" w:rsidRPr="003D03EA">
        <w:rPr>
          <w:spacing w:val="-2"/>
          <w:shd w:val="clear" w:color="auto" w:fill="FFFFFF"/>
        </w:rPr>
        <w:t>% i o 17,</w:t>
      </w:r>
      <w:r w:rsidR="005B6140">
        <w:rPr>
          <w:spacing w:val="-2"/>
          <w:shd w:val="clear" w:color="auto" w:fill="FFFFFF"/>
        </w:rPr>
        <w:t>6</w:t>
      </w:r>
      <w:r w:rsidR="008E5389" w:rsidRPr="003D03EA">
        <w:rPr>
          <w:spacing w:val="-2"/>
          <w:shd w:val="clear" w:color="auto" w:fill="FFFFFF"/>
        </w:rPr>
        <w:t>%</w:t>
      </w:r>
      <w:r w:rsidR="00764D9C" w:rsidRPr="003D03EA">
        <w:rPr>
          <w:spacing w:val="-2"/>
          <w:shd w:val="clear" w:color="auto" w:fill="FFFFFF"/>
        </w:rPr>
        <w:t>).</w:t>
      </w:r>
      <w:r w:rsidR="00955D29">
        <w:rPr>
          <w:spacing w:val="-2"/>
          <w:shd w:val="clear" w:color="auto" w:fill="FFFFFF"/>
        </w:rPr>
        <w:t xml:space="preserve"> </w:t>
      </w:r>
    </w:p>
    <w:p w14:paraId="31675CF7" w14:textId="2588E8C8" w:rsidR="00764D9C" w:rsidRDefault="006B14B8" w:rsidP="00764D9C">
      <w:pPr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t>Najniższy</w:t>
      </w:r>
      <w:r w:rsidR="00D06E6A">
        <w:rPr>
          <w:spacing w:val="-2"/>
          <w:shd w:val="clear" w:color="auto" w:fill="FFFFFF"/>
        </w:rPr>
        <w:t>m</w:t>
      </w:r>
      <w:r>
        <w:rPr>
          <w:spacing w:val="-2"/>
          <w:shd w:val="clear" w:color="auto" w:fill="FFFFFF"/>
        </w:rPr>
        <w:t xml:space="preserve"> przeciętny</w:t>
      </w:r>
      <w:r w:rsidR="00D06E6A">
        <w:rPr>
          <w:spacing w:val="-2"/>
          <w:shd w:val="clear" w:color="auto" w:fill="FFFFFF"/>
        </w:rPr>
        <w:t>m</w:t>
      </w:r>
      <w:r>
        <w:rPr>
          <w:spacing w:val="-2"/>
          <w:shd w:val="clear" w:color="auto" w:fill="FFFFFF"/>
        </w:rPr>
        <w:t xml:space="preserve"> miesięczny</w:t>
      </w:r>
      <w:r w:rsidR="00D06E6A">
        <w:rPr>
          <w:spacing w:val="-2"/>
          <w:shd w:val="clear" w:color="auto" w:fill="FFFFFF"/>
        </w:rPr>
        <w:t>m</w:t>
      </w:r>
      <w:r w:rsidR="00764D9C" w:rsidRPr="002400F5">
        <w:rPr>
          <w:spacing w:val="-2"/>
          <w:shd w:val="clear" w:color="auto" w:fill="FFFFFF"/>
        </w:rPr>
        <w:t xml:space="preserve"> doch</w:t>
      </w:r>
      <w:r w:rsidR="00D06E6A">
        <w:rPr>
          <w:spacing w:val="-2"/>
          <w:shd w:val="clear" w:color="auto" w:fill="FFFFFF"/>
        </w:rPr>
        <w:t>odem</w:t>
      </w:r>
      <w:r>
        <w:rPr>
          <w:spacing w:val="-2"/>
          <w:shd w:val="clear" w:color="auto" w:fill="FFFFFF"/>
        </w:rPr>
        <w:t xml:space="preserve"> rozporządzalny</w:t>
      </w:r>
      <w:r w:rsidR="00D06E6A">
        <w:rPr>
          <w:spacing w:val="-2"/>
          <w:shd w:val="clear" w:color="auto" w:fill="FFFFFF"/>
        </w:rPr>
        <w:t>m</w:t>
      </w:r>
      <w:r w:rsidR="00764D9C" w:rsidRPr="002400F5">
        <w:rPr>
          <w:spacing w:val="-2"/>
          <w:shd w:val="clear" w:color="auto" w:fill="FFFFFF"/>
        </w:rPr>
        <w:t xml:space="preserve"> na </w:t>
      </w:r>
      <w:r w:rsidR="00242FCB" w:rsidRPr="002400F5">
        <w:rPr>
          <w:spacing w:val="-2"/>
          <w:shd w:val="clear" w:color="auto" w:fill="FFFFFF"/>
        </w:rPr>
        <w:t xml:space="preserve">1 </w:t>
      </w:r>
      <w:r w:rsidR="002400F5" w:rsidRPr="002400F5">
        <w:rPr>
          <w:spacing w:val="-2"/>
          <w:shd w:val="clear" w:color="auto" w:fill="FFFFFF"/>
        </w:rPr>
        <w:t>osobę w 20</w:t>
      </w:r>
      <w:r w:rsidR="005B6140">
        <w:rPr>
          <w:spacing w:val="-2"/>
          <w:shd w:val="clear" w:color="auto" w:fill="FFFFFF"/>
        </w:rPr>
        <w:t>20</w:t>
      </w:r>
      <w:r w:rsidR="00764D9C" w:rsidRPr="002400F5">
        <w:rPr>
          <w:spacing w:val="-2"/>
          <w:shd w:val="clear" w:color="auto" w:fill="FFFFFF"/>
        </w:rPr>
        <w:t xml:space="preserve"> r. </w:t>
      </w:r>
      <w:r w:rsidR="00C75340">
        <w:rPr>
          <w:spacing w:val="-2"/>
          <w:shd w:val="clear" w:color="auto" w:fill="FFFFFF"/>
        </w:rPr>
        <w:t>dysponowały</w:t>
      </w:r>
      <w:r>
        <w:rPr>
          <w:spacing w:val="-2"/>
          <w:shd w:val="clear" w:color="auto" w:fill="FFFFFF"/>
        </w:rPr>
        <w:t xml:space="preserve"> </w:t>
      </w:r>
      <w:r w:rsidR="00764D9C" w:rsidRPr="002400F5">
        <w:rPr>
          <w:spacing w:val="-2"/>
          <w:shd w:val="clear" w:color="auto" w:fill="FFFFFF"/>
        </w:rPr>
        <w:t xml:space="preserve">gospodarstwa </w:t>
      </w:r>
      <w:r>
        <w:rPr>
          <w:spacing w:val="-2"/>
          <w:shd w:val="clear" w:color="auto" w:fill="FFFFFF"/>
        </w:rPr>
        <w:t>domow</w:t>
      </w:r>
      <w:r w:rsidR="00D06E6A">
        <w:rPr>
          <w:spacing w:val="-2"/>
          <w:shd w:val="clear" w:color="auto" w:fill="FFFFFF"/>
        </w:rPr>
        <w:t>e</w:t>
      </w:r>
      <w:r w:rsidR="00764D9C" w:rsidRPr="002400F5">
        <w:rPr>
          <w:spacing w:val="-2"/>
          <w:shd w:val="clear" w:color="auto" w:fill="FFFFFF"/>
        </w:rPr>
        <w:t xml:space="preserve"> rencistów</w:t>
      </w:r>
      <w:r w:rsidR="00972330" w:rsidRPr="002400F5">
        <w:rPr>
          <w:spacing w:val="-2"/>
          <w:shd w:val="clear" w:color="auto" w:fill="FFFFFF"/>
        </w:rPr>
        <w:t xml:space="preserve">. Ich </w:t>
      </w:r>
      <w:r w:rsidR="00936260" w:rsidRPr="002400F5">
        <w:rPr>
          <w:spacing w:val="-2"/>
          <w:shd w:val="clear" w:color="auto" w:fill="FFFFFF"/>
        </w:rPr>
        <w:t xml:space="preserve">przeciętny </w:t>
      </w:r>
      <w:r w:rsidR="00972330" w:rsidRPr="002400F5">
        <w:rPr>
          <w:spacing w:val="-2"/>
          <w:shd w:val="clear" w:color="auto" w:fill="FFFFFF"/>
        </w:rPr>
        <w:t>dochód</w:t>
      </w:r>
      <w:r w:rsidR="00F23108" w:rsidRPr="002400F5">
        <w:rPr>
          <w:spacing w:val="-2"/>
          <w:shd w:val="clear" w:color="auto" w:fill="FFFFFF"/>
        </w:rPr>
        <w:t xml:space="preserve"> </w:t>
      </w:r>
      <w:r w:rsidR="00936260" w:rsidRPr="002400F5">
        <w:rPr>
          <w:spacing w:val="-2"/>
          <w:shd w:val="clear" w:color="auto" w:fill="FFFFFF"/>
        </w:rPr>
        <w:t xml:space="preserve">na 1 osobę </w:t>
      </w:r>
      <w:r w:rsidR="00F23108" w:rsidRPr="002400F5">
        <w:rPr>
          <w:spacing w:val="-2"/>
          <w:shd w:val="clear" w:color="auto" w:fill="FFFFFF"/>
        </w:rPr>
        <w:t xml:space="preserve">wyniósł </w:t>
      </w:r>
      <w:r w:rsidR="005B6140">
        <w:rPr>
          <w:spacing w:val="-2"/>
          <w:shd w:val="clear" w:color="auto" w:fill="FFFFFF"/>
        </w:rPr>
        <w:t>1522</w:t>
      </w:r>
      <w:r w:rsidR="00764D9C" w:rsidRPr="002400F5">
        <w:rPr>
          <w:spacing w:val="-2"/>
          <w:shd w:val="clear" w:color="auto" w:fill="FFFFFF"/>
        </w:rPr>
        <w:t xml:space="preserve"> zł</w:t>
      </w:r>
      <w:r w:rsidR="00936260" w:rsidRPr="002400F5">
        <w:rPr>
          <w:spacing w:val="-2"/>
          <w:shd w:val="clear" w:color="auto" w:fill="FFFFFF"/>
        </w:rPr>
        <w:t xml:space="preserve"> i </w:t>
      </w:r>
      <w:r w:rsidR="002400F5" w:rsidRPr="002400F5">
        <w:rPr>
          <w:spacing w:val="-2"/>
          <w:shd w:val="clear" w:color="auto" w:fill="FFFFFF"/>
        </w:rPr>
        <w:t xml:space="preserve">był o </w:t>
      </w:r>
      <w:r w:rsidR="005B6140">
        <w:rPr>
          <w:spacing w:val="-2"/>
          <w:shd w:val="clear" w:color="auto" w:fill="FFFFFF"/>
        </w:rPr>
        <w:t>20</w:t>
      </w:r>
      <w:r w:rsidR="002400F5" w:rsidRPr="002400F5">
        <w:rPr>
          <w:spacing w:val="-2"/>
          <w:shd w:val="clear" w:color="auto" w:fill="FFFFFF"/>
        </w:rPr>
        <w:t>,7</w:t>
      </w:r>
      <w:r w:rsidR="00764D9C" w:rsidRPr="002400F5">
        <w:rPr>
          <w:spacing w:val="-2"/>
          <w:shd w:val="clear" w:color="auto" w:fill="FFFFFF"/>
        </w:rPr>
        <w:t>% niższy od</w:t>
      </w:r>
      <w:r w:rsidR="002400F5" w:rsidRPr="002400F5">
        <w:rPr>
          <w:spacing w:val="-2"/>
          <w:shd w:val="clear" w:color="auto" w:fill="FFFFFF"/>
        </w:rPr>
        <w:t xml:space="preserve"> średniej ogólnopolskiej (w 201</w:t>
      </w:r>
      <w:r w:rsidR="005B6140">
        <w:rPr>
          <w:spacing w:val="-2"/>
          <w:shd w:val="clear" w:color="auto" w:fill="FFFFFF"/>
        </w:rPr>
        <w:t>9</w:t>
      </w:r>
      <w:r w:rsidR="00764D9C" w:rsidRPr="002400F5">
        <w:rPr>
          <w:spacing w:val="-2"/>
          <w:shd w:val="clear" w:color="auto" w:fill="FFFFFF"/>
        </w:rPr>
        <w:t xml:space="preserve"> r. niższy o </w:t>
      </w:r>
      <w:r w:rsidR="005B6140">
        <w:rPr>
          <w:spacing w:val="-2"/>
          <w:shd w:val="clear" w:color="auto" w:fill="FFFFFF"/>
        </w:rPr>
        <w:t>17,7</w:t>
      </w:r>
      <w:r w:rsidR="00764D9C" w:rsidRPr="002400F5">
        <w:rPr>
          <w:spacing w:val="-2"/>
          <w:shd w:val="clear" w:color="auto" w:fill="FFFFFF"/>
        </w:rPr>
        <w:t xml:space="preserve">%). </w:t>
      </w:r>
      <w:r>
        <w:rPr>
          <w:spacing w:val="-2"/>
          <w:shd w:val="clear" w:color="auto" w:fill="FFFFFF"/>
        </w:rPr>
        <w:t>N</w:t>
      </w:r>
      <w:r w:rsidR="00157C8F" w:rsidRPr="002400F5">
        <w:rPr>
          <w:spacing w:val="-2"/>
          <w:shd w:val="clear" w:color="auto" w:fill="FFFFFF"/>
        </w:rPr>
        <w:t xml:space="preserve">ajniższe </w:t>
      </w:r>
      <w:r w:rsidR="00936260" w:rsidRPr="002400F5">
        <w:rPr>
          <w:spacing w:val="-2"/>
          <w:shd w:val="clear" w:color="auto" w:fill="FFFFFF"/>
        </w:rPr>
        <w:t xml:space="preserve">przeciętne </w:t>
      </w:r>
      <w:r w:rsidR="00157C8F" w:rsidRPr="002400F5">
        <w:rPr>
          <w:spacing w:val="-2"/>
          <w:shd w:val="clear" w:color="auto" w:fill="FFFFFF"/>
        </w:rPr>
        <w:t xml:space="preserve">wydatki </w:t>
      </w:r>
      <w:r>
        <w:rPr>
          <w:spacing w:val="-2"/>
          <w:shd w:val="clear" w:color="auto" w:fill="FFFFFF"/>
        </w:rPr>
        <w:t>na 1 </w:t>
      </w:r>
      <w:r w:rsidR="00972330" w:rsidRPr="002400F5">
        <w:rPr>
          <w:spacing w:val="-2"/>
          <w:shd w:val="clear" w:color="auto" w:fill="FFFFFF"/>
        </w:rPr>
        <w:t xml:space="preserve">osobę </w:t>
      </w:r>
      <w:r w:rsidR="00157C8F" w:rsidRPr="002400F5">
        <w:rPr>
          <w:spacing w:val="-2"/>
          <w:shd w:val="clear" w:color="auto" w:fill="FFFFFF"/>
        </w:rPr>
        <w:t xml:space="preserve">odnotowano </w:t>
      </w:r>
      <w:r>
        <w:rPr>
          <w:spacing w:val="-2"/>
          <w:shd w:val="clear" w:color="auto" w:fill="FFFFFF"/>
        </w:rPr>
        <w:t>n</w:t>
      </w:r>
      <w:r w:rsidRPr="002400F5">
        <w:rPr>
          <w:spacing w:val="-2"/>
          <w:shd w:val="clear" w:color="auto" w:fill="FFFFFF"/>
        </w:rPr>
        <w:t xml:space="preserve">atomiast </w:t>
      </w:r>
      <w:r w:rsidR="00157C8F" w:rsidRPr="002400F5">
        <w:rPr>
          <w:spacing w:val="-2"/>
          <w:shd w:val="clear" w:color="auto" w:fill="FFFFFF"/>
        </w:rPr>
        <w:t>w </w:t>
      </w:r>
      <w:r w:rsidR="00764D9C" w:rsidRPr="002400F5">
        <w:rPr>
          <w:spacing w:val="-2"/>
          <w:shd w:val="clear" w:color="auto" w:fill="FFFFFF"/>
        </w:rPr>
        <w:t>gospodarstwach domo</w:t>
      </w:r>
      <w:r w:rsidR="00F23108" w:rsidRPr="002400F5">
        <w:rPr>
          <w:spacing w:val="-2"/>
          <w:shd w:val="clear" w:color="auto" w:fill="FFFFFF"/>
        </w:rPr>
        <w:t>wych rolników (</w:t>
      </w:r>
      <w:r w:rsidR="005B6140">
        <w:rPr>
          <w:spacing w:val="-2"/>
          <w:shd w:val="clear" w:color="auto" w:fill="FFFFFF"/>
        </w:rPr>
        <w:t>840</w:t>
      </w:r>
      <w:r w:rsidR="002400F5">
        <w:rPr>
          <w:spacing w:val="-2"/>
          <w:shd w:val="clear" w:color="auto" w:fill="FFFFFF"/>
        </w:rPr>
        <w:t xml:space="preserve"> </w:t>
      </w:r>
      <w:r w:rsidR="00F23108" w:rsidRPr="002400F5">
        <w:rPr>
          <w:spacing w:val="-2"/>
          <w:shd w:val="clear" w:color="auto" w:fill="FFFFFF"/>
        </w:rPr>
        <w:t>zł)</w:t>
      </w:r>
      <w:r w:rsidR="00764D9C" w:rsidRPr="002400F5">
        <w:rPr>
          <w:spacing w:val="-2"/>
          <w:shd w:val="clear" w:color="auto" w:fill="FFFFFF"/>
        </w:rPr>
        <w:t xml:space="preserve"> </w:t>
      </w:r>
      <w:r w:rsidR="00F23108" w:rsidRPr="002400F5">
        <w:rPr>
          <w:spacing w:val="-2"/>
          <w:shd w:val="clear" w:color="auto" w:fill="FFFFFF"/>
        </w:rPr>
        <w:t>i</w:t>
      </w:r>
      <w:r w:rsidR="00936260" w:rsidRPr="002400F5">
        <w:rPr>
          <w:spacing w:val="-2"/>
          <w:shd w:val="clear" w:color="auto" w:fill="FFFFFF"/>
        </w:rPr>
        <w:t> </w:t>
      </w:r>
      <w:r w:rsidR="00764D9C" w:rsidRPr="002400F5">
        <w:rPr>
          <w:spacing w:val="-2"/>
          <w:shd w:val="clear" w:color="auto" w:fill="FFFFFF"/>
        </w:rPr>
        <w:t xml:space="preserve">były </w:t>
      </w:r>
      <w:r w:rsidR="00F23108" w:rsidRPr="002400F5">
        <w:rPr>
          <w:spacing w:val="-2"/>
          <w:shd w:val="clear" w:color="auto" w:fill="FFFFFF"/>
        </w:rPr>
        <w:t xml:space="preserve">one </w:t>
      </w:r>
      <w:r w:rsidR="00936260" w:rsidRPr="002400F5">
        <w:rPr>
          <w:spacing w:val="-2"/>
          <w:shd w:val="clear" w:color="auto" w:fill="FFFFFF"/>
        </w:rPr>
        <w:t>o </w:t>
      </w:r>
      <w:r w:rsidR="005B6140">
        <w:rPr>
          <w:spacing w:val="-2"/>
          <w:shd w:val="clear" w:color="auto" w:fill="FFFFFF"/>
        </w:rPr>
        <w:t>30</w:t>
      </w:r>
      <w:r w:rsidR="002400F5" w:rsidRPr="002400F5">
        <w:rPr>
          <w:spacing w:val="-2"/>
          <w:shd w:val="clear" w:color="auto" w:fill="FFFFFF"/>
        </w:rPr>
        <w:t>,</w:t>
      </w:r>
      <w:r w:rsidR="005B6140">
        <w:rPr>
          <w:spacing w:val="-2"/>
          <w:shd w:val="clear" w:color="auto" w:fill="FFFFFF"/>
        </w:rPr>
        <w:t>6</w:t>
      </w:r>
      <w:r w:rsidR="002400F5" w:rsidRPr="002400F5">
        <w:rPr>
          <w:spacing w:val="-2"/>
          <w:shd w:val="clear" w:color="auto" w:fill="FFFFFF"/>
        </w:rPr>
        <w:t xml:space="preserve">% </w:t>
      </w:r>
      <w:r w:rsidR="00764D9C" w:rsidRPr="002400F5">
        <w:rPr>
          <w:spacing w:val="-2"/>
          <w:shd w:val="clear" w:color="auto" w:fill="FFFFFF"/>
        </w:rPr>
        <w:t>niższe od średnich wydatkó</w:t>
      </w:r>
      <w:r w:rsidR="002400F5">
        <w:rPr>
          <w:spacing w:val="-2"/>
          <w:shd w:val="clear" w:color="auto" w:fill="FFFFFF"/>
        </w:rPr>
        <w:t>w dla gospodarstw ogółem (w 201</w:t>
      </w:r>
      <w:r w:rsidR="005B6140">
        <w:rPr>
          <w:spacing w:val="-2"/>
          <w:shd w:val="clear" w:color="auto" w:fill="FFFFFF"/>
        </w:rPr>
        <w:t>9</w:t>
      </w:r>
      <w:r w:rsidR="00764D9C" w:rsidRPr="002400F5">
        <w:rPr>
          <w:spacing w:val="-2"/>
          <w:shd w:val="clear" w:color="auto" w:fill="FFFFFF"/>
        </w:rPr>
        <w:t xml:space="preserve"> r. – niż</w:t>
      </w:r>
      <w:r w:rsidR="00936260" w:rsidRPr="002400F5">
        <w:rPr>
          <w:spacing w:val="-2"/>
          <w:shd w:val="clear" w:color="auto" w:fill="FFFFFF"/>
        </w:rPr>
        <w:t>sze o </w:t>
      </w:r>
      <w:r w:rsidR="005B6140">
        <w:rPr>
          <w:spacing w:val="-2"/>
          <w:shd w:val="clear" w:color="auto" w:fill="FFFFFF"/>
        </w:rPr>
        <w:t>27,0</w:t>
      </w:r>
      <w:r w:rsidR="002400F5" w:rsidRPr="002400F5">
        <w:rPr>
          <w:spacing w:val="-2"/>
          <w:shd w:val="clear" w:color="auto" w:fill="FFFFFF"/>
        </w:rPr>
        <w:t>%</w:t>
      </w:r>
      <w:r w:rsidR="00764D9C" w:rsidRPr="002400F5">
        <w:rPr>
          <w:spacing w:val="-2"/>
          <w:shd w:val="clear" w:color="auto" w:fill="FFFFFF"/>
        </w:rPr>
        <w:t>).</w:t>
      </w:r>
    </w:p>
    <w:p w14:paraId="0B745FF3" w14:textId="77777777" w:rsidR="00B246C8" w:rsidRDefault="00B246C8" w:rsidP="00B246C8">
      <w:pPr>
        <w:spacing w:line="240" w:lineRule="auto"/>
        <w:jc w:val="both"/>
        <w:rPr>
          <w:i/>
          <w:noProof/>
          <w:lang w:eastAsia="pl-PL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41A33827" wp14:editId="2DADFD32">
                <wp:simplePos x="0" y="0"/>
                <wp:positionH relativeFrom="column">
                  <wp:posOffset>5210175</wp:posOffset>
                </wp:positionH>
                <wp:positionV relativeFrom="paragraph">
                  <wp:posOffset>1171575</wp:posOffset>
                </wp:positionV>
                <wp:extent cx="1725295" cy="1676400"/>
                <wp:effectExtent l="0" t="0" r="0" b="0"/>
                <wp:wrapTight wrapText="bothSides">
                  <wp:wrapPolygon edited="0">
                    <wp:start x="715" y="0"/>
                    <wp:lineTo x="715" y="21355"/>
                    <wp:lineTo x="20749" y="21355"/>
                    <wp:lineTo x="20749" y="0"/>
                    <wp:lineTo x="715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7A6B" w14:textId="77777777" w:rsidR="00E913EA" w:rsidRPr="00F377FA" w:rsidRDefault="00E913EA" w:rsidP="00B246C8">
                            <w:pPr>
                              <w:pStyle w:val="tekstzboku"/>
                              <w:rPr>
                                <w:bCs w:val="0"/>
                                <w:i/>
                              </w:rPr>
                            </w:pPr>
                            <w:r w:rsidRPr="002400F5">
                              <w:t>Najwyższy udział wydatków w dochodzie rozporządzalnym odnotowano w gospodarstwach domowych rencistów, zaś najniższy w gospodarstwach domowych rolników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3827" id="Pole tekstowe 3" o:spid="_x0000_s1030" type="#_x0000_t202" style="position:absolute;left:0;text-align:left;margin-left:410.25pt;margin-top:92.25pt;width:135.85pt;height:132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6HEwIAAP8DAAAOAAAAZHJzL2Uyb0RvYy54bWysU9Fu2yAUfZ+0f0C8L3bcJG2skKpr12lS&#10;t1Xq9gEE4xgVuAxI7Ozrd8FJFm1v0/yAwJd77j3nHla3g9FkL31QYBmdTkpKpBXQKLtl9Pu3x3c3&#10;lITIbcM1WMnoQQZ6u377ZtW7WlbQgW6kJwhiQ907RrsYXV0UQXTS8DABJy0GW/CGRzz6bdF43iO6&#10;0UVVlouiB984D0KGgH8fxiBdZ/y2lSJ+bdsgI9GMYm8xrz6vm7QW6xWvt567ToljG/wfujBcWSx6&#10;hnrgkZOdV39BGSU8BGjjRIApoG2VkJkDspmWf7B56biTmQuKE9xZpvD/YMWX/bMnqmH0ihLLDY7o&#10;GbQkUb6GCL0kV0mi3oUab744vBuH9zDgqDPd4J5AvAZi4b7jdivvvIe+k7zBFqcps7hIHXFCAtn0&#10;n6HBWnwXIQMNrTdJP1SEIDqO6nAejxwiEankdTWvlnNKBMami+vFrMwDLHh9Snc+xI8SDEkbRj3O&#10;P8Pz/VOIqR1en66kahYeldbZA9qSntHlvJrnhIuIUREtqpVh9KZM32iaxPKDbXJy5EqPeyyg7ZF2&#10;YjpyjsNmyCLPTmpuoDmgDh5GR+ILwk0H/iclPbqR0fBjx72kRH+yqOVyOpsl++bDbH5d4cFfRjaX&#10;EW4FQjEaKRm39zFbfqR8h5q3KquRhjN2cmwZXZZFOr6IZOPLc771+92ufwEAAP//AwBQSwMEFAAG&#10;AAgAAAAhAHWnHLXeAAAADAEAAA8AAABkcnMvZG93bnJldi54bWxMj8FOwzAMhu9Ie4fISLuxhKpF&#10;XWk6TaBdQWyAxC1rvLaicaomW8vb453gZuv/9PtzuZldLy44hs6ThvuVAoFUe9tRo+H9sLvLQYRo&#10;yJreE2r4wQCbanFTmsL6id7wso+N4BIKhdHQxjgUUoa6RWfCyg9InJ386EzkdWykHc3E5a6XiVIP&#10;0pmO+EJrBnxqsf7en52Gj5fT12eqXptnlw2Tn5Ukt5ZaL2/n7SOIiHP8g+Gqz+pQsdPRn8kG0WvI&#10;E5UxykGe8nAl1DpJQBw1pGmegaxK+f+J6hcAAP//AwBQSwECLQAUAAYACAAAACEAtoM4kv4AAADh&#10;AQAAEwAAAAAAAAAAAAAAAAAAAAAAW0NvbnRlbnRfVHlwZXNdLnhtbFBLAQItABQABgAIAAAAIQA4&#10;/SH/1gAAAJQBAAALAAAAAAAAAAAAAAAAAC8BAABfcmVscy8ucmVsc1BLAQItABQABgAIAAAAIQAT&#10;FY6HEwIAAP8DAAAOAAAAAAAAAAAAAAAAAC4CAABkcnMvZTJvRG9jLnhtbFBLAQItABQABgAIAAAA&#10;IQB1pxy13gAAAAwBAAAPAAAAAAAAAAAAAAAAAG0EAABkcnMvZG93bnJldi54bWxQSwUGAAAAAAQA&#10;BADzAAAAeAUAAAAA&#10;" filled="f" stroked="f">
                <v:textbox>
                  <w:txbxContent>
                    <w:p w14:paraId="775B7A6B" w14:textId="77777777" w:rsidR="00E913EA" w:rsidRPr="00F377FA" w:rsidRDefault="00E913EA" w:rsidP="00B246C8">
                      <w:pPr>
                        <w:pStyle w:val="tekstzboku"/>
                        <w:rPr>
                          <w:bCs w:val="0"/>
                          <w:i/>
                        </w:rPr>
                      </w:pPr>
                      <w:r w:rsidRPr="002400F5">
                        <w:t>Najwyższy udział wydatków w dochodzie rozporządzalnym odnotowano w gospodarstwach domowych rencistów, zaś najniższy w gospodarstwach domowych rolników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91912C" w14:textId="77777777" w:rsidR="00B246C8" w:rsidRPr="003B33FE" w:rsidRDefault="00B246C8" w:rsidP="00B246C8">
      <w:pPr>
        <w:spacing w:line="240" w:lineRule="auto"/>
        <w:jc w:val="both"/>
        <w:rPr>
          <w:b/>
          <w:i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06D73684" wp14:editId="09532725">
            <wp:extent cx="5120640" cy="3014345"/>
            <wp:effectExtent l="0" t="0" r="3810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571208" w14:textId="77777777" w:rsidR="00B246C8" w:rsidRPr="002400F5" w:rsidRDefault="00B246C8" w:rsidP="00764D9C">
      <w:pPr>
        <w:rPr>
          <w:spacing w:val="-2"/>
          <w:shd w:val="clear" w:color="auto" w:fill="FFFFFF"/>
        </w:rPr>
      </w:pPr>
    </w:p>
    <w:p w14:paraId="170D79D0" w14:textId="6BBF0450" w:rsidR="00764D9C" w:rsidRPr="003D40C1" w:rsidRDefault="006B14B8" w:rsidP="00E913EA">
      <w:pPr>
        <w:rPr>
          <w:spacing w:val="-2"/>
          <w:shd w:val="clear" w:color="auto" w:fill="FFFFFF"/>
        </w:rPr>
      </w:pPr>
      <w:r w:rsidRPr="003D40C1">
        <w:rPr>
          <w:spacing w:val="-2"/>
          <w:shd w:val="clear" w:color="auto" w:fill="FFFFFF"/>
        </w:rPr>
        <w:t>W przypadku dochodów r</w:t>
      </w:r>
      <w:r w:rsidR="00764D9C" w:rsidRPr="003D40C1">
        <w:rPr>
          <w:spacing w:val="-2"/>
          <w:shd w:val="clear" w:color="auto" w:fill="FFFFFF"/>
        </w:rPr>
        <w:t>ozpiętość wskaźnika przeciętnych miesięcznych dochodów i wydatków według grup społec</w:t>
      </w:r>
      <w:r w:rsidR="00482D0F" w:rsidRPr="003D40C1">
        <w:rPr>
          <w:spacing w:val="-2"/>
          <w:shd w:val="clear" w:color="auto" w:fill="FFFFFF"/>
        </w:rPr>
        <w:t>z</w:t>
      </w:r>
      <w:r w:rsidR="00764D9C" w:rsidRPr="003D40C1">
        <w:rPr>
          <w:spacing w:val="-2"/>
          <w:shd w:val="clear" w:color="auto" w:fill="FFFFFF"/>
        </w:rPr>
        <w:t xml:space="preserve">no-ekonomicznych w odniesieniu do średniej krajowej </w:t>
      </w:r>
      <w:r w:rsidR="001F7447" w:rsidRPr="003D40C1">
        <w:rPr>
          <w:spacing w:val="-2"/>
          <w:shd w:val="clear" w:color="auto" w:fill="FFFFFF"/>
        </w:rPr>
        <w:t xml:space="preserve">pozostała na zbliżonym </w:t>
      </w:r>
      <w:r w:rsidR="00580004" w:rsidRPr="003D40C1">
        <w:rPr>
          <w:spacing w:val="-2"/>
          <w:shd w:val="clear" w:color="auto" w:fill="FFFFFF"/>
        </w:rPr>
        <w:t>do</w:t>
      </w:r>
      <w:r w:rsidR="001F7447" w:rsidRPr="003D40C1">
        <w:rPr>
          <w:spacing w:val="-2"/>
          <w:shd w:val="clear" w:color="auto" w:fill="FFFFFF"/>
        </w:rPr>
        <w:t xml:space="preserve"> 2019 </w:t>
      </w:r>
      <w:r w:rsidR="0013076E" w:rsidRPr="003D40C1">
        <w:rPr>
          <w:spacing w:val="-2"/>
          <w:shd w:val="clear" w:color="auto" w:fill="FFFFFF"/>
        </w:rPr>
        <w:t xml:space="preserve">r. </w:t>
      </w:r>
      <w:r w:rsidR="00AC2BAA" w:rsidRPr="003D40C1">
        <w:rPr>
          <w:spacing w:val="-2"/>
          <w:shd w:val="clear" w:color="auto" w:fill="FFFFFF"/>
        </w:rPr>
        <w:t xml:space="preserve">poziomie </w:t>
      </w:r>
      <w:r w:rsidR="001F7447" w:rsidRPr="003D40C1">
        <w:rPr>
          <w:spacing w:val="-2"/>
          <w:shd w:val="clear" w:color="auto" w:fill="FFFFFF"/>
        </w:rPr>
        <w:t xml:space="preserve">i </w:t>
      </w:r>
      <w:r w:rsidR="00972330" w:rsidRPr="003D40C1">
        <w:rPr>
          <w:spacing w:val="-2"/>
          <w:shd w:val="clear" w:color="auto" w:fill="FFFFFF"/>
        </w:rPr>
        <w:t xml:space="preserve">wyniosła </w:t>
      </w:r>
      <w:r w:rsidR="00764D9C" w:rsidRPr="003D40C1">
        <w:rPr>
          <w:spacing w:val="-2"/>
          <w:shd w:val="clear" w:color="auto" w:fill="FFFFFF"/>
        </w:rPr>
        <w:t>3</w:t>
      </w:r>
      <w:r w:rsidR="001A3D75" w:rsidRPr="003D40C1">
        <w:rPr>
          <w:spacing w:val="-2"/>
          <w:shd w:val="clear" w:color="auto" w:fill="FFFFFF"/>
        </w:rPr>
        <w:t>7,</w:t>
      </w:r>
      <w:r w:rsidR="001F7447" w:rsidRPr="003D40C1">
        <w:rPr>
          <w:spacing w:val="-2"/>
          <w:shd w:val="clear" w:color="auto" w:fill="FFFFFF"/>
        </w:rPr>
        <w:t>3</w:t>
      </w:r>
      <w:r w:rsidR="001A3D75" w:rsidRPr="003D40C1">
        <w:rPr>
          <w:spacing w:val="-2"/>
          <w:shd w:val="clear" w:color="auto" w:fill="FFFFFF"/>
        </w:rPr>
        <w:t> </w:t>
      </w:r>
      <w:r w:rsidR="008E2986" w:rsidRPr="003D40C1">
        <w:rPr>
          <w:spacing w:val="-2"/>
          <w:shd w:val="clear" w:color="auto" w:fill="FFFFFF"/>
        </w:rPr>
        <w:t>p. </w:t>
      </w:r>
      <w:r w:rsidR="00764D9C" w:rsidRPr="00122D2E">
        <w:rPr>
          <w:spacing w:val="-2"/>
          <w:shd w:val="clear" w:color="auto" w:fill="FFFFFF"/>
        </w:rPr>
        <w:t xml:space="preserve">proc. </w:t>
      </w:r>
      <w:r w:rsidR="00112CA9" w:rsidRPr="00122D2E">
        <w:rPr>
          <w:spacing w:val="-2"/>
          <w:shd w:val="clear" w:color="auto" w:fill="FFFFFF"/>
        </w:rPr>
        <w:t>(w 2019 r. – 37,2 p.</w:t>
      </w:r>
      <w:r w:rsidR="00122D2E">
        <w:rPr>
          <w:spacing w:val="-2"/>
          <w:shd w:val="clear" w:color="auto" w:fill="FFFFFF"/>
        </w:rPr>
        <w:t xml:space="preserve"> </w:t>
      </w:r>
      <w:r w:rsidR="00112CA9" w:rsidRPr="00122D2E">
        <w:rPr>
          <w:spacing w:val="-2"/>
          <w:shd w:val="clear" w:color="auto" w:fill="FFFFFF"/>
        </w:rPr>
        <w:t>proc.)</w:t>
      </w:r>
      <w:r w:rsidR="00972330" w:rsidRPr="00122D2E">
        <w:rPr>
          <w:spacing w:val="-2"/>
          <w:shd w:val="clear" w:color="auto" w:fill="FFFFFF"/>
        </w:rPr>
        <w:t>, zaś</w:t>
      </w:r>
      <w:r w:rsidR="00764D9C" w:rsidRPr="00122D2E">
        <w:rPr>
          <w:spacing w:val="-2"/>
          <w:shd w:val="clear" w:color="auto" w:fill="FFFFFF"/>
        </w:rPr>
        <w:t> </w:t>
      </w:r>
      <w:r w:rsidR="00972330" w:rsidRPr="003D40C1">
        <w:rPr>
          <w:spacing w:val="-2"/>
          <w:shd w:val="clear" w:color="auto" w:fill="FFFFFF"/>
        </w:rPr>
        <w:t xml:space="preserve">w </w:t>
      </w:r>
      <w:r w:rsidR="009B0038" w:rsidRPr="003D40C1">
        <w:rPr>
          <w:spacing w:val="-2"/>
          <w:shd w:val="clear" w:color="auto" w:fill="FFFFFF"/>
        </w:rPr>
        <w:t xml:space="preserve">przypadku wydatków wyniosła </w:t>
      </w:r>
      <w:r w:rsidR="001F7447" w:rsidRPr="003D40C1">
        <w:rPr>
          <w:spacing w:val="-2"/>
          <w:shd w:val="clear" w:color="auto" w:fill="FFFFFF"/>
        </w:rPr>
        <w:t>47,4</w:t>
      </w:r>
      <w:r w:rsidR="004673F1" w:rsidRPr="003D40C1">
        <w:rPr>
          <w:spacing w:val="-2"/>
          <w:shd w:val="clear" w:color="auto" w:fill="FFFFFF"/>
        </w:rPr>
        <w:t xml:space="preserve"> p. proc.</w:t>
      </w:r>
      <w:r w:rsidR="001F7447" w:rsidRPr="003D40C1">
        <w:rPr>
          <w:spacing w:val="-2"/>
          <w:shd w:val="clear" w:color="auto" w:fill="FFFFFF"/>
        </w:rPr>
        <w:t xml:space="preserve"> </w:t>
      </w:r>
      <w:r w:rsidR="00AD60A7" w:rsidRPr="003D40C1">
        <w:rPr>
          <w:spacing w:val="-2"/>
          <w:shd w:val="clear" w:color="auto" w:fill="FFFFFF"/>
        </w:rPr>
        <w:t xml:space="preserve">(wzrost o </w:t>
      </w:r>
      <w:r w:rsidR="001F7447" w:rsidRPr="003D40C1">
        <w:rPr>
          <w:spacing w:val="-2"/>
          <w:shd w:val="clear" w:color="auto" w:fill="FFFFFF"/>
        </w:rPr>
        <w:t>2,8</w:t>
      </w:r>
      <w:r w:rsidR="00764D9C" w:rsidRPr="003D40C1">
        <w:rPr>
          <w:spacing w:val="-2"/>
          <w:shd w:val="clear" w:color="auto" w:fill="FFFFFF"/>
        </w:rPr>
        <w:t xml:space="preserve"> p. proc.).</w:t>
      </w:r>
      <w:r w:rsidR="00AC2BAA" w:rsidRPr="003D40C1">
        <w:rPr>
          <w:spacing w:val="-2"/>
          <w:shd w:val="clear" w:color="auto" w:fill="FFFFFF"/>
        </w:rPr>
        <w:t xml:space="preserve"> </w:t>
      </w:r>
    </w:p>
    <w:p w14:paraId="74044589" w14:textId="1E0F1FB8" w:rsidR="00CC11A3" w:rsidRDefault="00D06E6A" w:rsidP="00E913EA">
      <w:pPr>
        <w:spacing w:line="240" w:lineRule="auto"/>
        <w:rPr>
          <w:i/>
          <w:spacing w:val="-2"/>
          <w:shd w:val="clear" w:color="auto" w:fill="FFFFFF"/>
        </w:rPr>
      </w:pPr>
      <w:r w:rsidRPr="003D40C1">
        <w:rPr>
          <w:spacing w:val="-2"/>
          <w:shd w:val="clear" w:color="auto" w:fill="FFFFFF"/>
        </w:rPr>
        <w:t>Tak jak w latach</w:t>
      </w:r>
      <w:r w:rsidR="00764D9C" w:rsidRPr="003D40C1">
        <w:rPr>
          <w:spacing w:val="-2"/>
          <w:shd w:val="clear" w:color="auto" w:fill="FFFFFF"/>
        </w:rPr>
        <w:t xml:space="preserve"> poprzednich, najwyższy udział wydatków w dochodach (</w:t>
      </w:r>
      <w:r w:rsidR="00984466" w:rsidRPr="003D40C1">
        <w:rPr>
          <w:spacing w:val="-2"/>
          <w:shd w:val="clear" w:color="auto" w:fill="FFFFFF"/>
        </w:rPr>
        <w:t>78,8</w:t>
      </w:r>
      <w:r w:rsidR="00764D9C" w:rsidRPr="003D40C1">
        <w:rPr>
          <w:spacing w:val="-2"/>
          <w:shd w:val="clear" w:color="auto" w:fill="FFFFFF"/>
        </w:rPr>
        <w:t>%) i najniższą kwotę nadwyżki przeciętnych miesięcznych doch</w:t>
      </w:r>
      <w:r w:rsidR="002400F5" w:rsidRPr="003D40C1">
        <w:rPr>
          <w:spacing w:val="-2"/>
          <w:shd w:val="clear" w:color="auto" w:fill="FFFFFF"/>
        </w:rPr>
        <w:t xml:space="preserve">odów </w:t>
      </w:r>
      <w:r w:rsidR="00CC11A3">
        <w:rPr>
          <w:spacing w:val="-2"/>
          <w:shd w:val="clear" w:color="auto" w:fill="FFFFFF"/>
        </w:rPr>
        <w:t xml:space="preserve">rozporządzalnych </w:t>
      </w:r>
      <w:r w:rsidR="002400F5" w:rsidRPr="003D40C1">
        <w:rPr>
          <w:spacing w:val="-2"/>
          <w:shd w:val="clear" w:color="auto" w:fill="FFFFFF"/>
        </w:rPr>
        <w:t>nad średnimi wydatkami (</w:t>
      </w:r>
      <w:r w:rsidR="00984466" w:rsidRPr="003D40C1">
        <w:rPr>
          <w:spacing w:val="-2"/>
          <w:shd w:val="clear" w:color="auto" w:fill="FFFFFF"/>
        </w:rPr>
        <w:t>322</w:t>
      </w:r>
      <w:r w:rsidR="00CC11A3">
        <w:rPr>
          <w:spacing w:val="-2"/>
          <w:shd w:val="clear" w:color="auto" w:fill="FFFFFF"/>
        </w:rPr>
        <w:t> </w:t>
      </w:r>
      <w:r w:rsidR="00764D9C" w:rsidRPr="003D40C1">
        <w:rPr>
          <w:spacing w:val="-2"/>
          <w:shd w:val="clear" w:color="auto" w:fill="FFFFFF"/>
        </w:rPr>
        <w:t>zł), odnotowano w</w:t>
      </w:r>
      <w:r w:rsidR="00CF7C9E">
        <w:rPr>
          <w:spacing w:val="-2"/>
          <w:shd w:val="clear" w:color="auto" w:fill="FFFFFF"/>
        </w:rPr>
        <w:t> </w:t>
      </w:r>
      <w:r w:rsidR="00764D9C" w:rsidRPr="003D40C1">
        <w:rPr>
          <w:spacing w:val="-2"/>
          <w:shd w:val="clear" w:color="auto" w:fill="FFFFFF"/>
        </w:rPr>
        <w:t xml:space="preserve">gospodarstwach domowych rencistów. Najniższy udział wydatków w dochodach </w:t>
      </w:r>
      <w:r w:rsidR="000E02F4" w:rsidRPr="003D40C1">
        <w:rPr>
          <w:spacing w:val="-2"/>
          <w:shd w:val="clear" w:color="auto" w:fill="FFFFFF"/>
        </w:rPr>
        <w:t>(</w:t>
      </w:r>
      <w:r w:rsidR="00984466" w:rsidRPr="003D40C1">
        <w:rPr>
          <w:spacing w:val="-2"/>
          <w:shd w:val="clear" w:color="auto" w:fill="FFFFFF"/>
        </w:rPr>
        <w:t>45</w:t>
      </w:r>
      <w:r w:rsidR="00974AA6" w:rsidRPr="003D40C1">
        <w:rPr>
          <w:spacing w:val="-2"/>
          <w:shd w:val="clear" w:color="auto" w:fill="FFFFFF"/>
        </w:rPr>
        <w:t>,</w:t>
      </w:r>
      <w:r w:rsidR="00984466" w:rsidRPr="003D40C1">
        <w:rPr>
          <w:spacing w:val="-2"/>
          <w:shd w:val="clear" w:color="auto" w:fill="FFFFFF"/>
        </w:rPr>
        <w:t>3</w:t>
      </w:r>
      <w:r w:rsidR="000E02F4" w:rsidRPr="003D40C1">
        <w:rPr>
          <w:spacing w:val="-2"/>
          <w:shd w:val="clear" w:color="auto" w:fill="FFFFFF"/>
        </w:rPr>
        <w:t>%) i największ</w:t>
      </w:r>
      <w:r w:rsidR="00CC11A3">
        <w:rPr>
          <w:spacing w:val="-2"/>
          <w:shd w:val="clear" w:color="auto" w:fill="FFFFFF"/>
        </w:rPr>
        <w:t>ą</w:t>
      </w:r>
      <w:r w:rsidR="000E02F4" w:rsidRPr="003D40C1">
        <w:rPr>
          <w:spacing w:val="-2"/>
          <w:shd w:val="clear" w:color="auto" w:fill="FFFFFF"/>
        </w:rPr>
        <w:t xml:space="preserve"> średni</w:t>
      </w:r>
      <w:r w:rsidR="00CC11A3">
        <w:rPr>
          <w:spacing w:val="-2"/>
          <w:shd w:val="clear" w:color="auto" w:fill="FFFFFF"/>
        </w:rPr>
        <w:t>ą</w:t>
      </w:r>
      <w:r w:rsidR="000E02F4" w:rsidRPr="003D40C1">
        <w:rPr>
          <w:spacing w:val="-2"/>
          <w:shd w:val="clear" w:color="auto" w:fill="FFFFFF"/>
        </w:rPr>
        <w:t xml:space="preserve"> kwot</w:t>
      </w:r>
      <w:r w:rsidR="00CC11A3">
        <w:rPr>
          <w:spacing w:val="-2"/>
          <w:shd w:val="clear" w:color="auto" w:fill="FFFFFF"/>
        </w:rPr>
        <w:t>ę</w:t>
      </w:r>
      <w:r w:rsidR="00764D9C" w:rsidRPr="003D40C1">
        <w:rPr>
          <w:spacing w:val="-2"/>
          <w:shd w:val="clear" w:color="auto" w:fill="FFFFFF"/>
        </w:rPr>
        <w:t xml:space="preserve"> nad</w:t>
      </w:r>
      <w:r w:rsidR="00974AA6" w:rsidRPr="003D40C1">
        <w:rPr>
          <w:spacing w:val="-2"/>
          <w:shd w:val="clear" w:color="auto" w:fill="FFFFFF"/>
        </w:rPr>
        <w:t>wyżki dochodu nad wydatkami (</w:t>
      </w:r>
      <w:r w:rsidR="00984466" w:rsidRPr="003D40C1">
        <w:rPr>
          <w:spacing w:val="-2"/>
          <w:shd w:val="clear" w:color="auto" w:fill="FFFFFF"/>
        </w:rPr>
        <w:t>1014</w:t>
      </w:r>
      <w:r w:rsidR="00972330" w:rsidRPr="003D40C1">
        <w:rPr>
          <w:spacing w:val="-2"/>
          <w:shd w:val="clear" w:color="auto" w:fill="FFFFFF"/>
        </w:rPr>
        <w:t xml:space="preserve"> </w:t>
      </w:r>
      <w:r w:rsidR="00764D9C" w:rsidRPr="003D40C1">
        <w:rPr>
          <w:spacing w:val="-2"/>
          <w:shd w:val="clear" w:color="auto" w:fill="FFFFFF"/>
        </w:rPr>
        <w:t xml:space="preserve">zł) </w:t>
      </w:r>
      <w:r w:rsidR="00C21932" w:rsidRPr="003D40C1">
        <w:rPr>
          <w:spacing w:val="-2"/>
          <w:shd w:val="clear" w:color="auto" w:fill="FFFFFF"/>
        </w:rPr>
        <w:t xml:space="preserve">miały </w:t>
      </w:r>
      <w:r w:rsidR="00764D9C" w:rsidRPr="003D40C1">
        <w:rPr>
          <w:spacing w:val="-2"/>
          <w:shd w:val="clear" w:color="auto" w:fill="FFFFFF"/>
        </w:rPr>
        <w:t>gospodarstwa domow</w:t>
      </w:r>
      <w:r w:rsidR="00CC11A3">
        <w:rPr>
          <w:spacing w:val="-2"/>
          <w:shd w:val="clear" w:color="auto" w:fill="FFFFFF"/>
        </w:rPr>
        <w:t>e</w:t>
      </w:r>
      <w:r w:rsidR="00764D9C" w:rsidRPr="003D40C1">
        <w:rPr>
          <w:spacing w:val="-2"/>
          <w:shd w:val="clear" w:color="auto" w:fill="FFFFFF"/>
        </w:rPr>
        <w:t xml:space="preserve"> rolników</w:t>
      </w:r>
      <w:r w:rsidR="00972330" w:rsidRPr="003D40C1">
        <w:rPr>
          <w:spacing w:val="-2"/>
          <w:shd w:val="clear" w:color="auto" w:fill="FFFFFF"/>
        </w:rPr>
        <w:t>.</w:t>
      </w:r>
      <w:r w:rsidR="00764D9C" w:rsidRPr="003D40C1">
        <w:rPr>
          <w:i/>
          <w:spacing w:val="-2"/>
          <w:shd w:val="clear" w:color="auto" w:fill="FFFFFF"/>
        </w:rPr>
        <w:t xml:space="preserve"> </w:t>
      </w:r>
    </w:p>
    <w:p w14:paraId="19DFA38C" w14:textId="41A3E33D" w:rsidR="00122D2E" w:rsidRDefault="00CC11A3" w:rsidP="00E913EA">
      <w:pPr>
        <w:spacing w:line="240" w:lineRule="auto"/>
        <w:rPr>
          <w:i/>
          <w:noProof/>
          <w:lang w:eastAsia="pl-PL"/>
        </w:rPr>
      </w:pPr>
      <w:r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308493BD" wp14:editId="25E675A6">
                <wp:simplePos x="0" y="0"/>
                <wp:positionH relativeFrom="column">
                  <wp:posOffset>5213350</wp:posOffset>
                </wp:positionH>
                <wp:positionV relativeFrom="paragraph">
                  <wp:posOffset>239395</wp:posOffset>
                </wp:positionV>
                <wp:extent cx="1781175" cy="1162050"/>
                <wp:effectExtent l="0" t="0" r="0" b="0"/>
                <wp:wrapTight wrapText="bothSides">
                  <wp:wrapPolygon edited="0">
                    <wp:start x="693" y="0"/>
                    <wp:lineTo x="693" y="21246"/>
                    <wp:lineTo x="20791" y="21246"/>
                    <wp:lineTo x="20791" y="0"/>
                    <wp:lineTo x="693" y="0"/>
                  </wp:wrapPolygon>
                </wp:wrapTight>
                <wp:docPr id="221" name="Pole tekstow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0A3A" w14:textId="6DC1592D" w:rsidR="00E913EA" w:rsidRPr="00F377FA" w:rsidRDefault="00E913EA" w:rsidP="00187226">
                            <w:pPr>
                              <w:pStyle w:val="tekstzboku"/>
                              <w:rPr>
                                <w:bCs w:val="0"/>
                                <w:i/>
                              </w:rPr>
                            </w:pPr>
                            <w:r w:rsidRPr="00CC11A3">
                              <w:t>W stosunku do 2019 r. poprawiła się sytuacja dochodowa w grupie gospodarstw domowych rolników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493BD" id="Pole tekstowe 221" o:spid="_x0000_s1031" type="#_x0000_t202" style="position:absolute;margin-left:410.5pt;margin-top:18.85pt;width:140.25pt;height:91.5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ewFQIAAAMEAAAOAAAAZHJzL2Uyb0RvYy54bWysU11v2yAUfZ+0/4B4X/yhuEmtOFXXrtOk&#10;bqvU7QcQjGNU4DIgsbNfvwtOsmh9q+YHBL73nnvP4bC6GbUie+G8BNPQYpZTIgyHVpptQ3/+ePiw&#10;pMQHZlqmwIiGHoSnN+v371aDrUUJPahWOIIgxteDbWgfgq2zzPNeaOZnYIXBYAdOs4BHt81axwZE&#10;1yor8/wqG8C11gEX3uPf+ylI1wm/6wQP37vOi0BUQ3G2kFaX1k1cs/WK1VvHbC/5cQz2hik0kwab&#10;nqHuWWBk5+QrKC25Aw9dmHHQGXSd5CJxQDZF/g+b555ZkbigON6eZfL/D5Z/2z85ItuGlmVBiWEa&#10;L+kJlCBBvPgAgyAxgDIN1teY/WwxP4wfYcTrTpS9fQT+4omBu56Zrbh1DoZesBbHTJXZRemE4yPI&#10;ZvgKLXZjuwAJaOycjhqiKgTR8boO5ysSYyA8tlwsi2JRUcIxVhRXZV6lS8xYfSq3zofPAjSJm4Y6&#10;9ECCZ/tHH5AIpp5SYjcDD1Kp5ANlyNDQ66qsUsFFRMuANlVSN3SZx28yTmT5ybSpODCppj02UAb7&#10;RNqR6cQ5jJsxCV2d1NxAe0AdHEyuxFeEmx7cb0oGdGRD/a8dc4IS9cWgltfFfB4tnA7zalHiwV1G&#10;NpcRZjhCNTRQMm3vQrL9RPkWNe9kUiNOOU1yHBmdlkQ6vopo5ctzyvr7dtd/AAAA//8DAFBLAwQU&#10;AAYACAAAACEAVEs9e98AAAALAQAADwAAAGRycy9kb3ducmV2LnhtbEyPzU7DMBCE70i8g7VI3Kid&#10;QJsSsqkQiGtRy4/EzY23SUS8jmK3CW9f90SPoxnNfFOsJtuJIw2+dYyQzBQI4sqZlmuEz4+3uyUI&#10;HzQb3TkmhD/ysCqvrwqdGzfyho7bUItYwj7XCE0IfS6lrxqy2s9cTxy9vRusDlEOtTSDHmO57WSq&#10;1EJa3XJcaHRPLw1Vv9uDRfha73++H9R7/Wrn/egmJdk+SsTbm+n5CUSgKfyH4Ywf0aGMTDt3YONF&#10;h7BMk/glINxnGYhzIFHJHMQOIU1VBrIs5OWH8gQAAP//AwBQSwECLQAUAAYACAAAACEAtoM4kv4A&#10;AADhAQAAEwAAAAAAAAAAAAAAAAAAAAAAW0NvbnRlbnRfVHlwZXNdLnhtbFBLAQItABQABgAIAAAA&#10;IQA4/SH/1gAAAJQBAAALAAAAAAAAAAAAAAAAAC8BAABfcmVscy8ucmVsc1BLAQItABQABgAIAAAA&#10;IQDAdQewFQIAAAMEAAAOAAAAAAAAAAAAAAAAAC4CAABkcnMvZTJvRG9jLnhtbFBLAQItABQABgAI&#10;AAAAIQBUSz173wAAAAsBAAAPAAAAAAAAAAAAAAAAAG8EAABkcnMvZG93bnJldi54bWxQSwUGAAAA&#10;AAQABADzAAAAewUAAAAA&#10;" filled="f" stroked="f">
                <v:textbox>
                  <w:txbxContent>
                    <w:p w14:paraId="0FBE0A3A" w14:textId="6DC1592D" w:rsidR="00E913EA" w:rsidRPr="00F377FA" w:rsidRDefault="00E913EA" w:rsidP="00187226">
                      <w:pPr>
                        <w:pStyle w:val="tekstzboku"/>
                        <w:rPr>
                          <w:bCs w:val="0"/>
                          <w:i/>
                        </w:rPr>
                      </w:pPr>
                      <w:r w:rsidRPr="00CC11A3">
                        <w:t>W stosunku do 2019 r. poprawiła się sytuacja dochodowa w grupie gospodarstw domowych rolników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21932" w:rsidRPr="003D40C1">
        <w:rPr>
          <w:spacing w:val="-2"/>
          <w:shd w:val="clear" w:color="auto" w:fill="FFFFFF"/>
        </w:rPr>
        <w:t>W porównaniu z rokiem poprzednim u</w:t>
      </w:r>
      <w:r w:rsidR="00E63765" w:rsidRPr="003D40C1">
        <w:rPr>
          <w:spacing w:val="-2"/>
          <w:shd w:val="clear" w:color="auto" w:fill="FFFFFF"/>
        </w:rPr>
        <w:t>dział wydatków w</w:t>
      </w:r>
      <w:r w:rsidR="00D65C9B" w:rsidRPr="003D40C1">
        <w:rPr>
          <w:spacing w:val="-2"/>
          <w:shd w:val="clear" w:color="auto" w:fill="FFFFFF"/>
        </w:rPr>
        <w:t> </w:t>
      </w:r>
      <w:r w:rsidR="00E63765" w:rsidRPr="003D40C1">
        <w:rPr>
          <w:spacing w:val="-2"/>
          <w:shd w:val="clear" w:color="auto" w:fill="FFFFFF"/>
        </w:rPr>
        <w:t xml:space="preserve">dochodach gospodarstw domowych </w:t>
      </w:r>
      <w:r w:rsidR="00432B4A" w:rsidRPr="003D40C1">
        <w:rPr>
          <w:spacing w:val="-2"/>
          <w:shd w:val="clear" w:color="auto" w:fill="FFFFFF"/>
        </w:rPr>
        <w:t>ogółem</w:t>
      </w:r>
      <w:r w:rsidR="00972330" w:rsidRPr="003D40C1">
        <w:rPr>
          <w:spacing w:val="-2"/>
          <w:shd w:val="clear" w:color="auto" w:fill="FFFFFF"/>
        </w:rPr>
        <w:t xml:space="preserve"> </w:t>
      </w:r>
      <w:r w:rsidR="0046539D">
        <w:rPr>
          <w:spacing w:val="-2"/>
          <w:shd w:val="clear" w:color="auto" w:fill="FFFFFF"/>
        </w:rPr>
        <w:t>obniżył się</w:t>
      </w:r>
      <w:r w:rsidR="00E63765" w:rsidRPr="003D40C1">
        <w:rPr>
          <w:spacing w:val="-2"/>
          <w:shd w:val="clear" w:color="auto" w:fill="FFFFFF"/>
        </w:rPr>
        <w:t xml:space="preserve"> o </w:t>
      </w:r>
      <w:r w:rsidR="001F7447" w:rsidRPr="003D40C1">
        <w:rPr>
          <w:spacing w:val="-2"/>
          <w:shd w:val="clear" w:color="auto" w:fill="FFFFFF"/>
        </w:rPr>
        <w:t>5,8</w:t>
      </w:r>
      <w:r w:rsidR="00E63765" w:rsidRPr="003D40C1">
        <w:rPr>
          <w:spacing w:val="-2"/>
          <w:shd w:val="clear" w:color="auto" w:fill="FFFFFF"/>
        </w:rPr>
        <w:t xml:space="preserve"> p. proc. </w:t>
      </w:r>
      <w:r>
        <w:rPr>
          <w:spacing w:val="-2"/>
          <w:shd w:val="clear" w:color="auto" w:fill="FFFFFF"/>
        </w:rPr>
        <w:t xml:space="preserve">do 63,0% </w:t>
      </w:r>
      <w:r w:rsidR="00E63765" w:rsidRPr="003D40C1">
        <w:rPr>
          <w:spacing w:val="-2"/>
          <w:shd w:val="clear" w:color="auto" w:fill="FFFFFF"/>
        </w:rPr>
        <w:t>(w 201</w:t>
      </w:r>
      <w:r w:rsidR="00984466" w:rsidRPr="003D40C1">
        <w:rPr>
          <w:spacing w:val="-2"/>
          <w:shd w:val="clear" w:color="auto" w:fill="FFFFFF"/>
        </w:rPr>
        <w:t>9</w:t>
      </w:r>
      <w:r w:rsidR="00E63765" w:rsidRPr="003D40C1">
        <w:rPr>
          <w:spacing w:val="-2"/>
          <w:shd w:val="clear" w:color="auto" w:fill="FFFFFF"/>
        </w:rPr>
        <w:t xml:space="preserve"> r. o </w:t>
      </w:r>
      <w:r w:rsidR="00984466" w:rsidRPr="003D40C1">
        <w:rPr>
          <w:spacing w:val="-2"/>
          <w:shd w:val="clear" w:color="auto" w:fill="FFFFFF"/>
        </w:rPr>
        <w:t>1,3</w:t>
      </w:r>
      <w:r w:rsidR="00E63765" w:rsidRPr="003D40C1">
        <w:rPr>
          <w:spacing w:val="-2"/>
          <w:shd w:val="clear" w:color="auto" w:fill="FFFFFF"/>
        </w:rPr>
        <w:t xml:space="preserve"> p. proc.)</w:t>
      </w:r>
      <w:r w:rsidR="00D65C9B" w:rsidRPr="003D40C1">
        <w:rPr>
          <w:spacing w:val="-2"/>
          <w:shd w:val="clear" w:color="auto" w:fill="FFFFFF"/>
        </w:rPr>
        <w:t>.</w:t>
      </w:r>
      <w:r w:rsidR="00122D2E" w:rsidRPr="00122D2E">
        <w:rPr>
          <w:i/>
          <w:noProof/>
          <w:lang w:eastAsia="pl-PL"/>
        </w:rPr>
        <w:t xml:space="preserve"> </w:t>
      </w:r>
    </w:p>
    <w:p w14:paraId="3252E009" w14:textId="1E87D343" w:rsidR="00B246C8" w:rsidRPr="003D40C1" w:rsidRDefault="00B246C8" w:rsidP="00E913EA">
      <w:pPr>
        <w:rPr>
          <w:spacing w:val="-2"/>
          <w:shd w:val="clear" w:color="auto" w:fill="FFFFFF"/>
        </w:rPr>
      </w:pPr>
      <w:r w:rsidRPr="003D40C1">
        <w:rPr>
          <w:spacing w:val="-2"/>
          <w:shd w:val="clear" w:color="auto" w:fill="FFFFFF"/>
        </w:rPr>
        <w:t xml:space="preserve">W 2020 r. wystąpił wzrost realnego przeciętnego miesięcznego dochodu rozporządzalnego ogółem na osobę – o 2,0% (w 2019 r. wzrost o 5,0%). Dotyczyło to większości grup społeczno-ekonomicznych gospodarstw domowych, poza gospodarstwami domowymi pracujących na własny rachunek poza gospodarstwem rolnym, w których dochody w ujęciu realnym </w:t>
      </w:r>
      <w:r w:rsidRPr="000851EC">
        <w:rPr>
          <w:spacing w:val="-2"/>
          <w:shd w:val="clear" w:color="auto" w:fill="FFFFFF"/>
        </w:rPr>
        <w:t xml:space="preserve">pozostały na podobnym poziomie (spadek o 0,1%) </w:t>
      </w:r>
      <w:r w:rsidRPr="003D40C1">
        <w:rPr>
          <w:spacing w:val="-2"/>
          <w:shd w:val="clear" w:color="auto" w:fill="FFFFFF"/>
        </w:rPr>
        <w:t>oraz gospodarstwami domowymi rencistów (spadek</w:t>
      </w:r>
      <w:r w:rsidR="00CF7C9E">
        <w:rPr>
          <w:spacing w:val="-2"/>
          <w:shd w:val="clear" w:color="auto" w:fill="FFFFFF"/>
        </w:rPr>
        <w:t xml:space="preserve"> </w:t>
      </w:r>
      <w:r w:rsidRPr="003D40C1">
        <w:rPr>
          <w:spacing w:val="-2"/>
          <w:shd w:val="clear" w:color="auto" w:fill="FFFFFF"/>
        </w:rPr>
        <w:t>o</w:t>
      </w:r>
      <w:r w:rsidR="00CF7C9E">
        <w:rPr>
          <w:spacing w:val="-2"/>
          <w:shd w:val="clear" w:color="auto" w:fill="FFFFFF"/>
        </w:rPr>
        <w:t> </w:t>
      </w:r>
      <w:r w:rsidRPr="003D40C1">
        <w:rPr>
          <w:spacing w:val="-2"/>
          <w:shd w:val="clear" w:color="auto" w:fill="FFFFFF"/>
        </w:rPr>
        <w:t xml:space="preserve">2,6%). Najwyższy realny wzrost dochodów zanotowano w gospodarstwach domowych rolników (o 7,7%), a najniższy w grupie emerytów (o 0,2%). </w:t>
      </w:r>
    </w:p>
    <w:p w14:paraId="64B75FF1" w14:textId="77777777" w:rsidR="00187226" w:rsidRPr="003B33FE" w:rsidRDefault="00187226" w:rsidP="00764D9C">
      <w:pPr>
        <w:rPr>
          <w:i/>
          <w:shd w:val="clear" w:color="auto" w:fill="FFFFFF"/>
        </w:rPr>
      </w:pPr>
    </w:p>
    <w:p w14:paraId="69E88ADF" w14:textId="77777777" w:rsidR="00764D9C" w:rsidRPr="003B33FE" w:rsidRDefault="00A4107E" w:rsidP="00764D9C">
      <w:pPr>
        <w:spacing w:line="240" w:lineRule="auto"/>
        <w:jc w:val="both"/>
        <w:rPr>
          <w:i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69248AA8" wp14:editId="565BBDB8">
            <wp:extent cx="5122545" cy="3096000"/>
            <wp:effectExtent l="0" t="0" r="1905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3F2EFB" w14:textId="77777777" w:rsidR="00B246C8" w:rsidRDefault="00B246C8" w:rsidP="00764D9C">
      <w:pPr>
        <w:rPr>
          <w:szCs w:val="19"/>
          <w:shd w:val="clear" w:color="auto" w:fill="FFFFFF"/>
        </w:rPr>
      </w:pPr>
    </w:p>
    <w:p w14:paraId="10D73138" w14:textId="65BDD5B5" w:rsidR="00B246C8" w:rsidRPr="000851EC" w:rsidRDefault="00B246C8" w:rsidP="00B246C8">
      <w:pPr>
        <w:rPr>
          <w:szCs w:val="19"/>
          <w:shd w:val="clear" w:color="auto" w:fill="FFFFFF"/>
        </w:rPr>
      </w:pPr>
      <w:r w:rsidRPr="00460304">
        <w:rPr>
          <w:szCs w:val="19"/>
          <w:shd w:val="clear" w:color="auto" w:fill="FFFFFF"/>
        </w:rPr>
        <w:t>Na realny wzrost dochodu rozporządzalnego w gospodarstw</w:t>
      </w:r>
      <w:r w:rsidR="0046539D">
        <w:rPr>
          <w:szCs w:val="19"/>
          <w:shd w:val="clear" w:color="auto" w:fill="FFFFFF"/>
        </w:rPr>
        <w:t>ach</w:t>
      </w:r>
      <w:r w:rsidRPr="00460304">
        <w:rPr>
          <w:szCs w:val="19"/>
          <w:shd w:val="clear" w:color="auto" w:fill="FFFFFF"/>
        </w:rPr>
        <w:t xml:space="preserve"> domowych rolników </w:t>
      </w:r>
      <w:r>
        <w:rPr>
          <w:szCs w:val="19"/>
          <w:shd w:val="clear" w:color="auto" w:fill="FFFFFF"/>
        </w:rPr>
        <w:t>wpłynął</w:t>
      </w:r>
      <w:r w:rsidRPr="00460304">
        <w:rPr>
          <w:szCs w:val="19"/>
          <w:shd w:val="clear" w:color="auto" w:fill="FFFFFF"/>
        </w:rPr>
        <w:t xml:space="preserve"> przede wszystkim realny wzrost dochodów z indywidualnego gospodarstwa rolnego w stosunku do 201</w:t>
      </w:r>
      <w:r>
        <w:rPr>
          <w:szCs w:val="19"/>
          <w:shd w:val="clear" w:color="auto" w:fill="FFFFFF"/>
        </w:rPr>
        <w:t>9</w:t>
      </w:r>
      <w:r w:rsidRPr="00460304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 xml:space="preserve">r. </w:t>
      </w:r>
      <w:r w:rsidRPr="00460304">
        <w:rPr>
          <w:szCs w:val="19"/>
          <w:shd w:val="clear" w:color="auto" w:fill="FFFFFF"/>
        </w:rPr>
        <w:t>(o </w:t>
      </w:r>
      <w:r>
        <w:rPr>
          <w:szCs w:val="19"/>
          <w:shd w:val="clear" w:color="auto" w:fill="FFFFFF"/>
        </w:rPr>
        <w:t>12,0</w:t>
      </w:r>
      <w:r w:rsidRPr="00460304">
        <w:rPr>
          <w:szCs w:val="19"/>
          <w:shd w:val="clear" w:color="auto" w:fill="FFFFFF"/>
        </w:rPr>
        <w:t>%)</w:t>
      </w:r>
      <w:r>
        <w:rPr>
          <w:rStyle w:val="Odwoanieprzypisudolnego"/>
          <w:spacing w:val="-2"/>
          <w:szCs w:val="19"/>
          <w:shd w:val="clear" w:color="auto" w:fill="FFFFFF"/>
        </w:rPr>
        <w:footnoteReference w:id="3"/>
      </w:r>
      <w:r>
        <w:rPr>
          <w:szCs w:val="19"/>
          <w:shd w:val="clear" w:color="auto" w:fill="FFFFFF"/>
        </w:rPr>
        <w:t xml:space="preserve"> </w:t>
      </w:r>
      <w:r w:rsidRPr="000851EC">
        <w:rPr>
          <w:szCs w:val="19"/>
          <w:shd w:val="clear" w:color="auto" w:fill="FFFFFF"/>
        </w:rPr>
        <w:t>oraz w mniejszym stopniu ze świadczeń społecznych (o 2,7%)</w:t>
      </w:r>
      <w:r w:rsidR="005E01DA">
        <w:rPr>
          <w:spacing w:val="-2"/>
          <w:szCs w:val="19"/>
          <w:shd w:val="clear" w:color="auto" w:fill="FFFFFF"/>
        </w:rPr>
        <w:t>, przy jednoczesnym spadku nakładów bieżących na gospodarstwo rolne (o 9,4%)</w:t>
      </w:r>
      <w:r w:rsidR="003A3998">
        <w:rPr>
          <w:spacing w:val="-2"/>
          <w:szCs w:val="19"/>
          <w:shd w:val="clear" w:color="auto" w:fill="FFFFFF"/>
        </w:rPr>
        <w:t>.</w:t>
      </w:r>
    </w:p>
    <w:p w14:paraId="1924838D" w14:textId="69FA3A82" w:rsidR="00764D9C" w:rsidRDefault="00B0297A" w:rsidP="00764D9C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W</w:t>
      </w:r>
      <w:r w:rsidRPr="003E4EDC">
        <w:rPr>
          <w:szCs w:val="19"/>
          <w:shd w:val="clear" w:color="auto" w:fill="FFFFFF"/>
        </w:rPr>
        <w:t xml:space="preserve"> gospodarstwach domowych emerytów odnotowano </w:t>
      </w:r>
      <w:r>
        <w:rPr>
          <w:szCs w:val="19"/>
          <w:shd w:val="clear" w:color="auto" w:fill="FFFFFF"/>
        </w:rPr>
        <w:t>n</w:t>
      </w:r>
      <w:r w:rsidR="00764D9C" w:rsidRPr="003E4EDC">
        <w:rPr>
          <w:szCs w:val="19"/>
          <w:shd w:val="clear" w:color="auto" w:fill="FFFFFF"/>
        </w:rPr>
        <w:t xml:space="preserve">ajwyższy udział dochodów z głównego źródła utrzymania </w:t>
      </w:r>
      <w:r w:rsidR="003E4EDC" w:rsidRPr="003E4EDC">
        <w:rPr>
          <w:szCs w:val="19"/>
          <w:shd w:val="clear" w:color="auto" w:fill="FFFFFF"/>
        </w:rPr>
        <w:t>(</w:t>
      </w:r>
      <w:r w:rsidR="003E1A58">
        <w:rPr>
          <w:szCs w:val="19"/>
          <w:shd w:val="clear" w:color="auto" w:fill="FFFFFF"/>
        </w:rPr>
        <w:t>84,5</w:t>
      </w:r>
      <w:r w:rsidR="00764D9C" w:rsidRPr="003E4EDC">
        <w:rPr>
          <w:szCs w:val="19"/>
          <w:shd w:val="clear" w:color="auto" w:fill="FFFFFF"/>
        </w:rPr>
        <w:t xml:space="preserve">%), a </w:t>
      </w:r>
      <w:r w:rsidR="007E2298" w:rsidRPr="003E4EDC">
        <w:rPr>
          <w:szCs w:val="19"/>
          <w:shd w:val="clear" w:color="auto" w:fill="FFFFFF"/>
        </w:rPr>
        <w:t xml:space="preserve">w </w:t>
      </w:r>
      <w:r w:rsidR="00764D9C" w:rsidRPr="003E4EDC">
        <w:rPr>
          <w:szCs w:val="19"/>
          <w:shd w:val="clear" w:color="auto" w:fill="FFFFFF"/>
        </w:rPr>
        <w:t>gospodarstwa</w:t>
      </w:r>
      <w:r w:rsidR="007E2298" w:rsidRPr="003E4EDC">
        <w:rPr>
          <w:szCs w:val="19"/>
          <w:shd w:val="clear" w:color="auto" w:fill="FFFFFF"/>
        </w:rPr>
        <w:t>ch</w:t>
      </w:r>
      <w:r w:rsidR="00764D9C" w:rsidRPr="003E4EDC">
        <w:rPr>
          <w:szCs w:val="19"/>
          <w:shd w:val="clear" w:color="auto" w:fill="FFFFFF"/>
        </w:rPr>
        <w:t xml:space="preserve"> domow</w:t>
      </w:r>
      <w:r w:rsidR="007E2298" w:rsidRPr="003E4EDC">
        <w:rPr>
          <w:szCs w:val="19"/>
          <w:shd w:val="clear" w:color="auto" w:fill="FFFFFF"/>
        </w:rPr>
        <w:t>ych</w:t>
      </w:r>
      <w:r w:rsidR="003E4EDC" w:rsidRPr="003E4EDC">
        <w:rPr>
          <w:szCs w:val="19"/>
          <w:shd w:val="clear" w:color="auto" w:fill="FFFFFF"/>
        </w:rPr>
        <w:t xml:space="preserve"> </w:t>
      </w:r>
      <w:r w:rsidR="003E1A58">
        <w:rPr>
          <w:szCs w:val="19"/>
          <w:shd w:val="clear" w:color="auto" w:fill="FFFFFF"/>
        </w:rPr>
        <w:t>pracujących na własny rachunek</w:t>
      </w:r>
      <w:r w:rsidR="003E4EDC" w:rsidRPr="003E4EDC">
        <w:rPr>
          <w:szCs w:val="19"/>
          <w:shd w:val="clear" w:color="auto" w:fill="FFFFFF"/>
        </w:rPr>
        <w:t xml:space="preserve"> </w:t>
      </w:r>
      <w:r w:rsidR="001A3D75">
        <w:rPr>
          <w:szCs w:val="19"/>
          <w:shd w:val="clear" w:color="auto" w:fill="FFFFFF"/>
        </w:rPr>
        <w:t>–</w:t>
      </w:r>
      <w:r>
        <w:rPr>
          <w:szCs w:val="19"/>
          <w:shd w:val="clear" w:color="auto" w:fill="FFFFFF"/>
        </w:rPr>
        <w:t xml:space="preserve"> </w:t>
      </w:r>
      <w:r w:rsidRPr="003E4EDC">
        <w:rPr>
          <w:szCs w:val="19"/>
          <w:shd w:val="clear" w:color="auto" w:fill="FFFFFF"/>
        </w:rPr>
        <w:t xml:space="preserve">najniższy </w:t>
      </w:r>
      <w:r w:rsidR="003E4EDC" w:rsidRPr="003E4EDC">
        <w:rPr>
          <w:szCs w:val="19"/>
          <w:shd w:val="clear" w:color="auto" w:fill="FFFFFF"/>
        </w:rPr>
        <w:t>(</w:t>
      </w:r>
      <w:r w:rsidR="003E1A58">
        <w:rPr>
          <w:szCs w:val="19"/>
          <w:shd w:val="clear" w:color="auto" w:fill="FFFFFF"/>
        </w:rPr>
        <w:t>68,1</w:t>
      </w:r>
      <w:r w:rsidR="00764D9C" w:rsidRPr="003E4EDC">
        <w:rPr>
          <w:szCs w:val="19"/>
          <w:shd w:val="clear" w:color="auto" w:fill="FFFFFF"/>
        </w:rPr>
        <w:t>%).</w:t>
      </w:r>
    </w:p>
    <w:p w14:paraId="28D77956" w14:textId="31179DC3" w:rsidR="002C6EEE" w:rsidRDefault="002C6EEE" w:rsidP="002C6EEE">
      <w:pPr>
        <w:spacing w:before="0"/>
        <w:rPr>
          <w:spacing w:val="-2"/>
          <w:szCs w:val="19"/>
          <w:shd w:val="clear" w:color="auto" w:fill="FFFFFF"/>
        </w:rPr>
      </w:pPr>
      <w:r w:rsidRPr="008F2641">
        <w:rPr>
          <w:spacing w:val="-2"/>
          <w:szCs w:val="19"/>
          <w:shd w:val="clear" w:color="auto" w:fill="FFFFFF"/>
        </w:rPr>
        <w:t>Różnice w strukturze przeciętnego miesięcznego dochodu rozporządzalnego na 1 osobę w gospodarstwach domowych w porównaniu z 201</w:t>
      </w:r>
      <w:r>
        <w:rPr>
          <w:spacing w:val="-2"/>
          <w:szCs w:val="19"/>
          <w:shd w:val="clear" w:color="auto" w:fill="FFFFFF"/>
        </w:rPr>
        <w:t>9</w:t>
      </w:r>
      <w:r w:rsidRPr="008F2641">
        <w:rPr>
          <w:spacing w:val="-2"/>
          <w:szCs w:val="19"/>
          <w:shd w:val="clear" w:color="auto" w:fill="FFFFFF"/>
        </w:rPr>
        <w:t xml:space="preserve"> r. wyniosły od </w:t>
      </w:r>
      <w:r>
        <w:rPr>
          <w:spacing w:val="-2"/>
          <w:szCs w:val="19"/>
          <w:shd w:val="clear" w:color="auto" w:fill="FFFFFF"/>
        </w:rPr>
        <w:t>-1,3</w:t>
      </w:r>
      <w:r w:rsidRPr="008F2641">
        <w:rPr>
          <w:spacing w:val="-2"/>
          <w:szCs w:val="19"/>
          <w:shd w:val="clear" w:color="auto" w:fill="FFFFFF"/>
        </w:rPr>
        <w:t xml:space="preserve"> p. proc. w przypadku </w:t>
      </w:r>
      <w:r>
        <w:rPr>
          <w:spacing w:val="-2"/>
          <w:szCs w:val="19"/>
          <w:shd w:val="clear" w:color="auto" w:fill="FFFFFF"/>
        </w:rPr>
        <w:t xml:space="preserve">innych </w:t>
      </w:r>
      <w:r w:rsidRPr="008F2641">
        <w:rPr>
          <w:spacing w:val="-2"/>
          <w:szCs w:val="19"/>
          <w:shd w:val="clear" w:color="auto" w:fill="FFFFFF"/>
        </w:rPr>
        <w:t xml:space="preserve">dochodów </w:t>
      </w:r>
      <w:r>
        <w:rPr>
          <w:spacing w:val="-2"/>
          <w:szCs w:val="19"/>
          <w:shd w:val="clear" w:color="auto" w:fill="FFFFFF"/>
        </w:rPr>
        <w:t>do +1,2</w:t>
      </w:r>
      <w:r w:rsidRPr="008F2641">
        <w:rPr>
          <w:spacing w:val="-2"/>
          <w:szCs w:val="19"/>
          <w:shd w:val="clear" w:color="auto" w:fill="FFFFFF"/>
        </w:rPr>
        <w:t xml:space="preserve"> p. proc. w przypadku </w:t>
      </w:r>
      <w:r>
        <w:rPr>
          <w:spacing w:val="-2"/>
          <w:szCs w:val="19"/>
          <w:shd w:val="clear" w:color="auto" w:fill="FFFFFF"/>
        </w:rPr>
        <w:t xml:space="preserve">dochodów </w:t>
      </w:r>
      <w:r w:rsidRPr="008F2641">
        <w:rPr>
          <w:spacing w:val="-2"/>
          <w:szCs w:val="19"/>
          <w:shd w:val="clear" w:color="auto" w:fill="FFFFFF"/>
        </w:rPr>
        <w:t>z pracy najemnej</w:t>
      </w:r>
      <w:r>
        <w:rPr>
          <w:spacing w:val="-2"/>
          <w:szCs w:val="19"/>
          <w:shd w:val="clear" w:color="auto" w:fill="FFFFFF"/>
        </w:rPr>
        <w:t>.</w:t>
      </w:r>
    </w:p>
    <w:p w14:paraId="6D56AC29" w14:textId="77777777" w:rsidR="00764D9C" w:rsidRPr="003B33FE" w:rsidRDefault="00764D9C" w:rsidP="00764D9C">
      <w:pPr>
        <w:jc w:val="both"/>
        <w:rPr>
          <w:i/>
          <w:spacing w:val="-2"/>
          <w:szCs w:val="19"/>
          <w:shd w:val="clear" w:color="auto" w:fill="FFFFFF"/>
        </w:rPr>
      </w:pPr>
    </w:p>
    <w:p w14:paraId="31178B85" w14:textId="77777777" w:rsidR="00764D9C" w:rsidRPr="003B33FE" w:rsidRDefault="00674978" w:rsidP="00764D9C">
      <w:pPr>
        <w:spacing w:line="240" w:lineRule="auto"/>
        <w:rPr>
          <w:b/>
          <w:i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1C7D0D47" wp14:editId="6E41D18F">
            <wp:extent cx="5120640" cy="3456000"/>
            <wp:effectExtent l="0" t="0" r="3810" b="11430"/>
            <wp:docPr id="17" name="Wykres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F503312" w14:textId="18AFF7C1" w:rsidR="00FE5229" w:rsidRDefault="00A401E4" w:rsidP="008216FE">
      <w:pPr>
        <w:spacing w:before="0"/>
        <w:rPr>
          <w:spacing w:val="-2"/>
          <w:szCs w:val="19"/>
          <w:shd w:val="clear" w:color="auto" w:fill="FFFFFF"/>
        </w:rPr>
      </w:pPr>
      <w:r w:rsidRPr="008C4EF4">
        <w:rPr>
          <w:spacing w:val="-2"/>
          <w:szCs w:val="19"/>
          <w:shd w:val="clear" w:color="auto" w:fill="FFFFFF"/>
        </w:rPr>
        <w:lastRenderedPageBreak/>
        <w:t xml:space="preserve">W </w:t>
      </w:r>
      <w:r w:rsidR="00E30306" w:rsidRPr="008C4EF4">
        <w:rPr>
          <w:spacing w:val="-2"/>
          <w:szCs w:val="19"/>
          <w:shd w:val="clear" w:color="auto" w:fill="FFFFFF"/>
        </w:rPr>
        <w:t>2020 r</w:t>
      </w:r>
      <w:r w:rsidR="008C4EF4" w:rsidRPr="008C4EF4">
        <w:rPr>
          <w:spacing w:val="-2"/>
          <w:szCs w:val="19"/>
          <w:shd w:val="clear" w:color="auto" w:fill="FFFFFF"/>
        </w:rPr>
        <w:t xml:space="preserve">. </w:t>
      </w:r>
      <w:r w:rsidR="00E30306" w:rsidRPr="008C4EF4">
        <w:rPr>
          <w:spacing w:val="-2"/>
          <w:szCs w:val="19"/>
          <w:shd w:val="clear" w:color="auto" w:fill="FFFFFF"/>
        </w:rPr>
        <w:t xml:space="preserve">w </w:t>
      </w:r>
      <w:r w:rsidRPr="008C4EF4">
        <w:rPr>
          <w:spacing w:val="-2"/>
          <w:szCs w:val="19"/>
          <w:shd w:val="clear" w:color="auto" w:fill="FFFFFF"/>
        </w:rPr>
        <w:t xml:space="preserve">wyniku </w:t>
      </w:r>
      <w:r w:rsidR="00F045BB" w:rsidRPr="008C4EF4">
        <w:rPr>
          <w:spacing w:val="-2"/>
          <w:szCs w:val="19"/>
          <w:shd w:val="clear" w:color="auto" w:fill="FFFFFF"/>
        </w:rPr>
        <w:t xml:space="preserve">pandemii COVID-19 </w:t>
      </w:r>
      <w:r w:rsidR="00CC11A3">
        <w:rPr>
          <w:spacing w:val="-2"/>
          <w:szCs w:val="19"/>
          <w:shd w:val="clear" w:color="auto" w:fill="FFFFFF"/>
        </w:rPr>
        <w:t>i jej zróżnic</w:t>
      </w:r>
      <w:r w:rsidR="0052341E">
        <w:rPr>
          <w:spacing w:val="-2"/>
          <w:szCs w:val="19"/>
          <w:shd w:val="clear" w:color="auto" w:fill="FFFFFF"/>
        </w:rPr>
        <w:t xml:space="preserve">owanej dynamiki </w:t>
      </w:r>
      <w:r w:rsidR="00E30306" w:rsidRPr="008C4EF4">
        <w:rPr>
          <w:spacing w:val="-2"/>
          <w:szCs w:val="19"/>
          <w:shd w:val="clear" w:color="auto" w:fill="FFFFFF"/>
        </w:rPr>
        <w:t xml:space="preserve">występowały zarówno </w:t>
      </w:r>
      <w:r w:rsidR="00F045BB" w:rsidRPr="008C4EF4">
        <w:rPr>
          <w:spacing w:val="-2"/>
          <w:szCs w:val="19"/>
          <w:shd w:val="clear" w:color="auto" w:fill="FFFFFF"/>
        </w:rPr>
        <w:t>okresy</w:t>
      </w:r>
      <w:r w:rsidR="00C87B5B" w:rsidRPr="008C4EF4">
        <w:rPr>
          <w:spacing w:val="-2"/>
          <w:szCs w:val="19"/>
          <w:shd w:val="clear" w:color="auto" w:fill="FFFFFF"/>
        </w:rPr>
        <w:t xml:space="preserve"> zaostrzania, jak i luzowania</w:t>
      </w:r>
      <w:r w:rsidR="00F045BB" w:rsidRPr="008C4EF4">
        <w:rPr>
          <w:spacing w:val="-2"/>
          <w:szCs w:val="19"/>
          <w:shd w:val="clear" w:color="auto" w:fill="FFFFFF"/>
        </w:rPr>
        <w:t xml:space="preserve"> obostrzeń</w:t>
      </w:r>
      <w:r w:rsidR="00A73A97">
        <w:rPr>
          <w:spacing w:val="-2"/>
          <w:szCs w:val="19"/>
          <w:shd w:val="clear" w:color="auto" w:fill="FFFFFF"/>
        </w:rPr>
        <w:t xml:space="preserve"> sanitarnych</w:t>
      </w:r>
      <w:r w:rsidR="00F045BB" w:rsidRPr="008C4EF4">
        <w:rPr>
          <w:spacing w:val="-2"/>
          <w:szCs w:val="19"/>
          <w:shd w:val="clear" w:color="auto" w:fill="FFFFFF"/>
        </w:rPr>
        <w:t>, a co za tym idzie w</w:t>
      </w:r>
      <w:r w:rsidR="00FE5229" w:rsidRPr="008C4EF4">
        <w:rPr>
          <w:spacing w:val="-2"/>
          <w:szCs w:val="19"/>
          <w:shd w:val="clear" w:color="auto" w:fill="FFFFFF"/>
        </w:rPr>
        <w:t xml:space="preserve"> poszczególnych kwartałach </w:t>
      </w:r>
      <w:r w:rsidR="008C4EF4">
        <w:rPr>
          <w:spacing w:val="-2"/>
          <w:szCs w:val="19"/>
          <w:shd w:val="clear" w:color="auto" w:fill="FFFFFF"/>
        </w:rPr>
        <w:t>tego roku</w:t>
      </w:r>
      <w:r w:rsidR="00FE5229" w:rsidRPr="008C4EF4">
        <w:rPr>
          <w:spacing w:val="-2"/>
          <w:szCs w:val="19"/>
          <w:shd w:val="clear" w:color="auto" w:fill="FFFFFF"/>
        </w:rPr>
        <w:t xml:space="preserve"> w porównaniu </w:t>
      </w:r>
      <w:r w:rsidR="00E4627B" w:rsidRPr="008C4EF4">
        <w:rPr>
          <w:spacing w:val="-2"/>
          <w:szCs w:val="19"/>
          <w:shd w:val="clear" w:color="auto" w:fill="FFFFFF"/>
        </w:rPr>
        <w:t>z</w:t>
      </w:r>
      <w:r w:rsidR="00FE5229" w:rsidRPr="008C4EF4">
        <w:rPr>
          <w:spacing w:val="-2"/>
          <w:szCs w:val="19"/>
          <w:shd w:val="clear" w:color="auto" w:fill="FFFFFF"/>
        </w:rPr>
        <w:t xml:space="preserve"> analogiczny</w:t>
      </w:r>
      <w:r w:rsidR="00E4627B" w:rsidRPr="008C4EF4">
        <w:rPr>
          <w:spacing w:val="-2"/>
          <w:szCs w:val="19"/>
          <w:shd w:val="clear" w:color="auto" w:fill="FFFFFF"/>
        </w:rPr>
        <w:t>mi</w:t>
      </w:r>
      <w:r w:rsidR="00FE5229" w:rsidRPr="008C4EF4">
        <w:rPr>
          <w:spacing w:val="-2"/>
          <w:szCs w:val="19"/>
          <w:shd w:val="clear" w:color="auto" w:fill="FFFFFF"/>
        </w:rPr>
        <w:t xml:space="preserve"> kwartał</w:t>
      </w:r>
      <w:r w:rsidR="00E4627B" w:rsidRPr="008C4EF4">
        <w:rPr>
          <w:spacing w:val="-2"/>
          <w:szCs w:val="19"/>
          <w:shd w:val="clear" w:color="auto" w:fill="FFFFFF"/>
        </w:rPr>
        <w:t>ami</w:t>
      </w:r>
      <w:r w:rsidR="00FE5229" w:rsidRPr="008C4EF4">
        <w:rPr>
          <w:spacing w:val="-2"/>
          <w:szCs w:val="19"/>
          <w:shd w:val="clear" w:color="auto" w:fill="FFFFFF"/>
        </w:rPr>
        <w:t xml:space="preserve"> </w:t>
      </w:r>
      <w:r w:rsidR="008C4EF4">
        <w:rPr>
          <w:spacing w:val="-2"/>
          <w:szCs w:val="19"/>
          <w:shd w:val="clear" w:color="auto" w:fill="FFFFFF"/>
        </w:rPr>
        <w:t>roku poprzedniego</w:t>
      </w:r>
      <w:r w:rsidR="00FE5229" w:rsidRPr="008C4EF4">
        <w:rPr>
          <w:spacing w:val="-2"/>
          <w:szCs w:val="19"/>
          <w:shd w:val="clear" w:color="auto" w:fill="FFFFFF"/>
        </w:rPr>
        <w:t xml:space="preserve"> nastąpiły zauważalne zmiany w strukturze przeciętnego miesięcznego </w:t>
      </w:r>
      <w:r w:rsidR="00FE5229">
        <w:rPr>
          <w:spacing w:val="-2"/>
          <w:szCs w:val="19"/>
          <w:shd w:val="clear" w:color="auto" w:fill="FFFFFF"/>
        </w:rPr>
        <w:t>dochodu rozporządzalnego</w:t>
      </w:r>
      <w:r w:rsidR="003C1F03">
        <w:rPr>
          <w:spacing w:val="-2"/>
          <w:szCs w:val="19"/>
          <w:shd w:val="clear" w:color="auto" w:fill="FFFFFF"/>
        </w:rPr>
        <w:t xml:space="preserve"> na 1</w:t>
      </w:r>
      <w:r w:rsidR="00090C58">
        <w:rPr>
          <w:spacing w:val="-2"/>
          <w:szCs w:val="19"/>
          <w:shd w:val="clear" w:color="auto" w:fill="FFFFFF"/>
        </w:rPr>
        <w:t> </w:t>
      </w:r>
      <w:r w:rsidR="003C1F03">
        <w:rPr>
          <w:spacing w:val="-2"/>
          <w:szCs w:val="19"/>
          <w:shd w:val="clear" w:color="auto" w:fill="FFFFFF"/>
        </w:rPr>
        <w:t>osobę w gospodarstwach domowych</w:t>
      </w:r>
      <w:r w:rsidR="00F72A70">
        <w:rPr>
          <w:spacing w:val="-2"/>
          <w:szCs w:val="19"/>
          <w:shd w:val="clear" w:color="auto" w:fill="FFFFFF"/>
        </w:rPr>
        <w:t xml:space="preserve">. </w:t>
      </w:r>
      <w:r w:rsidR="00172A3B">
        <w:rPr>
          <w:spacing w:val="-2"/>
          <w:szCs w:val="19"/>
          <w:shd w:val="clear" w:color="auto" w:fill="FFFFFF"/>
        </w:rPr>
        <w:t>Największe</w:t>
      </w:r>
      <w:r w:rsidR="00F72A70">
        <w:rPr>
          <w:spacing w:val="-2"/>
          <w:szCs w:val="19"/>
          <w:shd w:val="clear" w:color="auto" w:fill="FFFFFF"/>
        </w:rPr>
        <w:t xml:space="preserve"> </w:t>
      </w:r>
      <w:r w:rsidR="00172A3B">
        <w:rPr>
          <w:spacing w:val="-2"/>
          <w:szCs w:val="19"/>
          <w:shd w:val="clear" w:color="auto" w:fill="FFFFFF"/>
        </w:rPr>
        <w:t>różnice wystąpiły w przypadku dochodów z</w:t>
      </w:r>
      <w:r w:rsidR="00155CC9">
        <w:rPr>
          <w:spacing w:val="-2"/>
          <w:szCs w:val="19"/>
          <w:shd w:val="clear" w:color="auto" w:fill="FFFFFF"/>
        </w:rPr>
        <w:t> </w:t>
      </w:r>
      <w:r w:rsidR="00172A3B">
        <w:rPr>
          <w:spacing w:val="-2"/>
          <w:szCs w:val="19"/>
          <w:shd w:val="clear" w:color="auto" w:fill="FFFFFF"/>
        </w:rPr>
        <w:t>pracy najemnej,</w:t>
      </w:r>
      <w:r w:rsidR="00B3634E">
        <w:rPr>
          <w:spacing w:val="-2"/>
          <w:szCs w:val="19"/>
          <w:shd w:val="clear" w:color="auto" w:fill="FFFFFF"/>
        </w:rPr>
        <w:t xml:space="preserve"> dla których</w:t>
      </w:r>
      <w:r w:rsidR="00172A3B">
        <w:rPr>
          <w:spacing w:val="-2"/>
          <w:szCs w:val="19"/>
          <w:shd w:val="clear" w:color="auto" w:fill="FFFFFF"/>
        </w:rPr>
        <w:t xml:space="preserve"> w </w:t>
      </w:r>
      <w:r w:rsidR="00895151">
        <w:rPr>
          <w:spacing w:val="-2"/>
          <w:szCs w:val="19"/>
          <w:shd w:val="clear" w:color="auto" w:fill="FFFFFF"/>
        </w:rPr>
        <w:t>I</w:t>
      </w:r>
      <w:r w:rsidR="00172A3B">
        <w:rPr>
          <w:spacing w:val="-2"/>
          <w:szCs w:val="19"/>
          <w:shd w:val="clear" w:color="auto" w:fill="FFFFFF"/>
        </w:rPr>
        <w:t xml:space="preserve"> kwartale odnotowano spadek </w:t>
      </w:r>
      <w:r w:rsidR="00155CC9">
        <w:rPr>
          <w:spacing w:val="-2"/>
          <w:szCs w:val="19"/>
          <w:shd w:val="clear" w:color="auto" w:fill="FFFFFF"/>
        </w:rPr>
        <w:t xml:space="preserve">udziału w strukturze dochodów ogółem </w:t>
      </w:r>
      <w:r w:rsidR="00172A3B">
        <w:rPr>
          <w:spacing w:val="-2"/>
          <w:szCs w:val="19"/>
          <w:shd w:val="clear" w:color="auto" w:fill="FFFFFF"/>
        </w:rPr>
        <w:t>(o</w:t>
      </w:r>
      <w:r w:rsidR="00A40F01">
        <w:rPr>
          <w:spacing w:val="-2"/>
          <w:szCs w:val="19"/>
          <w:shd w:val="clear" w:color="auto" w:fill="FFFFFF"/>
        </w:rPr>
        <w:t> </w:t>
      </w:r>
      <w:r w:rsidR="00172A3B">
        <w:rPr>
          <w:spacing w:val="-2"/>
          <w:szCs w:val="19"/>
          <w:shd w:val="clear" w:color="auto" w:fill="FFFFFF"/>
        </w:rPr>
        <w:t>1,0</w:t>
      </w:r>
      <w:r w:rsidR="00A40F01">
        <w:rPr>
          <w:spacing w:val="-2"/>
          <w:szCs w:val="19"/>
          <w:shd w:val="clear" w:color="auto" w:fill="FFFFFF"/>
        </w:rPr>
        <w:t> </w:t>
      </w:r>
      <w:r w:rsidR="00172A3B">
        <w:rPr>
          <w:spacing w:val="-2"/>
          <w:szCs w:val="19"/>
          <w:shd w:val="clear" w:color="auto" w:fill="FFFFFF"/>
        </w:rPr>
        <w:t>p. proc</w:t>
      </w:r>
      <w:r w:rsidR="00155CC9">
        <w:rPr>
          <w:spacing w:val="-2"/>
          <w:szCs w:val="19"/>
          <w:shd w:val="clear" w:color="auto" w:fill="FFFFFF"/>
        </w:rPr>
        <w:t>.</w:t>
      </w:r>
      <w:r w:rsidR="00155CC9" w:rsidRPr="00155CC9">
        <w:rPr>
          <w:spacing w:val="-2"/>
          <w:szCs w:val="19"/>
          <w:shd w:val="clear" w:color="auto" w:fill="FFFFFF"/>
        </w:rPr>
        <w:t xml:space="preserve"> </w:t>
      </w:r>
      <w:r w:rsidR="00155CC9">
        <w:rPr>
          <w:spacing w:val="-2"/>
          <w:szCs w:val="19"/>
          <w:shd w:val="clear" w:color="auto" w:fill="FFFFFF"/>
        </w:rPr>
        <w:t>w stosunku do tego samego okresu 2019 r.</w:t>
      </w:r>
      <w:r w:rsidR="00172A3B">
        <w:rPr>
          <w:spacing w:val="-2"/>
          <w:szCs w:val="19"/>
          <w:shd w:val="clear" w:color="auto" w:fill="FFFFFF"/>
        </w:rPr>
        <w:t xml:space="preserve">), a od </w:t>
      </w:r>
      <w:r w:rsidR="00895151">
        <w:rPr>
          <w:spacing w:val="-2"/>
          <w:szCs w:val="19"/>
          <w:shd w:val="clear" w:color="auto" w:fill="FFFFFF"/>
        </w:rPr>
        <w:t>II</w:t>
      </w:r>
      <w:r w:rsidR="00172A3B">
        <w:rPr>
          <w:spacing w:val="-2"/>
          <w:szCs w:val="19"/>
          <w:shd w:val="clear" w:color="auto" w:fill="FFFFFF"/>
        </w:rPr>
        <w:t xml:space="preserve"> kwartału można było zaobserwować systematyczny wzrost (od 1,2 p. proc. w </w:t>
      </w:r>
      <w:r w:rsidR="00895151">
        <w:rPr>
          <w:spacing w:val="-2"/>
          <w:szCs w:val="19"/>
          <w:shd w:val="clear" w:color="auto" w:fill="FFFFFF"/>
        </w:rPr>
        <w:t>II</w:t>
      </w:r>
      <w:r w:rsidR="00172A3B">
        <w:rPr>
          <w:spacing w:val="-2"/>
          <w:szCs w:val="19"/>
          <w:shd w:val="clear" w:color="auto" w:fill="FFFFFF"/>
        </w:rPr>
        <w:t xml:space="preserve"> kwartale do 2,8</w:t>
      </w:r>
      <w:r w:rsidR="00155CC9">
        <w:rPr>
          <w:spacing w:val="-2"/>
          <w:szCs w:val="19"/>
          <w:shd w:val="clear" w:color="auto" w:fill="FFFFFF"/>
        </w:rPr>
        <w:t> </w:t>
      </w:r>
      <w:r w:rsidR="00172A3B">
        <w:rPr>
          <w:spacing w:val="-2"/>
          <w:szCs w:val="19"/>
          <w:shd w:val="clear" w:color="auto" w:fill="FFFFFF"/>
        </w:rPr>
        <w:t>p.</w:t>
      </w:r>
      <w:r w:rsidR="00155CC9">
        <w:rPr>
          <w:spacing w:val="-2"/>
          <w:szCs w:val="19"/>
          <w:shd w:val="clear" w:color="auto" w:fill="FFFFFF"/>
        </w:rPr>
        <w:t> </w:t>
      </w:r>
      <w:r w:rsidR="00172A3B">
        <w:rPr>
          <w:spacing w:val="-2"/>
          <w:szCs w:val="19"/>
          <w:shd w:val="clear" w:color="auto" w:fill="FFFFFF"/>
        </w:rPr>
        <w:t xml:space="preserve">proc. w </w:t>
      </w:r>
      <w:r w:rsidR="00895151">
        <w:rPr>
          <w:spacing w:val="-2"/>
          <w:szCs w:val="19"/>
          <w:shd w:val="clear" w:color="auto" w:fill="FFFFFF"/>
        </w:rPr>
        <w:t>IV</w:t>
      </w:r>
      <w:r w:rsidR="00172A3B">
        <w:rPr>
          <w:spacing w:val="-2"/>
          <w:szCs w:val="19"/>
          <w:shd w:val="clear" w:color="auto" w:fill="FFFFFF"/>
        </w:rPr>
        <w:t xml:space="preserve"> kwartale). </w:t>
      </w:r>
      <w:r w:rsidR="00CE1326">
        <w:rPr>
          <w:spacing w:val="-2"/>
          <w:szCs w:val="19"/>
          <w:shd w:val="clear" w:color="auto" w:fill="FFFFFF"/>
        </w:rPr>
        <w:t>W</w:t>
      </w:r>
      <w:r w:rsidR="00F72A70">
        <w:rPr>
          <w:spacing w:val="-2"/>
          <w:szCs w:val="19"/>
          <w:shd w:val="clear" w:color="auto" w:fill="FFFFFF"/>
        </w:rPr>
        <w:t> </w:t>
      </w:r>
      <w:r w:rsidR="00895151">
        <w:rPr>
          <w:spacing w:val="-2"/>
          <w:szCs w:val="19"/>
          <w:shd w:val="clear" w:color="auto" w:fill="FFFFFF"/>
        </w:rPr>
        <w:t>I</w:t>
      </w:r>
      <w:r w:rsidR="00CF7C9E">
        <w:rPr>
          <w:spacing w:val="-2"/>
          <w:szCs w:val="19"/>
          <w:shd w:val="clear" w:color="auto" w:fill="FFFFFF"/>
        </w:rPr>
        <w:t> </w:t>
      </w:r>
      <w:proofErr w:type="spellStart"/>
      <w:r w:rsidR="00B2483D">
        <w:rPr>
          <w:spacing w:val="-2"/>
          <w:szCs w:val="19"/>
          <w:shd w:val="clear" w:color="auto" w:fill="FFFFFF"/>
        </w:rPr>
        <w:t>i</w:t>
      </w:r>
      <w:proofErr w:type="spellEnd"/>
      <w:r w:rsidR="00CF7C9E">
        <w:rPr>
          <w:spacing w:val="-2"/>
          <w:szCs w:val="19"/>
          <w:shd w:val="clear" w:color="auto" w:fill="FFFFFF"/>
        </w:rPr>
        <w:t> </w:t>
      </w:r>
      <w:r w:rsidR="00895151">
        <w:rPr>
          <w:spacing w:val="-2"/>
          <w:szCs w:val="19"/>
          <w:shd w:val="clear" w:color="auto" w:fill="FFFFFF"/>
        </w:rPr>
        <w:t>II</w:t>
      </w:r>
      <w:r w:rsidR="00F72A70">
        <w:rPr>
          <w:spacing w:val="-2"/>
          <w:szCs w:val="19"/>
          <w:shd w:val="clear" w:color="auto" w:fill="FFFFFF"/>
        </w:rPr>
        <w:t> </w:t>
      </w:r>
      <w:r w:rsidR="00CE1326">
        <w:rPr>
          <w:spacing w:val="-2"/>
          <w:szCs w:val="19"/>
          <w:shd w:val="clear" w:color="auto" w:fill="FFFFFF"/>
        </w:rPr>
        <w:t>kwartale 2020 r. odnotowano z</w:t>
      </w:r>
      <w:r w:rsidR="00DC7F8C">
        <w:rPr>
          <w:spacing w:val="-2"/>
          <w:szCs w:val="19"/>
          <w:shd w:val="clear" w:color="auto" w:fill="FFFFFF"/>
        </w:rPr>
        <w:t>nacząc</w:t>
      </w:r>
      <w:r w:rsidR="00155CC9">
        <w:rPr>
          <w:spacing w:val="-2"/>
          <w:szCs w:val="19"/>
          <w:shd w:val="clear" w:color="auto" w:fill="FFFFFF"/>
        </w:rPr>
        <w:t>e</w:t>
      </w:r>
      <w:r w:rsidR="00DC7F8C">
        <w:rPr>
          <w:spacing w:val="-2"/>
          <w:szCs w:val="19"/>
          <w:shd w:val="clear" w:color="auto" w:fill="FFFFFF"/>
        </w:rPr>
        <w:t xml:space="preserve"> </w:t>
      </w:r>
      <w:r w:rsidR="00155CC9">
        <w:rPr>
          <w:spacing w:val="-2"/>
          <w:szCs w:val="19"/>
          <w:shd w:val="clear" w:color="auto" w:fill="FFFFFF"/>
        </w:rPr>
        <w:t xml:space="preserve">zwiększenie </w:t>
      </w:r>
      <w:r w:rsidR="0075195D">
        <w:rPr>
          <w:spacing w:val="-2"/>
          <w:szCs w:val="19"/>
          <w:shd w:val="clear" w:color="auto" w:fill="FFFFFF"/>
        </w:rPr>
        <w:t>udziału</w:t>
      </w:r>
      <w:r w:rsidR="00DC7F8C">
        <w:rPr>
          <w:spacing w:val="-2"/>
          <w:szCs w:val="19"/>
          <w:shd w:val="clear" w:color="auto" w:fill="FFFFFF"/>
        </w:rPr>
        <w:t xml:space="preserve"> </w:t>
      </w:r>
      <w:r w:rsidR="00CE1326">
        <w:rPr>
          <w:spacing w:val="-2"/>
          <w:szCs w:val="19"/>
          <w:shd w:val="clear" w:color="auto" w:fill="FFFFFF"/>
        </w:rPr>
        <w:t xml:space="preserve">dochodów z pozostałych świadczeń społecznych </w:t>
      </w:r>
      <w:r w:rsidR="00DC7F8C">
        <w:rPr>
          <w:spacing w:val="-2"/>
          <w:szCs w:val="19"/>
          <w:shd w:val="clear" w:color="auto" w:fill="FFFFFF"/>
        </w:rPr>
        <w:t xml:space="preserve">w dochodach ogółem (o </w:t>
      </w:r>
      <w:r w:rsidR="00B2483D">
        <w:rPr>
          <w:spacing w:val="-2"/>
          <w:szCs w:val="19"/>
          <w:shd w:val="clear" w:color="auto" w:fill="FFFFFF"/>
        </w:rPr>
        <w:t xml:space="preserve">1,7 i </w:t>
      </w:r>
      <w:r w:rsidR="00DC7F8C">
        <w:rPr>
          <w:spacing w:val="-2"/>
          <w:szCs w:val="19"/>
          <w:shd w:val="clear" w:color="auto" w:fill="FFFFFF"/>
        </w:rPr>
        <w:t>2,</w:t>
      </w:r>
      <w:r w:rsidR="00B2483D">
        <w:rPr>
          <w:spacing w:val="-2"/>
          <w:szCs w:val="19"/>
          <w:shd w:val="clear" w:color="auto" w:fill="FFFFFF"/>
        </w:rPr>
        <w:t>0</w:t>
      </w:r>
      <w:r w:rsidR="00DC7F8C">
        <w:rPr>
          <w:spacing w:val="-2"/>
          <w:szCs w:val="19"/>
          <w:shd w:val="clear" w:color="auto" w:fill="FFFFFF"/>
        </w:rPr>
        <w:t xml:space="preserve"> p. proc. w porównaniu z </w:t>
      </w:r>
      <w:r w:rsidR="00874735">
        <w:rPr>
          <w:spacing w:val="-2"/>
          <w:szCs w:val="19"/>
          <w:shd w:val="clear" w:color="auto" w:fill="FFFFFF"/>
        </w:rPr>
        <w:t xml:space="preserve">analogicznymi kwartałami </w:t>
      </w:r>
      <w:r w:rsidR="00DC7F8C">
        <w:rPr>
          <w:spacing w:val="-2"/>
          <w:szCs w:val="19"/>
          <w:shd w:val="clear" w:color="auto" w:fill="FFFFFF"/>
        </w:rPr>
        <w:t>2019 r</w:t>
      </w:r>
      <w:r w:rsidR="00C05FAE">
        <w:rPr>
          <w:spacing w:val="-2"/>
          <w:szCs w:val="19"/>
          <w:shd w:val="clear" w:color="auto" w:fill="FFFFFF"/>
        </w:rPr>
        <w:t>.</w:t>
      </w:r>
      <w:r w:rsidR="00DC7F8C">
        <w:rPr>
          <w:spacing w:val="-2"/>
          <w:szCs w:val="19"/>
          <w:shd w:val="clear" w:color="auto" w:fill="FFFFFF"/>
        </w:rPr>
        <w:t>)</w:t>
      </w:r>
      <w:r w:rsidR="003E5529">
        <w:rPr>
          <w:spacing w:val="-2"/>
          <w:szCs w:val="19"/>
          <w:shd w:val="clear" w:color="auto" w:fill="FFFFFF"/>
        </w:rPr>
        <w:t>, jednak</w:t>
      </w:r>
      <w:r w:rsidR="00DC7F8C">
        <w:rPr>
          <w:spacing w:val="-2"/>
          <w:szCs w:val="19"/>
          <w:shd w:val="clear" w:color="auto" w:fill="FFFFFF"/>
        </w:rPr>
        <w:t xml:space="preserve"> </w:t>
      </w:r>
      <w:r w:rsidR="003E5529">
        <w:rPr>
          <w:spacing w:val="-2"/>
          <w:szCs w:val="19"/>
          <w:shd w:val="clear" w:color="auto" w:fill="FFFFFF"/>
        </w:rPr>
        <w:t>w</w:t>
      </w:r>
      <w:r w:rsidR="00F72A70">
        <w:rPr>
          <w:spacing w:val="-2"/>
          <w:szCs w:val="19"/>
          <w:shd w:val="clear" w:color="auto" w:fill="FFFFFF"/>
        </w:rPr>
        <w:t> </w:t>
      </w:r>
      <w:r w:rsidR="00DC7F8C">
        <w:rPr>
          <w:spacing w:val="-2"/>
          <w:szCs w:val="19"/>
          <w:shd w:val="clear" w:color="auto" w:fill="FFFFFF"/>
        </w:rPr>
        <w:t xml:space="preserve">kolejnych kwartałach </w:t>
      </w:r>
      <w:r w:rsidR="00874735">
        <w:rPr>
          <w:spacing w:val="-2"/>
          <w:szCs w:val="19"/>
          <w:shd w:val="clear" w:color="auto" w:fill="FFFFFF"/>
        </w:rPr>
        <w:t>różnice te</w:t>
      </w:r>
      <w:r w:rsidR="00DC7F8C">
        <w:rPr>
          <w:spacing w:val="-2"/>
          <w:szCs w:val="19"/>
          <w:shd w:val="clear" w:color="auto" w:fill="FFFFFF"/>
        </w:rPr>
        <w:t xml:space="preserve"> </w:t>
      </w:r>
      <w:r w:rsidR="008216FE">
        <w:rPr>
          <w:spacing w:val="-2"/>
          <w:szCs w:val="19"/>
          <w:shd w:val="clear" w:color="auto" w:fill="FFFFFF"/>
        </w:rPr>
        <w:t>malał</w:t>
      </w:r>
      <w:r w:rsidR="00874735">
        <w:rPr>
          <w:spacing w:val="-2"/>
          <w:szCs w:val="19"/>
          <w:shd w:val="clear" w:color="auto" w:fill="FFFFFF"/>
        </w:rPr>
        <w:t>y</w:t>
      </w:r>
      <w:r w:rsidR="008216FE">
        <w:rPr>
          <w:spacing w:val="-2"/>
          <w:szCs w:val="19"/>
          <w:shd w:val="clear" w:color="auto" w:fill="FFFFFF"/>
        </w:rPr>
        <w:t>.</w:t>
      </w:r>
      <w:r w:rsidR="00915D4D" w:rsidRPr="008C4EF4">
        <w:rPr>
          <w:rStyle w:val="Odwoanieprzypisudolnego"/>
          <w:spacing w:val="-2"/>
          <w:szCs w:val="19"/>
          <w:shd w:val="clear" w:color="auto" w:fill="FFFFFF"/>
        </w:rPr>
        <w:footnoteReference w:id="4"/>
      </w:r>
      <w:r w:rsidR="008216FE">
        <w:rPr>
          <w:spacing w:val="-2"/>
          <w:szCs w:val="19"/>
          <w:shd w:val="clear" w:color="auto" w:fill="FFFFFF"/>
        </w:rPr>
        <w:t xml:space="preserve"> </w:t>
      </w:r>
      <w:r w:rsidR="00C05FAE">
        <w:rPr>
          <w:spacing w:val="-2"/>
          <w:szCs w:val="19"/>
          <w:shd w:val="clear" w:color="auto" w:fill="FFFFFF"/>
        </w:rPr>
        <w:t>Z</w:t>
      </w:r>
      <w:r w:rsidR="008216FE">
        <w:rPr>
          <w:spacing w:val="-2"/>
          <w:szCs w:val="19"/>
          <w:shd w:val="clear" w:color="auto" w:fill="FFFFFF"/>
        </w:rPr>
        <w:t>mniejszenie</w:t>
      </w:r>
      <w:r w:rsidR="003C1F03">
        <w:rPr>
          <w:spacing w:val="-2"/>
          <w:szCs w:val="19"/>
          <w:shd w:val="clear" w:color="auto" w:fill="FFFFFF"/>
        </w:rPr>
        <w:t xml:space="preserve"> udziału w</w:t>
      </w:r>
      <w:r w:rsidR="00A40F01">
        <w:rPr>
          <w:spacing w:val="-2"/>
          <w:szCs w:val="19"/>
          <w:shd w:val="clear" w:color="auto" w:fill="FFFFFF"/>
        </w:rPr>
        <w:t> </w:t>
      </w:r>
      <w:r w:rsidR="003C1F03">
        <w:rPr>
          <w:spacing w:val="-2"/>
          <w:szCs w:val="19"/>
          <w:shd w:val="clear" w:color="auto" w:fill="FFFFFF"/>
        </w:rPr>
        <w:t xml:space="preserve">dochodach ogółem we wszystkich kwartałach </w:t>
      </w:r>
      <w:r w:rsidR="00250EB1">
        <w:rPr>
          <w:spacing w:val="-2"/>
          <w:szCs w:val="19"/>
          <w:shd w:val="clear" w:color="auto" w:fill="FFFFFF"/>
        </w:rPr>
        <w:t xml:space="preserve">w </w:t>
      </w:r>
      <w:r w:rsidR="00155CC9">
        <w:rPr>
          <w:spacing w:val="-2"/>
          <w:szCs w:val="19"/>
          <w:shd w:val="clear" w:color="auto" w:fill="FFFFFF"/>
        </w:rPr>
        <w:t>porównaniu z</w:t>
      </w:r>
      <w:r w:rsidR="00F14660">
        <w:rPr>
          <w:spacing w:val="-2"/>
          <w:szCs w:val="19"/>
          <w:shd w:val="clear" w:color="auto" w:fill="FFFFFF"/>
        </w:rPr>
        <w:t> </w:t>
      </w:r>
      <w:r w:rsidR="00155CC9">
        <w:rPr>
          <w:spacing w:val="-2"/>
          <w:szCs w:val="19"/>
          <w:shd w:val="clear" w:color="auto" w:fill="FFFFFF"/>
        </w:rPr>
        <w:t>rokiem poprzednim</w:t>
      </w:r>
      <w:r w:rsidR="00250EB1">
        <w:rPr>
          <w:spacing w:val="-2"/>
          <w:szCs w:val="19"/>
          <w:shd w:val="clear" w:color="auto" w:fill="FFFFFF"/>
        </w:rPr>
        <w:t xml:space="preserve"> </w:t>
      </w:r>
      <w:r w:rsidR="003E5529">
        <w:rPr>
          <w:spacing w:val="-2"/>
          <w:szCs w:val="19"/>
          <w:shd w:val="clear" w:color="auto" w:fill="FFFFFF"/>
        </w:rPr>
        <w:t>zaobserwowano</w:t>
      </w:r>
      <w:r w:rsidR="000F1907">
        <w:rPr>
          <w:spacing w:val="-2"/>
          <w:szCs w:val="19"/>
          <w:shd w:val="clear" w:color="auto" w:fill="FFFFFF"/>
        </w:rPr>
        <w:t xml:space="preserve"> w </w:t>
      </w:r>
      <w:r w:rsidR="008216FE">
        <w:rPr>
          <w:spacing w:val="-2"/>
          <w:szCs w:val="19"/>
          <w:shd w:val="clear" w:color="auto" w:fill="FFFFFF"/>
        </w:rPr>
        <w:t>zakresie</w:t>
      </w:r>
      <w:r w:rsidR="000F1907">
        <w:rPr>
          <w:spacing w:val="-2"/>
          <w:szCs w:val="19"/>
          <w:shd w:val="clear" w:color="auto" w:fill="FFFFFF"/>
        </w:rPr>
        <w:t xml:space="preserve"> dochodów ze świadczeń z ubezpieczeń społecznych (największy </w:t>
      </w:r>
      <w:r w:rsidR="00F23B27">
        <w:rPr>
          <w:spacing w:val="-2"/>
          <w:szCs w:val="19"/>
          <w:shd w:val="clear" w:color="auto" w:fill="FFFFFF"/>
        </w:rPr>
        <w:t xml:space="preserve">spadek </w:t>
      </w:r>
      <w:r w:rsidR="000F1907">
        <w:rPr>
          <w:spacing w:val="-2"/>
          <w:szCs w:val="19"/>
          <w:shd w:val="clear" w:color="auto" w:fill="FFFFFF"/>
        </w:rPr>
        <w:t>w</w:t>
      </w:r>
      <w:r w:rsidR="00A40F01">
        <w:rPr>
          <w:spacing w:val="-2"/>
          <w:szCs w:val="19"/>
          <w:shd w:val="clear" w:color="auto" w:fill="FFFFFF"/>
        </w:rPr>
        <w:t> </w:t>
      </w:r>
      <w:r w:rsidR="00895151">
        <w:rPr>
          <w:spacing w:val="-2"/>
          <w:szCs w:val="19"/>
          <w:shd w:val="clear" w:color="auto" w:fill="FFFFFF"/>
        </w:rPr>
        <w:t>II</w:t>
      </w:r>
      <w:r w:rsidR="00A40F01">
        <w:rPr>
          <w:spacing w:val="-2"/>
          <w:szCs w:val="19"/>
          <w:shd w:val="clear" w:color="auto" w:fill="FFFFFF"/>
        </w:rPr>
        <w:t> </w:t>
      </w:r>
      <w:r w:rsidR="000F1907">
        <w:rPr>
          <w:spacing w:val="-2"/>
          <w:szCs w:val="19"/>
          <w:shd w:val="clear" w:color="auto" w:fill="FFFFFF"/>
        </w:rPr>
        <w:t xml:space="preserve">kwartale </w:t>
      </w:r>
      <w:r w:rsidR="00250EB1">
        <w:rPr>
          <w:spacing w:val="-2"/>
          <w:szCs w:val="19"/>
          <w:shd w:val="clear" w:color="auto" w:fill="FFFFFF"/>
        </w:rPr>
        <w:t xml:space="preserve">– o 2,0 p. proc.) oraz innych dochodów (największy </w:t>
      </w:r>
      <w:r w:rsidR="00F23B27">
        <w:rPr>
          <w:spacing w:val="-2"/>
          <w:szCs w:val="19"/>
          <w:shd w:val="clear" w:color="auto" w:fill="FFFFFF"/>
        </w:rPr>
        <w:t xml:space="preserve">spadek </w:t>
      </w:r>
      <w:r w:rsidR="00250EB1">
        <w:rPr>
          <w:spacing w:val="-2"/>
          <w:szCs w:val="19"/>
          <w:shd w:val="clear" w:color="auto" w:fill="FFFFFF"/>
        </w:rPr>
        <w:t>w IV kwartale – o</w:t>
      </w:r>
      <w:r w:rsidR="00A40F01">
        <w:rPr>
          <w:spacing w:val="-2"/>
          <w:szCs w:val="19"/>
          <w:shd w:val="clear" w:color="auto" w:fill="FFFFFF"/>
        </w:rPr>
        <w:t> </w:t>
      </w:r>
      <w:r w:rsidR="00250EB1">
        <w:rPr>
          <w:spacing w:val="-2"/>
          <w:szCs w:val="19"/>
          <w:shd w:val="clear" w:color="auto" w:fill="FFFFFF"/>
        </w:rPr>
        <w:t>2,3</w:t>
      </w:r>
      <w:r w:rsidR="00A40F01">
        <w:rPr>
          <w:spacing w:val="-2"/>
          <w:szCs w:val="19"/>
          <w:shd w:val="clear" w:color="auto" w:fill="FFFFFF"/>
        </w:rPr>
        <w:t> </w:t>
      </w:r>
      <w:r w:rsidR="00250EB1">
        <w:rPr>
          <w:spacing w:val="-2"/>
          <w:szCs w:val="19"/>
          <w:shd w:val="clear" w:color="auto" w:fill="FFFFFF"/>
        </w:rPr>
        <w:t>p.</w:t>
      </w:r>
      <w:r w:rsidR="00A40F01">
        <w:rPr>
          <w:spacing w:val="-2"/>
          <w:szCs w:val="19"/>
          <w:shd w:val="clear" w:color="auto" w:fill="FFFFFF"/>
        </w:rPr>
        <w:t> </w:t>
      </w:r>
      <w:r w:rsidR="00250EB1">
        <w:rPr>
          <w:spacing w:val="-2"/>
          <w:szCs w:val="19"/>
          <w:shd w:val="clear" w:color="auto" w:fill="FFFFFF"/>
        </w:rPr>
        <w:t>proc.)</w:t>
      </w:r>
      <w:r w:rsidR="00F72A70">
        <w:rPr>
          <w:spacing w:val="-2"/>
          <w:szCs w:val="19"/>
          <w:shd w:val="clear" w:color="auto" w:fill="FFFFFF"/>
        </w:rPr>
        <w:t>.</w:t>
      </w:r>
    </w:p>
    <w:p w14:paraId="72C43DDC" w14:textId="77777777" w:rsidR="00FE1D52" w:rsidRDefault="00FE1D52">
      <w:pPr>
        <w:spacing w:before="0" w:after="160" w:line="259" w:lineRule="auto"/>
        <w:rPr>
          <w:spacing w:val="-2"/>
          <w:szCs w:val="19"/>
          <w:shd w:val="clear" w:color="auto" w:fill="FFFFFF"/>
        </w:rPr>
      </w:pPr>
    </w:p>
    <w:p w14:paraId="6D8618BB" w14:textId="77777777" w:rsidR="00CD394F" w:rsidRPr="00AF77A4" w:rsidRDefault="00CD394F" w:rsidP="00A54137">
      <w:pPr>
        <w:spacing w:after="240"/>
        <w:ind w:left="709" w:hanging="709"/>
        <w:rPr>
          <w:rFonts w:ascii="Fira Sans SemiBold" w:hAnsi="Fira Sans SemiBold"/>
          <w:sz w:val="18"/>
          <w:shd w:val="clear" w:color="auto" w:fill="FFFFFF"/>
        </w:rPr>
      </w:pPr>
      <w:r w:rsidRPr="00AF77A4">
        <w:rPr>
          <w:rFonts w:ascii="Fira Sans SemiBold" w:hAnsi="Fira Sans SemiBold"/>
          <w:sz w:val="18"/>
          <w:shd w:val="clear" w:color="auto" w:fill="FFFFFF"/>
        </w:rPr>
        <w:t xml:space="preserve">Tablica 1. Struktura przeciętnego miesięcznego dochodu rozporządzalnego na 1 osobę </w:t>
      </w:r>
      <w:r w:rsidRPr="00AF77A4">
        <w:rPr>
          <w:rFonts w:ascii="Fira Sans SemiBold" w:hAnsi="Fira Sans SemiBold"/>
          <w:sz w:val="18"/>
          <w:shd w:val="clear" w:color="auto" w:fill="FFFFFF"/>
        </w:rPr>
        <w:br/>
        <w:t xml:space="preserve">  w gospodarstwach domowych wg kwartałów</w:t>
      </w:r>
    </w:p>
    <w:tbl>
      <w:tblPr>
        <w:tblStyle w:val="Siatkatabelijasna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B235A" w:rsidRPr="00600DFE" w14:paraId="60F62120" w14:textId="77777777" w:rsidTr="0031028F">
        <w:trPr>
          <w:trHeight w:val="57"/>
          <w:jc w:val="center"/>
        </w:trPr>
        <w:tc>
          <w:tcPr>
            <w:tcW w:w="2268" w:type="dxa"/>
            <w:vMerge w:val="restart"/>
            <w:tcBorders>
              <w:top w:val="nil"/>
              <w:right w:val="single" w:sz="4" w:space="0" w:color="001D77"/>
            </w:tcBorders>
            <w:vAlign w:val="center"/>
          </w:tcPr>
          <w:p w14:paraId="4C6FA8DB" w14:textId="77777777" w:rsidR="004B235A" w:rsidRPr="00600DFE" w:rsidRDefault="004B235A" w:rsidP="004B235A">
            <w:pPr>
              <w:pStyle w:val="tekstnaniebieskimtle"/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6028380" w14:textId="6DB36B2B" w:rsidR="004B235A" w:rsidRDefault="004B235A" w:rsidP="004B235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ADBB30" w14:textId="701823C6" w:rsidR="004B235A" w:rsidRPr="00600DFE" w:rsidRDefault="00895151" w:rsidP="004B235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4B235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F31448" w14:textId="6E60B7E6" w:rsidR="004B235A" w:rsidRPr="00600DFE" w:rsidRDefault="00895151" w:rsidP="004B235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</w:t>
            </w:r>
            <w:r w:rsidR="004B235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5DBABD" w14:textId="6B8389E0" w:rsidR="004B235A" w:rsidRPr="00600DFE" w:rsidRDefault="00895151" w:rsidP="004B235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</w:t>
            </w:r>
            <w:r w:rsidR="004B235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43D1C16C" w14:textId="464D31F2" w:rsidR="004B235A" w:rsidRPr="00600DFE" w:rsidRDefault="00895151" w:rsidP="004B235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</w:t>
            </w:r>
            <w:r w:rsidR="004B235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kwartał</w:t>
            </w:r>
          </w:p>
        </w:tc>
      </w:tr>
      <w:tr w:rsidR="005E7471" w:rsidRPr="00600DFE" w14:paraId="253401E0" w14:textId="77777777" w:rsidTr="00AF77A4">
        <w:trPr>
          <w:trHeight w:val="57"/>
          <w:jc w:val="center"/>
        </w:trPr>
        <w:tc>
          <w:tcPr>
            <w:tcW w:w="2268" w:type="dxa"/>
            <w:vMerge/>
            <w:tcBorders>
              <w:right w:val="single" w:sz="4" w:space="0" w:color="001D77"/>
            </w:tcBorders>
            <w:vAlign w:val="center"/>
          </w:tcPr>
          <w:p w14:paraId="5D61C11C" w14:textId="77777777" w:rsidR="005E7471" w:rsidRPr="00600DFE" w:rsidRDefault="005E7471" w:rsidP="005E7471">
            <w:pPr>
              <w:pStyle w:val="tekstnaniebieskimtle"/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914A4E" w14:textId="5400CC0A" w:rsidR="005E7471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1DC6B5A" w14:textId="3DA073F9" w:rsidR="005E7471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3A2C03" w14:textId="497B985F" w:rsidR="005E7471" w:rsidRPr="00600DFE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74B72496" w14:textId="4838B3B8" w:rsidR="005E7471" w:rsidRPr="00600DFE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0382DB" w14:textId="77777777" w:rsidR="005E7471" w:rsidRPr="00600DFE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EBFE8D7" w14:textId="77777777" w:rsidR="005E7471" w:rsidRPr="00600DFE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5485C7" w14:textId="77777777" w:rsidR="005E7471" w:rsidRPr="00600DFE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C9CFEEE" w14:textId="77777777" w:rsidR="005E7471" w:rsidRPr="00600DFE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ECCFEB" w14:textId="77777777" w:rsidR="005E7471" w:rsidRPr="00600DFE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60F15418" w14:textId="77777777" w:rsidR="005E7471" w:rsidRPr="00600DFE" w:rsidRDefault="005E7471" w:rsidP="005E7471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4B235A" w:rsidRPr="00600DFE" w14:paraId="06B11304" w14:textId="77777777" w:rsidTr="0031028F">
        <w:trPr>
          <w:trHeight w:val="57"/>
          <w:jc w:val="center"/>
        </w:trPr>
        <w:tc>
          <w:tcPr>
            <w:tcW w:w="2268" w:type="dxa"/>
            <w:vMerge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5738AA17" w14:textId="77777777" w:rsidR="004B235A" w:rsidRPr="00600DFE" w:rsidRDefault="004B235A" w:rsidP="004B235A">
            <w:pPr>
              <w:pStyle w:val="tekstnaniebieskimtle"/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3E22BA4" w14:textId="0585F900" w:rsidR="004B235A" w:rsidRPr="00BC5C72" w:rsidRDefault="004B235A" w:rsidP="004B235A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BC5C72">
              <w:rPr>
                <w:bCs/>
                <w:spacing w:val="-2"/>
                <w:sz w:val="16"/>
                <w:szCs w:val="16"/>
                <w:shd w:val="clear" w:color="auto" w:fill="FFFFFF"/>
              </w:rPr>
              <w:t>w % dochodów ogółem</w:t>
            </w:r>
          </w:p>
        </w:tc>
      </w:tr>
      <w:tr w:rsidR="00256284" w:rsidRPr="00600DFE" w14:paraId="00398C45" w14:textId="77777777" w:rsidTr="00A73A97">
        <w:trPr>
          <w:trHeight w:val="57"/>
          <w:jc w:val="center"/>
        </w:trPr>
        <w:tc>
          <w:tcPr>
            <w:tcW w:w="2268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52332B29" w14:textId="77777777" w:rsidR="00256284" w:rsidRPr="00600DFE" w:rsidRDefault="00256284" w:rsidP="00256284">
            <w:pPr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>Dochody z pracy najemnej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0E46B1" w14:textId="74803039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51,8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07BAE6F2" w14:textId="74C6E63A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53,0</w:t>
            </w:r>
          </w:p>
        </w:tc>
        <w:tc>
          <w:tcPr>
            <w:tcW w:w="56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0BB244" w14:textId="30057961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53,2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2BC2A389" w14:textId="79EB1D58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52,2</w:t>
            </w:r>
          </w:p>
        </w:tc>
        <w:tc>
          <w:tcPr>
            <w:tcW w:w="56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088786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51,7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134407D5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52,9</w:t>
            </w:r>
          </w:p>
        </w:tc>
        <w:tc>
          <w:tcPr>
            <w:tcW w:w="56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D3C4A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51,6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2F2EA86B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53,5</w:t>
            </w:r>
          </w:p>
        </w:tc>
        <w:tc>
          <w:tcPr>
            <w:tcW w:w="56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FFD9ED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50,7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nil"/>
            </w:tcBorders>
            <w:shd w:val="clear" w:color="auto" w:fill="CCD1E3"/>
            <w:vAlign w:val="center"/>
          </w:tcPr>
          <w:p w14:paraId="115836C3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53,5</w:t>
            </w:r>
          </w:p>
        </w:tc>
      </w:tr>
      <w:tr w:rsidR="00256284" w:rsidRPr="00600DFE" w14:paraId="25C10814" w14:textId="77777777" w:rsidTr="00A73A97">
        <w:trPr>
          <w:trHeight w:val="57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C6D3BC" w14:textId="77777777" w:rsidR="00256284" w:rsidRPr="00600DFE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>Dochody z pracy na własny rachunek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97E4F2" w14:textId="0D7B3217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9,1</w:t>
            </w:r>
          </w:p>
        </w:tc>
        <w:tc>
          <w:tcPr>
            <w:tcW w:w="567" w:type="dxa"/>
            <w:tcBorders>
              <w:top w:val="single" w:sz="4" w:space="0" w:color="212492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4937156B" w14:textId="4A3D48F0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B5B4A1" w14:textId="283A81F2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8,9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6DDF6AD6" w14:textId="0F396D3A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8,8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1298BE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9,2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777A7462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CFB8C2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9,2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4EEFA658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9,2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CD5CD4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9,0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nil"/>
            </w:tcBorders>
            <w:shd w:val="clear" w:color="auto" w:fill="CCD1E3"/>
            <w:vAlign w:val="center"/>
          </w:tcPr>
          <w:p w14:paraId="136F0936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9,2</w:t>
            </w:r>
          </w:p>
        </w:tc>
      </w:tr>
      <w:tr w:rsidR="00256284" w:rsidRPr="00600DFE" w14:paraId="0502D2F3" w14:textId="77777777" w:rsidTr="00AF77A4">
        <w:trPr>
          <w:trHeight w:val="57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5FA83A" w14:textId="77777777" w:rsidR="00256284" w:rsidRPr="00600DFE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>Dochody z gospodarstwa rolnego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5FBE5E" w14:textId="2C23FBF3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3,4</w:t>
            </w:r>
          </w:p>
        </w:tc>
        <w:tc>
          <w:tcPr>
            <w:tcW w:w="567" w:type="dxa"/>
            <w:tcBorders>
              <w:top w:val="single" w:sz="4" w:space="0" w:color="212492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2116DCE4" w14:textId="5DC73A01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3,3</w:t>
            </w:r>
            <w:r w:rsidR="00A73A97" w:rsidRPr="00A73A97">
              <w:rPr>
                <w:rStyle w:val="Odwoanieprzypisudolnego"/>
                <w:spacing w:val="-2"/>
                <w:szCs w:val="19"/>
                <w:shd w:val="clear" w:color="auto" w:fill="CCD1E3"/>
              </w:rPr>
              <w:footnoteReference w:id="5"/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C5A56A" w14:textId="613D8D39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6A67C685" w14:textId="4C01418C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37D58D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3B085804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256A78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18724F58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5A9CF6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nil"/>
            </w:tcBorders>
            <w:shd w:val="clear" w:color="auto" w:fill="CCD1E3"/>
            <w:vAlign w:val="center"/>
          </w:tcPr>
          <w:p w14:paraId="534479D5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3,6</w:t>
            </w:r>
          </w:p>
        </w:tc>
      </w:tr>
      <w:tr w:rsidR="00256284" w:rsidRPr="00600DFE" w14:paraId="68262A6A" w14:textId="77777777" w:rsidTr="00AF77A4">
        <w:trPr>
          <w:trHeight w:val="57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635D56" w14:textId="77777777" w:rsidR="00256284" w:rsidRPr="00600DFE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 xml:space="preserve">Dochody ze świadczeń </w:t>
            </w:r>
            <w:r>
              <w:rPr>
                <w:color w:val="000000"/>
                <w:sz w:val="16"/>
                <w:szCs w:val="16"/>
              </w:rPr>
              <w:br/>
            </w:r>
            <w:r w:rsidRPr="00600DFE">
              <w:rPr>
                <w:color w:val="000000"/>
                <w:sz w:val="16"/>
                <w:szCs w:val="16"/>
              </w:rPr>
              <w:t>z ubezpieczeń społecznych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15E825" w14:textId="48E0601B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24,8</w:t>
            </w:r>
          </w:p>
        </w:tc>
        <w:tc>
          <w:tcPr>
            <w:tcW w:w="567" w:type="dxa"/>
            <w:tcBorders>
              <w:top w:val="single" w:sz="4" w:space="0" w:color="212492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3677BD9E" w14:textId="62D3C8A5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23,9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009AC2" w14:textId="0524C7E9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24,9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6D3E019B" w14:textId="5AA43F1E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23,9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D07E55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26,6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1F8B79CB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24,6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CC1E6A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24,4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65B78ECA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23,8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EDC3C2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23,5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nil"/>
            </w:tcBorders>
            <w:shd w:val="clear" w:color="auto" w:fill="CCD1E3"/>
            <w:vAlign w:val="center"/>
          </w:tcPr>
          <w:p w14:paraId="357BC44A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23,4</w:t>
            </w:r>
          </w:p>
        </w:tc>
      </w:tr>
      <w:tr w:rsidR="00256284" w:rsidRPr="00600DFE" w14:paraId="793D420D" w14:textId="77777777" w:rsidTr="00AF77A4">
        <w:trPr>
          <w:trHeight w:val="57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36150D" w14:textId="77777777" w:rsidR="00256284" w:rsidRPr="00600DFE" w:rsidRDefault="00256284" w:rsidP="00256284">
            <w:pPr>
              <w:spacing w:before="0" w:after="0"/>
              <w:ind w:left="176"/>
              <w:rPr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>w tym: z emerytur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6ACE72" w14:textId="71C53DCD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21,0</w:t>
            </w:r>
          </w:p>
        </w:tc>
        <w:tc>
          <w:tcPr>
            <w:tcW w:w="567" w:type="dxa"/>
            <w:tcBorders>
              <w:top w:val="single" w:sz="4" w:space="0" w:color="212492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557E9419" w14:textId="36E0D5D6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20,5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D266D2" w14:textId="2AB218B6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21,0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16BF4AA0" w14:textId="39908316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9EA8C7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22,6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38BDAD2A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21,0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A8FA0D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20,7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708D9DBC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20,5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E92D69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19,9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nil"/>
            </w:tcBorders>
            <w:shd w:val="clear" w:color="auto" w:fill="CCD1E3"/>
            <w:vAlign w:val="center"/>
          </w:tcPr>
          <w:p w14:paraId="237FCF37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20,3</w:t>
            </w:r>
          </w:p>
        </w:tc>
      </w:tr>
      <w:tr w:rsidR="00256284" w:rsidRPr="00600DFE" w14:paraId="7D61890C" w14:textId="77777777" w:rsidTr="00AF77A4">
        <w:trPr>
          <w:trHeight w:val="57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1BDB18" w14:textId="77777777" w:rsidR="00256284" w:rsidRPr="00600DFE" w:rsidRDefault="00256284" w:rsidP="00256284">
            <w:pPr>
              <w:spacing w:before="0" w:after="0"/>
              <w:ind w:left="176"/>
              <w:rPr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>z rent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0E11A2" w14:textId="6A785007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212492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38C758EE" w14:textId="24A2FBDB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B0F0A0" w14:textId="7404751F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180BF9DA" w14:textId="5041BE3B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7CDDDD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37582D92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D8FC0D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3B4A5989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59BC4E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nil"/>
            </w:tcBorders>
            <w:shd w:val="clear" w:color="auto" w:fill="CCD1E3"/>
            <w:vAlign w:val="center"/>
          </w:tcPr>
          <w:p w14:paraId="4399C684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2,7</w:t>
            </w:r>
          </w:p>
        </w:tc>
      </w:tr>
      <w:tr w:rsidR="00256284" w:rsidRPr="00600DFE" w14:paraId="1A9FAB8C" w14:textId="77777777" w:rsidTr="00AF77A4">
        <w:trPr>
          <w:trHeight w:val="57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D37C0F" w14:textId="25B2086A" w:rsidR="00256284" w:rsidRPr="00600DFE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>Dochody z pozostałych świadczeń społecznych</w:t>
            </w:r>
            <w:r w:rsidRPr="008C4EF4">
              <w:rPr>
                <w:rStyle w:val="Odwoanieprzypisudolnego"/>
                <w:spacing w:val="-2"/>
                <w:szCs w:val="19"/>
                <w:shd w:val="clear" w:color="auto" w:fill="FFFFFF"/>
              </w:rPr>
              <w:footnoteReference w:id="6"/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FD4573" w14:textId="1BA4B5D6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7,3</w:t>
            </w:r>
          </w:p>
        </w:tc>
        <w:tc>
          <w:tcPr>
            <w:tcW w:w="567" w:type="dxa"/>
            <w:tcBorders>
              <w:top w:val="single" w:sz="4" w:space="0" w:color="212492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6A5E0678" w14:textId="18E08BD7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8,3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4B181A" w14:textId="52AB7D93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6,7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60E87050" w14:textId="273A433B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29A938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694DA25B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8,2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5A752B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7,9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434DD2FB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8,5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A3B14A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nil"/>
            </w:tcBorders>
            <w:shd w:val="clear" w:color="auto" w:fill="CCD1E3"/>
            <w:vAlign w:val="center"/>
          </w:tcPr>
          <w:p w14:paraId="71D53002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8,3</w:t>
            </w:r>
          </w:p>
        </w:tc>
      </w:tr>
      <w:tr w:rsidR="00256284" w:rsidRPr="00600DFE" w14:paraId="02A55593" w14:textId="77777777" w:rsidTr="00AF77A4">
        <w:trPr>
          <w:trHeight w:val="57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84E635" w14:textId="575877E3" w:rsidR="00256284" w:rsidRPr="00600DFE" w:rsidRDefault="00256284" w:rsidP="00256284">
            <w:pPr>
              <w:spacing w:before="0" w:after="0"/>
              <w:ind w:left="176"/>
              <w:rPr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 xml:space="preserve">w tym ze świadczenia </w:t>
            </w:r>
            <w:r>
              <w:rPr>
                <w:color w:val="000000"/>
                <w:sz w:val="16"/>
                <w:szCs w:val="16"/>
              </w:rPr>
              <w:br/>
            </w:r>
            <w:r w:rsidRPr="00600DFE">
              <w:rPr>
                <w:color w:val="000000"/>
                <w:sz w:val="16"/>
                <w:szCs w:val="16"/>
              </w:rPr>
              <w:t>wychowawczego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2611D5" w14:textId="79617A50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4,8</w:t>
            </w:r>
          </w:p>
        </w:tc>
        <w:tc>
          <w:tcPr>
            <w:tcW w:w="567" w:type="dxa"/>
            <w:tcBorders>
              <w:top w:val="single" w:sz="4" w:space="0" w:color="212492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2D8705B3" w14:textId="2B9E4CA5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8082FA" w14:textId="342B248D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782D973F" w14:textId="77E60761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103158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7041AE58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CA5AB6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5,4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4806AB98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F1B7E4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6,1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nil"/>
            </w:tcBorders>
            <w:shd w:val="clear" w:color="auto" w:fill="CCD1E3"/>
            <w:vAlign w:val="center"/>
          </w:tcPr>
          <w:p w14:paraId="4E287F38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6,1</w:t>
            </w:r>
          </w:p>
        </w:tc>
      </w:tr>
      <w:tr w:rsidR="00256284" w:rsidRPr="00600DFE" w14:paraId="0F96EE4C" w14:textId="77777777" w:rsidTr="00AF77A4">
        <w:trPr>
          <w:trHeight w:val="57"/>
          <w:jc w:val="center"/>
        </w:trPr>
        <w:tc>
          <w:tcPr>
            <w:tcW w:w="2268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BD08DCB" w14:textId="77777777" w:rsidR="00256284" w:rsidRPr="00600DFE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600DFE">
              <w:rPr>
                <w:color w:val="000000"/>
                <w:sz w:val="16"/>
                <w:szCs w:val="16"/>
              </w:rPr>
              <w:t>Inne dochody*</w:t>
            </w:r>
          </w:p>
        </w:tc>
        <w:tc>
          <w:tcPr>
            <w:tcW w:w="567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EA7E4A" w14:textId="72EF19E6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top w:val="single" w:sz="4" w:space="0" w:color="212492"/>
              <w:bottom w:val="nil"/>
              <w:right w:val="single" w:sz="4" w:space="0" w:color="001D77"/>
            </w:tcBorders>
            <w:shd w:val="clear" w:color="auto" w:fill="CCD1E3"/>
            <w:vAlign w:val="center"/>
          </w:tcPr>
          <w:p w14:paraId="32FB954E" w14:textId="59C18317" w:rsidR="00256284" w:rsidRPr="00256284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ADC70BA" w14:textId="2FF27E78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CCD1E3"/>
            <w:vAlign w:val="center"/>
          </w:tcPr>
          <w:p w14:paraId="65DD6117" w14:textId="07989E70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8E2A12B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3,6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CCD1E3"/>
            <w:vAlign w:val="center"/>
          </w:tcPr>
          <w:p w14:paraId="294DEB74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1,9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D4E8C4C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3,4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CCD1E3"/>
            <w:vAlign w:val="center"/>
          </w:tcPr>
          <w:p w14:paraId="3968FA34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B537862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nil"/>
              <w:right w:val="nil"/>
            </w:tcBorders>
            <w:shd w:val="clear" w:color="auto" w:fill="CCD1E3"/>
            <w:vAlign w:val="center"/>
          </w:tcPr>
          <w:p w14:paraId="1C3DF2C3" w14:textId="77777777" w:rsidR="00256284" w:rsidRPr="00600DFE" w:rsidRDefault="00256284" w:rsidP="00256284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2,2</w:t>
            </w:r>
          </w:p>
        </w:tc>
      </w:tr>
    </w:tbl>
    <w:p w14:paraId="2C4089B7" w14:textId="77777777" w:rsidR="00FE1D52" w:rsidRPr="00FE1D52" w:rsidRDefault="00FE1D52" w:rsidP="00FE1D52">
      <w:pPr>
        <w:spacing w:after="0"/>
        <w:rPr>
          <w:spacing w:val="-2"/>
          <w:sz w:val="16"/>
          <w:szCs w:val="16"/>
          <w:shd w:val="clear" w:color="auto" w:fill="FFFFFF"/>
        </w:rPr>
      </w:pPr>
      <w:r w:rsidRPr="00FE1D52">
        <w:rPr>
          <w:spacing w:val="-2"/>
          <w:sz w:val="16"/>
          <w:szCs w:val="16"/>
          <w:shd w:val="clear" w:color="auto" w:fill="FFFFFF"/>
        </w:rPr>
        <w:t xml:space="preserve">*Na kategorię "Inne dochody" składają się: dochody z własności, dochody z wynajmu nieruchomości oraz pozostałe dochody. </w:t>
      </w:r>
    </w:p>
    <w:p w14:paraId="42EFFC7C" w14:textId="77777777" w:rsidR="00CD394F" w:rsidRDefault="00CD394F" w:rsidP="00CD394F">
      <w:pPr>
        <w:ind w:left="709" w:hanging="709"/>
        <w:rPr>
          <w:spacing w:val="-2"/>
          <w:szCs w:val="19"/>
          <w:shd w:val="clear" w:color="auto" w:fill="FFFFFF"/>
        </w:rPr>
      </w:pPr>
    </w:p>
    <w:p w14:paraId="0BB5F412" w14:textId="77777777" w:rsidR="001A5E7C" w:rsidRPr="00430F84" w:rsidRDefault="001A5E7C" w:rsidP="00764D9C">
      <w:pPr>
        <w:rPr>
          <w:spacing w:val="-2"/>
          <w:szCs w:val="19"/>
          <w:shd w:val="clear" w:color="auto" w:fill="FFFFFF"/>
        </w:rPr>
      </w:pPr>
      <w:r w:rsidRPr="00430F84">
        <w:rPr>
          <w:spacing w:val="-2"/>
          <w:szCs w:val="19"/>
          <w:shd w:val="clear" w:color="auto" w:fill="FFFFFF"/>
        </w:rPr>
        <w:br w:type="page"/>
      </w:r>
    </w:p>
    <w:p w14:paraId="5E6113E7" w14:textId="0B1E1267" w:rsidR="00764D9C" w:rsidRPr="00B31E54" w:rsidRDefault="000C5594" w:rsidP="00764D9C">
      <w:pPr>
        <w:rPr>
          <w:spacing w:val="-2"/>
          <w:szCs w:val="19"/>
          <w:shd w:val="clear" w:color="auto" w:fill="FFFFFF"/>
        </w:rPr>
      </w:pPr>
      <w:r w:rsidRPr="000C5594">
        <w:rPr>
          <w:spacing w:val="-2"/>
          <w:szCs w:val="19"/>
          <w:shd w:val="clear" w:color="auto" w:fill="FFFFFF"/>
        </w:rPr>
        <w:lastRenderedPageBreak/>
        <w:t xml:space="preserve">Zróżnicowanie dochodów na osobę w gospodarstwach domowych, mierzone współczynnikiem </w:t>
      </w:r>
      <w:proofErr w:type="spellStart"/>
      <w:r w:rsidRPr="000C5594">
        <w:rPr>
          <w:spacing w:val="-2"/>
          <w:szCs w:val="19"/>
          <w:shd w:val="clear" w:color="auto" w:fill="FFFFFF"/>
        </w:rPr>
        <w:t>Giniego</w:t>
      </w:r>
      <w:proofErr w:type="spellEnd"/>
      <w:r w:rsidRPr="000C5594">
        <w:rPr>
          <w:spacing w:val="-2"/>
          <w:szCs w:val="19"/>
          <w:shd w:val="clear" w:color="auto" w:fill="FFFFFF"/>
        </w:rPr>
        <w:t>, po okresie spadku w latach 2014-2017 i chwilowej stabilizacji</w:t>
      </w:r>
      <w:r w:rsidR="00A40F01">
        <w:rPr>
          <w:spacing w:val="-2"/>
          <w:szCs w:val="19"/>
          <w:shd w:val="clear" w:color="auto" w:fill="FFFFFF"/>
        </w:rPr>
        <w:t>,</w:t>
      </w:r>
      <w:r w:rsidRPr="000C5594">
        <w:rPr>
          <w:spacing w:val="-2"/>
          <w:szCs w:val="19"/>
          <w:shd w:val="clear" w:color="auto" w:fill="FFFFFF"/>
        </w:rPr>
        <w:t xml:space="preserve"> w latach 2019 i 2020 wzrosło i wyniosło odpowiednio 0,301 i 0,313.</w:t>
      </w:r>
    </w:p>
    <w:p w14:paraId="4D457C0E" w14:textId="06CF7866" w:rsidR="00705CD4" w:rsidRPr="003B33FE" w:rsidRDefault="00705CD4" w:rsidP="00764D9C">
      <w:pPr>
        <w:rPr>
          <w:i/>
          <w:spacing w:val="-2"/>
          <w:szCs w:val="19"/>
          <w:shd w:val="clear" w:color="auto" w:fill="FFFFFF"/>
        </w:rPr>
      </w:pPr>
    </w:p>
    <w:p w14:paraId="7DB4F794" w14:textId="604A9C2C" w:rsidR="00764D9C" w:rsidRPr="003B33FE" w:rsidRDefault="0068241E" w:rsidP="00764D9C">
      <w:pPr>
        <w:spacing w:line="240" w:lineRule="auto"/>
        <w:rPr>
          <w:b/>
          <w:i/>
          <w:spacing w:val="-2"/>
          <w:sz w:val="18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5065F4A8" wp14:editId="00DA1BCA">
                <wp:simplePos x="0" y="0"/>
                <wp:positionH relativeFrom="column">
                  <wp:posOffset>5210175</wp:posOffset>
                </wp:positionH>
                <wp:positionV relativeFrom="paragraph">
                  <wp:posOffset>952500</wp:posOffset>
                </wp:positionV>
                <wp:extent cx="1725295" cy="1981200"/>
                <wp:effectExtent l="0" t="0" r="0" b="0"/>
                <wp:wrapTight wrapText="bothSides">
                  <wp:wrapPolygon edited="0">
                    <wp:start x="715" y="0"/>
                    <wp:lineTo x="715" y="21392"/>
                    <wp:lineTo x="20749" y="21392"/>
                    <wp:lineTo x="20749" y="0"/>
                    <wp:lineTo x="715" y="0"/>
                  </wp:wrapPolygon>
                </wp:wrapTight>
                <wp:docPr id="220" name="Pole tekstow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A59A2" w14:textId="119CFD4B" w:rsidR="00E913EA" w:rsidRPr="00B31E54" w:rsidRDefault="00E913EA" w:rsidP="009F0544">
                            <w:pPr>
                              <w:pStyle w:val="tekstzboku"/>
                              <w:rPr>
                                <w:bCs w:val="0"/>
                                <w:i/>
                              </w:rPr>
                            </w:pPr>
                            <w:r w:rsidRPr="00B31E54">
                              <w:t xml:space="preserve">Notowany </w:t>
                            </w:r>
                            <w:r>
                              <w:t xml:space="preserve">w </w:t>
                            </w:r>
                            <w:r w:rsidRPr="00B31E54">
                              <w:t>lat</w:t>
                            </w:r>
                            <w:r>
                              <w:t>ach 2014-2017</w:t>
                            </w:r>
                            <w:r w:rsidRPr="00B31E54">
                              <w:t xml:space="preserve"> wyraźny spadek zróżnicowania dochodów na osobę w gospodarstwach domowych, mierzony współczynnikiem </w:t>
                            </w:r>
                            <w:proofErr w:type="spellStart"/>
                            <w:r w:rsidRPr="00B31E54">
                              <w:t>Giniego</w:t>
                            </w:r>
                            <w:proofErr w:type="spellEnd"/>
                            <w:r w:rsidRPr="00B31E54">
                              <w:t>, w 2018 r. został zahamowany</w:t>
                            </w:r>
                            <w:r>
                              <w:t>,</w:t>
                            </w:r>
                            <w:r w:rsidRPr="00B31E54">
                              <w:t xml:space="preserve"> </w:t>
                            </w:r>
                            <w:r>
                              <w:t>a</w:t>
                            </w:r>
                            <w:r w:rsidRPr="00B31E54">
                              <w:t xml:space="preserve"> w </w:t>
                            </w:r>
                            <w:r>
                              <w:t xml:space="preserve">latach </w:t>
                            </w:r>
                            <w:r>
                              <w:br/>
                              <w:t>2019-</w:t>
                            </w:r>
                            <w:r w:rsidRPr="00B31E54">
                              <w:t>20</w:t>
                            </w:r>
                            <w:r>
                              <w:t>20</w:t>
                            </w:r>
                            <w:r w:rsidRPr="00B31E54">
                              <w:t xml:space="preserve"> </w:t>
                            </w:r>
                            <w:r>
                              <w:t>nastąpił jego wzrost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5F4A8" id="Pole tekstowe 220" o:spid="_x0000_s1032" type="#_x0000_t202" style="position:absolute;margin-left:410.25pt;margin-top:75pt;width:135.85pt;height:156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ZsEwIAAAMEAAAOAAAAZHJzL2Uyb0RvYy54bWysU9Fu2yAUfZ+0f0C8L46tpE2skKpr12lS&#10;t1Xq9gEE4xgVuAxI7Ozrd8FJFq1v1fyAwJd77j3nHlY3g9FkL31QYBktJ1NKpBXQKLtl9OePhw8L&#10;SkLktuEarGT0IAO9Wb9/t+pdLSvoQDfSEwSxoe4do12Mri6KIDppeJiAkxaDLXjDIx79tmg87xHd&#10;6KKaTq+KHnzjPAgZAv69H4N0nfHbVor4vW2DjEQzir3FvPq8btJarFe83nruOiWObfA3dGG4slj0&#10;DHXPIyc7r15BGSU8BGjjRIApoG2VkJkDsimn/7B57riTmQuKE9xZpvD/YMW3/ZMnqmG0qlAfyw0O&#10;6Qm0JFG+hAi9JCmAMvUu1Hj72eH9OHyEAcedKQf3COIlEAt3Hbdbees99J3kDbZZpsziInXECQlk&#10;03+FBqvxXYQMNLTeJA1RFYLo2M7hPCI5RCJSyetqXi3nlAiMlctFiSbINXh9Snc+xM8SDEkbRj16&#10;IMPz/WOIqR1en66kahYelNbZB9qSntHlvJrnhIuIURFtqpVhdDFN32icxPKTbXJy5EqPeyyg7ZF2&#10;YjpyjsNmyEJfndTcQHNAHTyMrsRXhJsO/G9KenQko+HXjntJif5iUctlOZslC+fDbH6d5uUvI5vL&#10;CLcCoRiNlIzbu5htP1K+Rc1bldVIwxk7ObaMTssiHV9FsvLlOd/6+3bXfwAAAP//AwBQSwMEFAAG&#10;AAgAAAAhAKfznArfAAAADAEAAA8AAABkcnMvZG93bnJldi54bWxMj8tOwzAQRfdI/QdrKrGjNlZT&#10;tSFOVRWxBVEeEjs3niYR8TiK3Sb8PdMVLEf36M65xXbynbjgENtABu4XCgRSFVxLtYH3t6e7NYiY&#10;LDnbBUIDPxhhW85uCpu7MNIrXg6pFlxCMbcGmpT6XMpYNehtXIQeibNTGLxNfA61dIMdudx3Uiu1&#10;kt62xB8a2+O+wer7cPYGPp5PX59L9VI/+qwfw6Qk+Y005nY+7R5AJJzSHwxXfVaHkp2O4Uwuis7A&#10;WquMUQ4yxaOuhNpoDeJoYLnSCmRZyP8jyl8AAAD//wMAUEsBAi0AFAAGAAgAAAAhALaDOJL+AAAA&#10;4QEAABMAAAAAAAAAAAAAAAAAAAAAAFtDb250ZW50X1R5cGVzXS54bWxQSwECLQAUAAYACAAAACEA&#10;OP0h/9YAAACUAQAACwAAAAAAAAAAAAAAAAAvAQAAX3JlbHMvLnJlbHNQSwECLQAUAAYACAAAACEA&#10;svH2bBMCAAADBAAADgAAAAAAAAAAAAAAAAAuAgAAZHJzL2Uyb0RvYy54bWxQSwECLQAUAAYACAAA&#10;ACEAp/OcCt8AAAAMAQAADwAAAAAAAAAAAAAAAABtBAAAZHJzL2Rvd25yZXYueG1sUEsFBgAAAAAE&#10;AAQA8wAAAHkFAAAAAA==&#10;" filled="f" stroked="f">
                <v:textbox>
                  <w:txbxContent>
                    <w:p w14:paraId="537A59A2" w14:textId="119CFD4B" w:rsidR="00E913EA" w:rsidRPr="00B31E54" w:rsidRDefault="00E913EA" w:rsidP="009F0544">
                      <w:pPr>
                        <w:pStyle w:val="tekstzboku"/>
                        <w:rPr>
                          <w:bCs w:val="0"/>
                          <w:i/>
                        </w:rPr>
                      </w:pPr>
                      <w:r w:rsidRPr="00B31E54">
                        <w:t xml:space="preserve">Notowany </w:t>
                      </w:r>
                      <w:r>
                        <w:t xml:space="preserve">w </w:t>
                      </w:r>
                      <w:r w:rsidRPr="00B31E54">
                        <w:t>lat</w:t>
                      </w:r>
                      <w:r>
                        <w:t>ach 2014-2017</w:t>
                      </w:r>
                      <w:r w:rsidRPr="00B31E54">
                        <w:t xml:space="preserve"> wyraźny spadek zróżnicowania dochodów na osobę w gospodarstwach domowych, mierzony współczynnikiem </w:t>
                      </w:r>
                      <w:proofErr w:type="spellStart"/>
                      <w:r w:rsidRPr="00B31E54">
                        <w:t>Giniego</w:t>
                      </w:r>
                      <w:proofErr w:type="spellEnd"/>
                      <w:r w:rsidRPr="00B31E54">
                        <w:t>, w 2018 r. został zahamowany</w:t>
                      </w:r>
                      <w:r>
                        <w:t>,</w:t>
                      </w:r>
                      <w:r w:rsidRPr="00B31E54">
                        <w:t xml:space="preserve"> </w:t>
                      </w:r>
                      <w:r>
                        <w:t>a</w:t>
                      </w:r>
                      <w:r w:rsidRPr="00B31E54">
                        <w:t xml:space="preserve"> w </w:t>
                      </w:r>
                      <w:r>
                        <w:t xml:space="preserve">latach </w:t>
                      </w:r>
                      <w:r>
                        <w:br/>
                        <w:t>2019-</w:t>
                      </w:r>
                      <w:r w:rsidRPr="00B31E54">
                        <w:t>20</w:t>
                      </w:r>
                      <w:r>
                        <w:t>20</w:t>
                      </w:r>
                      <w:r w:rsidRPr="00B31E54">
                        <w:t xml:space="preserve"> </w:t>
                      </w:r>
                      <w:r>
                        <w:t>nastąpił jego wzrost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1E54">
        <w:rPr>
          <w:noProof/>
          <w:lang w:eastAsia="pl-PL"/>
        </w:rPr>
        <w:drawing>
          <wp:inline distT="0" distB="0" distL="0" distR="0" wp14:anchorId="19D1D856" wp14:editId="61AA322F">
            <wp:extent cx="5122545" cy="3239770"/>
            <wp:effectExtent l="0" t="0" r="1905" b="0"/>
            <wp:docPr id="26" name="Wykres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B9242A6" w14:textId="6F4F30BE" w:rsidR="009A0BA1" w:rsidRPr="009A0BA1" w:rsidRDefault="009F0544" w:rsidP="00653ADD">
      <w:pPr>
        <w:pStyle w:val="tekstzboku"/>
        <w:rPr>
          <w:color w:val="auto"/>
          <w:szCs w:val="19"/>
          <w:shd w:val="clear" w:color="auto" w:fill="FFFFFF"/>
        </w:rPr>
      </w:pPr>
      <w:r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812864" behindDoc="1" locked="0" layoutInCell="1" allowOverlap="1" wp14:anchorId="6A3B120D" wp14:editId="2BEA2C0F">
                <wp:simplePos x="0" y="0"/>
                <wp:positionH relativeFrom="column">
                  <wp:posOffset>5210175</wp:posOffset>
                </wp:positionH>
                <wp:positionV relativeFrom="paragraph">
                  <wp:posOffset>103505</wp:posOffset>
                </wp:positionV>
                <wp:extent cx="1725295" cy="1428750"/>
                <wp:effectExtent l="0" t="0" r="0" b="0"/>
                <wp:wrapTight wrapText="bothSides">
                  <wp:wrapPolygon edited="0">
                    <wp:start x="715" y="0"/>
                    <wp:lineTo x="715" y="21312"/>
                    <wp:lineTo x="20749" y="21312"/>
                    <wp:lineTo x="20749" y="0"/>
                    <wp:lineTo x="715" y="0"/>
                  </wp:wrapPolygon>
                </wp:wrapTight>
                <wp:docPr id="219" name="Pole tekstow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6C2B" w14:textId="07E624FD" w:rsidR="00E913EA" w:rsidRPr="002A172D" w:rsidRDefault="00E913EA" w:rsidP="00764D9C">
                            <w:pPr>
                              <w:pStyle w:val="tekstzboku"/>
                              <w:rPr>
                                <w:spacing w:val="-2"/>
                              </w:rPr>
                            </w:pPr>
                            <w:r w:rsidRPr="002A172D">
                              <w:rPr>
                                <w:spacing w:val="-2"/>
                              </w:rPr>
                              <w:t>W 2020 r. zwiększył się odsetek gospodarstw domowych dysponującym dochodem powyżej 4000 zł na osobę, a</w:t>
                            </w:r>
                            <w:r>
                              <w:rPr>
                                <w:spacing w:val="-2"/>
                              </w:rPr>
                              <w:t> </w:t>
                            </w:r>
                            <w:r w:rsidRPr="002A172D">
                              <w:rPr>
                                <w:spacing w:val="-2"/>
                              </w:rPr>
                              <w:t>zmniejszył się odsetek gospodarstw domowych z dochodem poniżej 2000 zł na osobę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120D" id="Pole tekstowe 219" o:spid="_x0000_s1033" type="#_x0000_t202" style="position:absolute;margin-left:410.25pt;margin-top:8.15pt;width:135.85pt;height:112.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rCFQIAAAMEAAAOAAAAZHJzL2Uyb0RvYy54bWysU9uO2yAQfa/Uf0C8N74obhIrzmq7260q&#10;bbcrbfsBBOMYLTAUSOz06zvgJI3at6p+QOBhzsw5c1jfjFqRg3BegmloMcspEYZDK82uod+/Pbxb&#10;UuIDMy1TYERDj8LTm83bN+vB1qKEHlQrHEEQ4+vBNrQPwdZZ5nkvNPMzsMJgsAOnWcCj22WtYwOi&#10;a5WVef4+G8C11gEX3uPf+ylINwm/6wQPX7vOi0BUQ7G3kFaX1m1cs82a1TvHbC/5qQ32D11oJg0W&#10;vUDds8DI3sm/oLTkDjx0YcZBZ9B1kovEAdkU+R9sXnpmReKC4nh7kcn/P1j+dHh2RLYNLYsVJYZp&#10;HNIzKEGCePUBBkFiAGUarK/x9ovF+2H8ACOOO1H29hH4qycG7npmduLWORh6wVpss4iZ2VXqhOMj&#10;yHb4Ai1WY/sACWjsnI4aoioE0XFcx8uIxBgIjyUXZVWuKko4xop5uVxUaYgZq8/p1vnwSYAmcdNQ&#10;hx5I8Ozw6ENsh9XnK7GagQepVPKBMmRo6Koqq5RwFdEyoE2V1A1d5vGbjBNZfjRtSg5MqmmPBZQ5&#10;0Y5MJ85h3I5J6MVZzS20R9TBweRKfEW46cH9pGRARzbU/9gzJyhRnw1quSrm82jhdJhXixIP7jqy&#10;vY4wwxGqoYGSaXsXku0nyreoeSeTGnE4UyenltFpSaTTq4hWvj6nW7/f7uYXAAAA//8DAFBLAwQU&#10;AAYACAAAACEAB9nZCN8AAAALAQAADwAAAGRycy9kb3ducmV2LnhtbEyPy07DMBBF90j8gzVI7Khd&#10;96E2jVMhEFsQ5SF1N42nSUQ8jmK3CX+Pu6LL0T2690y+HV0rztSHxrOB6USBIC69bbgy8Pnx8rAC&#10;ESKyxdYzGfilANvi9ibHzPqB3+m8i5VIJRwyNFDH2GVShrImh2HiO+KUHX3vMKazr6TtcUjlrpVa&#10;qaV02HBaqLGjp5rKn93JGfh6Pe6/5+qtenaLbvCjkuzW0pj7u/FxAyLSGP9huOgndSiS08Gf2AbR&#10;GlhptUhoCpYzEBdArbUGcTCg59MZyCKX1z8UfwAAAP//AwBQSwECLQAUAAYACAAAACEAtoM4kv4A&#10;AADhAQAAEwAAAAAAAAAAAAAAAAAAAAAAW0NvbnRlbnRfVHlwZXNdLnhtbFBLAQItABQABgAIAAAA&#10;IQA4/SH/1gAAAJQBAAALAAAAAAAAAAAAAAAAAC8BAABfcmVscy8ucmVsc1BLAQItABQABgAIAAAA&#10;IQAvfvrCFQIAAAMEAAAOAAAAAAAAAAAAAAAAAC4CAABkcnMvZTJvRG9jLnhtbFBLAQItABQABgAI&#10;AAAAIQAH2dkI3wAAAAsBAAAPAAAAAAAAAAAAAAAAAG8EAABkcnMvZG93bnJldi54bWxQSwUGAAAA&#10;AAQABADzAAAAewUAAAAA&#10;" filled="f" stroked="f">
                <v:textbox>
                  <w:txbxContent>
                    <w:p w14:paraId="41456C2B" w14:textId="07E624FD" w:rsidR="00E913EA" w:rsidRPr="002A172D" w:rsidRDefault="00E913EA" w:rsidP="00764D9C">
                      <w:pPr>
                        <w:pStyle w:val="tekstzboku"/>
                        <w:rPr>
                          <w:spacing w:val="-2"/>
                        </w:rPr>
                      </w:pPr>
                      <w:r w:rsidRPr="002A172D">
                        <w:rPr>
                          <w:spacing w:val="-2"/>
                        </w:rPr>
                        <w:t>W 2020 r. zwiększył się odsetek gospodarstw domowych dysponującym dochodem powyżej 4000 zł na osobę, a</w:t>
                      </w:r>
                      <w:r>
                        <w:rPr>
                          <w:spacing w:val="-2"/>
                        </w:rPr>
                        <w:t> </w:t>
                      </w:r>
                      <w:r w:rsidRPr="002A172D">
                        <w:rPr>
                          <w:spacing w:val="-2"/>
                        </w:rPr>
                        <w:t>zmniejszył się odsetek gospodarstw domowych z dochodem poniżej 2000 zł na osobę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E631BC" w14:textId="4A44DC57" w:rsidR="00124EF4" w:rsidRPr="00124EF4" w:rsidRDefault="00124EF4" w:rsidP="00653ADD">
      <w:pPr>
        <w:pStyle w:val="tekstzboku"/>
        <w:rPr>
          <w:color w:val="auto"/>
        </w:rPr>
      </w:pPr>
      <w:r w:rsidRPr="00124EF4">
        <w:rPr>
          <w:color w:val="auto"/>
          <w:szCs w:val="19"/>
          <w:shd w:val="clear" w:color="auto" w:fill="FFFFFF"/>
        </w:rPr>
        <w:t>W 2020 r. 56,0% gospodarstw domowych dysponowało przeciętnym miesięcznym dochodem rozporządzalnym na osobę wynoszącym poniżej 2000 zł (61,0% w 2019 r.), 37,6% gospodarstw domowych miało dochód od 2000 do 4000 zł na osobę (33,7% w 2019 r.), 4,7% gospodarstw dysponowało dochodem od 4000 do 6000 zł na osobę (3,9% w 2019 r.), a 6000 zł lub więcej na osobę miało 1,7% gospodarstw domowych (1,4% w 2019 r.).</w:t>
      </w:r>
      <w:r w:rsidRPr="00124EF4">
        <w:rPr>
          <w:color w:val="auto"/>
        </w:rPr>
        <w:t xml:space="preserve"> W 2020 r. odsetek gospodarstw domowych z przeciętnym miesięcznym dochodem co najmniej 2000 zł na osobę wyniósł 44,0% (w 2019 r. </w:t>
      </w:r>
      <w:r w:rsidRPr="00124EF4">
        <w:rPr>
          <w:color w:val="auto"/>
          <w:spacing w:val="-2"/>
        </w:rPr>
        <w:t>–</w:t>
      </w:r>
      <w:r w:rsidRPr="00124EF4">
        <w:rPr>
          <w:color w:val="auto"/>
        </w:rPr>
        <w:t xml:space="preserve"> 39,0%)</w:t>
      </w:r>
      <w:r w:rsidR="00431E65">
        <w:rPr>
          <w:color w:val="auto"/>
        </w:rPr>
        <w:t>.</w:t>
      </w:r>
    </w:p>
    <w:p w14:paraId="16375707" w14:textId="27A51E87" w:rsidR="007275B6" w:rsidRPr="007275B6" w:rsidRDefault="009F0544" w:rsidP="009A0BA1">
      <w:pPr>
        <w:jc w:val="both"/>
        <w:rPr>
          <w:szCs w:val="19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39C9C9D0" wp14:editId="1151BDAC">
                <wp:simplePos x="0" y="0"/>
                <wp:positionH relativeFrom="column">
                  <wp:posOffset>5219700</wp:posOffset>
                </wp:positionH>
                <wp:positionV relativeFrom="paragraph">
                  <wp:posOffset>392430</wp:posOffset>
                </wp:positionV>
                <wp:extent cx="1725295" cy="3448050"/>
                <wp:effectExtent l="0" t="0" r="0" b="0"/>
                <wp:wrapTight wrapText="bothSides">
                  <wp:wrapPolygon edited="0">
                    <wp:start x="715" y="0"/>
                    <wp:lineTo x="715" y="21481"/>
                    <wp:lineTo x="20749" y="21481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44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BE04" w14:textId="783D5001" w:rsidR="00E913EA" w:rsidRDefault="00E913EA" w:rsidP="009F0544">
                            <w:pPr>
                              <w:pStyle w:val="tekstzboku"/>
                            </w:pPr>
                            <w:r w:rsidRPr="002E0223">
                              <w:t>W ujęciu realnym w 20</w:t>
                            </w:r>
                            <w:r>
                              <w:t>20</w:t>
                            </w:r>
                            <w:r w:rsidRPr="002E0223">
                              <w:t xml:space="preserve"> r. wystąpił </w:t>
                            </w:r>
                            <w:r>
                              <w:t>spadek</w:t>
                            </w:r>
                            <w:r w:rsidRPr="002E0223">
                              <w:t xml:space="preserve"> przeciętnych miesięcznych wydatków na 1</w:t>
                            </w:r>
                            <w:r>
                              <w:t> </w:t>
                            </w:r>
                            <w:r w:rsidRPr="002E0223">
                              <w:t xml:space="preserve">osobę w gospodarstwach domowych </w:t>
                            </w:r>
                            <w:r>
                              <w:t xml:space="preserve">o 6,5% </w:t>
                            </w:r>
                            <w:r w:rsidRPr="002E0223">
                              <w:t>w</w:t>
                            </w:r>
                            <w:r>
                              <w:t xml:space="preserve"> </w:t>
                            </w:r>
                            <w:r w:rsidRPr="002E0223">
                              <w:t xml:space="preserve">porównaniu </w:t>
                            </w:r>
                            <w:r>
                              <w:t>z</w:t>
                            </w:r>
                            <w:r w:rsidRPr="002E0223">
                              <w:t xml:space="preserve"> poprzedni</w:t>
                            </w:r>
                            <w:r>
                              <w:t xml:space="preserve">m </w:t>
                            </w:r>
                            <w:r w:rsidRPr="002E0223">
                              <w:t>rok</w:t>
                            </w:r>
                            <w:r>
                              <w:t>iem</w:t>
                            </w:r>
                          </w:p>
                          <w:p w14:paraId="63333598" w14:textId="3E9BE31B" w:rsidR="00E913EA" w:rsidRDefault="00E913EA" w:rsidP="009F0544">
                            <w:pPr>
                              <w:pStyle w:val="tekstzboku"/>
                            </w:pPr>
                          </w:p>
                          <w:p w14:paraId="7D64694F" w14:textId="2D870E62" w:rsidR="00E913EA" w:rsidRPr="002A172D" w:rsidRDefault="00E913EA" w:rsidP="009F0544">
                            <w:pPr>
                              <w:pStyle w:val="tekstzboku"/>
                              <w:rPr>
                                <w:spacing w:val="-2"/>
                              </w:rPr>
                            </w:pPr>
                            <w:r w:rsidRPr="002A172D">
                              <w:rPr>
                                <w:spacing w:val="-2"/>
                              </w:rPr>
                              <w:t>W szczególnym roku pandemii COVID-19 i związanych z nią ograniczeń (2020) zaszły znaczące zmiany w strukturze wydatków: wzrósł udział wydatków na żywność i napoje bezalkoholowe oraz na użytkowanie mieszkania lub domu i</w:t>
                            </w:r>
                            <w:r>
                              <w:rPr>
                                <w:spacing w:val="-2"/>
                              </w:rPr>
                              <w:t> </w:t>
                            </w:r>
                            <w:r w:rsidRPr="002A172D">
                              <w:rPr>
                                <w:spacing w:val="-2"/>
                              </w:rPr>
                              <w:t>nośniki energii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  <w:r w:rsidRPr="002A172D">
                              <w:rPr>
                                <w:spacing w:val="-2"/>
                              </w:rPr>
                              <w:t xml:space="preserve"> a spadł na restauracje i hotele, rekreację i kulturę, transport oraz odzież i obuwie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C9D0" id="Pole tekstowe 18" o:spid="_x0000_s1034" type="#_x0000_t202" style="position:absolute;left:0;text-align:left;margin-left:411pt;margin-top:30.9pt;width:135.85pt;height:271.5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4NEgIAAAEEAAAOAAAAZHJzL2Uyb0RvYy54bWysU8GO0zAQvSPxD5bvNGlo2DZqulp2WYS0&#10;wEoLH+A4TmOt7TG226R8PWOnWyK4IXKw7Iznzbw3z9vrUStyFM5LMDVdLnJKhOHQSrOv6fdv92/W&#10;lPjATMsUGFHTk/D0evf61XawlSigB9UKRxDE+GqwNe1DsFWWed4LzfwCrDAY7MBpFvDo9lnr2IDo&#10;WmVFnr/LBnCtdcCF9/j3bgrSXcLvOsHD167zIhBVU+wtpNWltYlrttuyau+Y7SU/t8H+oQvNpMGi&#10;F6g7Fhg5OPkXlJbcgYcuLDjoDLpOcpE4IJtl/gebp55ZkbigON5eZPL/D5Z/OT46IlucHU7KMI0z&#10;egQlSBDPPsAgCP5HkQbrK7z7ZPF2GN/DiAmJsLcPwJ89MXDbM7MXN87B0AvWYpPLmJnNUiccH0Ga&#10;4TO0WIwdAiSgsXM6KoiaEETHYZ0uAxJjIDyWvCrKYlNSwjH2drVa52UaYcaql3TrfPgoQJO4qalD&#10;ByR4dnzwIbbDqpcrsZqBe6lUcoEyZKjppizKlDCLaBnQpErqmq7z+E22iSw/mDYlBybVtMcCypxp&#10;R6YT5zA2Y5L5omYD7Ql1cDB5Et8QbnpwPykZ0I819T8OzAlK1CeDWm6Wq1U0cDqsyqsCD24eaeYR&#10;ZjhC1TRQMm1vQzL9RPkGNe9kUiMOZ+rk3DL6LIl0fhPRyPNzuvX75e5+AQAA//8DAFBLAwQUAAYA&#10;CAAAACEALg2PGN8AAAALAQAADwAAAGRycy9kb3ducmV2LnhtbEyPwU7DMAyG70h7h8hIu7Fk3di6&#10;0nRCIK4gBkPiljVeW61xqiZby9vjneBo+9fv78u3o2vFBfvQeNIwnykQSKW3DVUaPj9e7lIQIRqy&#10;pvWEGn4wwLaY3OQms36gd7zsYiW4hEJmNNQxdpmUoazRmTDzHRLfjr53JvLYV9L2ZuBy18pEqZV0&#10;piH+UJsOn2osT7uz07B/PX5/LdVb9ezuu8GPSpLbSK2nt+PjA4iIY/wLwxWf0aFgpoM/kw2i1ZAm&#10;CbtEDas5K1wDarNYgzjwRi1TkEUu/zsUvwAAAP//AwBQSwECLQAUAAYACAAAACEAtoM4kv4AAADh&#10;AQAAEwAAAAAAAAAAAAAAAAAAAAAAW0NvbnRlbnRfVHlwZXNdLnhtbFBLAQItABQABgAIAAAAIQA4&#10;/SH/1gAAAJQBAAALAAAAAAAAAAAAAAAAAC8BAABfcmVscy8ucmVsc1BLAQItABQABgAIAAAAIQDd&#10;tz4NEgIAAAEEAAAOAAAAAAAAAAAAAAAAAC4CAABkcnMvZTJvRG9jLnhtbFBLAQItABQABgAIAAAA&#10;IQAuDY8Y3wAAAAsBAAAPAAAAAAAAAAAAAAAAAGwEAABkcnMvZG93bnJldi54bWxQSwUGAAAAAAQA&#10;BADzAAAAeAUAAAAA&#10;" filled="f" stroked="f">
                <v:textbox>
                  <w:txbxContent>
                    <w:p w14:paraId="24CCBE04" w14:textId="783D5001" w:rsidR="00E913EA" w:rsidRDefault="00E913EA" w:rsidP="009F0544">
                      <w:pPr>
                        <w:pStyle w:val="tekstzboku"/>
                      </w:pPr>
                      <w:r w:rsidRPr="002E0223">
                        <w:t>W ujęciu realnym w 20</w:t>
                      </w:r>
                      <w:r>
                        <w:t>20</w:t>
                      </w:r>
                      <w:r w:rsidRPr="002E0223">
                        <w:t xml:space="preserve"> r. wystąpił </w:t>
                      </w:r>
                      <w:r>
                        <w:t>spadek</w:t>
                      </w:r>
                      <w:r w:rsidRPr="002E0223">
                        <w:t xml:space="preserve"> przeciętnych miesięcznych wydatków na 1</w:t>
                      </w:r>
                      <w:r>
                        <w:t> </w:t>
                      </w:r>
                      <w:r w:rsidRPr="002E0223">
                        <w:t xml:space="preserve">osobę w gospodarstwach domowych </w:t>
                      </w:r>
                      <w:r>
                        <w:t xml:space="preserve">o 6,5% </w:t>
                      </w:r>
                      <w:r w:rsidRPr="002E0223">
                        <w:t>w</w:t>
                      </w:r>
                      <w:r>
                        <w:t xml:space="preserve"> </w:t>
                      </w:r>
                      <w:r w:rsidRPr="002E0223">
                        <w:t xml:space="preserve">porównaniu </w:t>
                      </w:r>
                      <w:r>
                        <w:t>z</w:t>
                      </w:r>
                      <w:r w:rsidRPr="002E0223">
                        <w:t xml:space="preserve"> poprzedni</w:t>
                      </w:r>
                      <w:r>
                        <w:t xml:space="preserve">m </w:t>
                      </w:r>
                      <w:r w:rsidRPr="002E0223">
                        <w:t>rok</w:t>
                      </w:r>
                      <w:r>
                        <w:t>iem</w:t>
                      </w:r>
                    </w:p>
                    <w:p w14:paraId="63333598" w14:textId="3E9BE31B" w:rsidR="00E913EA" w:rsidRDefault="00E913EA" w:rsidP="009F0544">
                      <w:pPr>
                        <w:pStyle w:val="tekstzboku"/>
                      </w:pPr>
                    </w:p>
                    <w:p w14:paraId="7D64694F" w14:textId="2D870E62" w:rsidR="00E913EA" w:rsidRPr="002A172D" w:rsidRDefault="00E913EA" w:rsidP="009F0544">
                      <w:pPr>
                        <w:pStyle w:val="tekstzboku"/>
                        <w:rPr>
                          <w:spacing w:val="-2"/>
                        </w:rPr>
                      </w:pPr>
                      <w:r w:rsidRPr="002A172D">
                        <w:rPr>
                          <w:spacing w:val="-2"/>
                        </w:rPr>
                        <w:t>W szczególnym roku pandemii COVID-19 i związanych z nią ograniczeń (2020) zaszły znaczące zmiany w strukturze wydatków: wzrósł udział wydatków na żywność i napoje bezalkoholowe oraz na użytkowanie mieszkania lub domu i</w:t>
                      </w:r>
                      <w:r>
                        <w:rPr>
                          <w:spacing w:val="-2"/>
                        </w:rPr>
                        <w:t> </w:t>
                      </w:r>
                      <w:r w:rsidRPr="002A172D">
                        <w:rPr>
                          <w:spacing w:val="-2"/>
                        </w:rPr>
                        <w:t>nośniki energii</w:t>
                      </w:r>
                      <w:r>
                        <w:rPr>
                          <w:spacing w:val="-2"/>
                        </w:rPr>
                        <w:t>,</w:t>
                      </w:r>
                      <w:r w:rsidRPr="002A172D">
                        <w:rPr>
                          <w:spacing w:val="-2"/>
                        </w:rPr>
                        <w:t xml:space="preserve"> a spadł na restauracje i hotele, rekreację i kulturę, transport oraz odzież i obuwie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7031" w:rsidRPr="007275B6">
        <w:rPr>
          <w:szCs w:val="19"/>
          <w:shd w:val="clear" w:color="auto" w:fill="FFFFFF"/>
        </w:rPr>
        <w:t>W</w:t>
      </w:r>
      <w:r w:rsidR="008F15F3">
        <w:rPr>
          <w:szCs w:val="19"/>
          <w:shd w:val="clear" w:color="auto" w:fill="FFFFFF"/>
        </w:rPr>
        <w:t>e</w:t>
      </w:r>
      <w:r w:rsidR="00764D9C" w:rsidRPr="007275B6">
        <w:rPr>
          <w:szCs w:val="19"/>
          <w:shd w:val="clear" w:color="auto" w:fill="FFFFFF"/>
        </w:rPr>
        <w:t xml:space="preserve"> </w:t>
      </w:r>
      <w:r w:rsidR="007275B6" w:rsidRPr="007275B6">
        <w:rPr>
          <w:szCs w:val="19"/>
          <w:shd w:val="clear" w:color="auto" w:fill="FFFFFF"/>
        </w:rPr>
        <w:t>wszystkich</w:t>
      </w:r>
      <w:r w:rsidR="00764D9C" w:rsidRPr="007275B6">
        <w:rPr>
          <w:szCs w:val="19"/>
          <w:shd w:val="clear" w:color="auto" w:fill="FFFFFF"/>
        </w:rPr>
        <w:t xml:space="preserve"> grup</w:t>
      </w:r>
      <w:r w:rsidR="007275B6" w:rsidRPr="007275B6">
        <w:rPr>
          <w:szCs w:val="19"/>
          <w:shd w:val="clear" w:color="auto" w:fill="FFFFFF"/>
        </w:rPr>
        <w:t>ach</w:t>
      </w:r>
      <w:r w:rsidR="00764D9C" w:rsidRPr="007275B6">
        <w:rPr>
          <w:szCs w:val="19"/>
          <w:shd w:val="clear" w:color="auto" w:fill="FFFFFF"/>
        </w:rPr>
        <w:t xml:space="preserve"> społeczno-ekon</w:t>
      </w:r>
      <w:r w:rsidR="007E1F14" w:rsidRPr="007275B6">
        <w:rPr>
          <w:szCs w:val="19"/>
          <w:shd w:val="clear" w:color="auto" w:fill="FFFFFF"/>
        </w:rPr>
        <w:t xml:space="preserve">omicznych gospodarstw domowych </w:t>
      </w:r>
      <w:r w:rsidR="00764D9C" w:rsidRPr="007275B6">
        <w:rPr>
          <w:szCs w:val="19"/>
          <w:shd w:val="clear" w:color="auto" w:fill="FFFFFF"/>
        </w:rPr>
        <w:t xml:space="preserve">wystąpił </w:t>
      </w:r>
      <w:r w:rsidR="008F15F3" w:rsidRPr="007275B6">
        <w:rPr>
          <w:szCs w:val="19"/>
          <w:shd w:val="clear" w:color="auto" w:fill="FFFFFF"/>
        </w:rPr>
        <w:t>w 20</w:t>
      </w:r>
      <w:r w:rsidR="00E500F5">
        <w:rPr>
          <w:szCs w:val="19"/>
          <w:shd w:val="clear" w:color="auto" w:fill="FFFFFF"/>
        </w:rPr>
        <w:t>20</w:t>
      </w:r>
      <w:r w:rsidR="008F15F3" w:rsidRPr="007275B6">
        <w:rPr>
          <w:szCs w:val="19"/>
          <w:shd w:val="clear" w:color="auto" w:fill="FFFFFF"/>
        </w:rPr>
        <w:t xml:space="preserve"> r. </w:t>
      </w:r>
      <w:r w:rsidR="00764D9C" w:rsidRPr="007275B6">
        <w:rPr>
          <w:szCs w:val="19"/>
          <w:shd w:val="clear" w:color="auto" w:fill="FFFFFF"/>
        </w:rPr>
        <w:t xml:space="preserve">realny </w:t>
      </w:r>
      <w:r w:rsidR="00E500F5">
        <w:rPr>
          <w:szCs w:val="19"/>
          <w:shd w:val="clear" w:color="auto" w:fill="FFFFFF"/>
        </w:rPr>
        <w:t>spadek</w:t>
      </w:r>
      <w:r w:rsidR="00764D9C" w:rsidRPr="007275B6">
        <w:rPr>
          <w:szCs w:val="19"/>
          <w:shd w:val="clear" w:color="auto" w:fill="FFFFFF"/>
        </w:rPr>
        <w:t xml:space="preserve"> przeciętnych miesięcznych wydatków na osobę w</w:t>
      </w:r>
      <w:r w:rsidR="007275B6" w:rsidRPr="007275B6">
        <w:rPr>
          <w:szCs w:val="19"/>
          <w:shd w:val="clear" w:color="auto" w:fill="FFFFFF"/>
        </w:rPr>
        <w:t xml:space="preserve"> stosunku do 201</w:t>
      </w:r>
      <w:r w:rsidR="00E500F5">
        <w:rPr>
          <w:szCs w:val="19"/>
          <w:shd w:val="clear" w:color="auto" w:fill="FFFFFF"/>
        </w:rPr>
        <w:t>9</w:t>
      </w:r>
      <w:r w:rsidR="00157C8F" w:rsidRPr="007275B6">
        <w:rPr>
          <w:szCs w:val="19"/>
          <w:shd w:val="clear" w:color="auto" w:fill="FFFFFF"/>
        </w:rPr>
        <w:t xml:space="preserve"> </w:t>
      </w:r>
      <w:r w:rsidR="00F23B27">
        <w:rPr>
          <w:szCs w:val="19"/>
          <w:shd w:val="clear" w:color="auto" w:fill="FFFFFF"/>
        </w:rPr>
        <w:t xml:space="preserve">r. </w:t>
      </w:r>
      <w:r w:rsidR="00157C8F" w:rsidRPr="007275B6">
        <w:rPr>
          <w:szCs w:val="19"/>
          <w:shd w:val="clear" w:color="auto" w:fill="FFFFFF"/>
        </w:rPr>
        <w:t>(od</w:t>
      </w:r>
      <w:r w:rsidR="00137B5B">
        <w:rPr>
          <w:szCs w:val="19"/>
          <w:shd w:val="clear" w:color="auto" w:fill="FFFFFF"/>
        </w:rPr>
        <w:t xml:space="preserve"> </w:t>
      </w:r>
      <w:r w:rsidR="00E500F5">
        <w:rPr>
          <w:szCs w:val="19"/>
          <w:shd w:val="clear" w:color="auto" w:fill="FFFFFF"/>
        </w:rPr>
        <w:t>5,7</w:t>
      </w:r>
      <w:r w:rsidR="00D011D1" w:rsidRPr="007275B6">
        <w:rPr>
          <w:szCs w:val="19"/>
          <w:shd w:val="clear" w:color="auto" w:fill="FFFFFF"/>
        </w:rPr>
        <w:t>%</w:t>
      </w:r>
      <w:r w:rsidR="00764D9C" w:rsidRPr="007275B6">
        <w:rPr>
          <w:szCs w:val="19"/>
          <w:shd w:val="clear" w:color="auto" w:fill="FFFFFF"/>
        </w:rPr>
        <w:t xml:space="preserve"> w grupie </w:t>
      </w:r>
      <w:r w:rsidR="007275B6" w:rsidRPr="007275B6">
        <w:rPr>
          <w:szCs w:val="19"/>
          <w:shd w:val="clear" w:color="auto" w:fill="FFFFFF"/>
        </w:rPr>
        <w:t>emery</w:t>
      </w:r>
      <w:r w:rsidR="00764D9C" w:rsidRPr="007275B6">
        <w:rPr>
          <w:szCs w:val="19"/>
          <w:shd w:val="clear" w:color="auto" w:fill="FFFFFF"/>
        </w:rPr>
        <w:t xml:space="preserve">tów do </w:t>
      </w:r>
      <w:r w:rsidR="00E500F5">
        <w:rPr>
          <w:szCs w:val="19"/>
          <w:shd w:val="clear" w:color="auto" w:fill="FFFFFF"/>
        </w:rPr>
        <w:t>11,1</w:t>
      </w:r>
      <w:r w:rsidR="00764D9C" w:rsidRPr="007275B6">
        <w:rPr>
          <w:szCs w:val="19"/>
          <w:shd w:val="clear" w:color="auto" w:fill="FFFFFF"/>
        </w:rPr>
        <w:t xml:space="preserve">% w grupie </w:t>
      </w:r>
      <w:r w:rsidR="00E500F5">
        <w:rPr>
          <w:szCs w:val="19"/>
          <w:shd w:val="clear" w:color="auto" w:fill="FFFFFF"/>
        </w:rPr>
        <w:t>rolników</w:t>
      </w:r>
      <w:r w:rsidR="00764D9C" w:rsidRPr="007275B6">
        <w:rPr>
          <w:szCs w:val="19"/>
          <w:shd w:val="clear" w:color="auto" w:fill="FFFFFF"/>
        </w:rPr>
        <w:t>).</w:t>
      </w:r>
      <w:r w:rsidR="005C7031" w:rsidRPr="007275B6">
        <w:rPr>
          <w:szCs w:val="19"/>
          <w:shd w:val="clear" w:color="auto" w:fill="FFFFFF"/>
        </w:rPr>
        <w:t xml:space="preserve"> </w:t>
      </w:r>
    </w:p>
    <w:p w14:paraId="64126595" w14:textId="0E3A05FA" w:rsidR="00764D9C" w:rsidRPr="00313DA4" w:rsidRDefault="00DD32AB" w:rsidP="00764D9C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>W</w:t>
      </w:r>
      <w:r w:rsidRPr="007275B6">
        <w:rPr>
          <w:spacing w:val="-2"/>
          <w:szCs w:val="19"/>
          <w:shd w:val="clear" w:color="auto" w:fill="FFFFFF"/>
        </w:rPr>
        <w:t>ydatki na żywność i napoje bezalkoholowe</w:t>
      </w:r>
      <w:r w:rsidRPr="00DD32AB">
        <w:rPr>
          <w:spacing w:val="-2"/>
          <w:szCs w:val="19"/>
          <w:shd w:val="clear" w:color="auto" w:fill="FFFFFF"/>
        </w:rPr>
        <w:t xml:space="preserve"> </w:t>
      </w:r>
      <w:r w:rsidRPr="007275B6">
        <w:rPr>
          <w:spacing w:val="-2"/>
          <w:szCs w:val="19"/>
          <w:shd w:val="clear" w:color="auto" w:fill="FFFFFF"/>
        </w:rPr>
        <w:t xml:space="preserve">miały, podobnie jak w latach poprzednich, </w:t>
      </w:r>
      <w:r>
        <w:rPr>
          <w:spacing w:val="-2"/>
          <w:szCs w:val="19"/>
          <w:shd w:val="clear" w:color="auto" w:fill="FFFFFF"/>
        </w:rPr>
        <w:t>n</w:t>
      </w:r>
      <w:r w:rsidR="00764D9C" w:rsidRPr="007275B6">
        <w:rPr>
          <w:spacing w:val="-2"/>
          <w:szCs w:val="19"/>
          <w:shd w:val="clear" w:color="auto" w:fill="FFFFFF"/>
        </w:rPr>
        <w:t>ajwyższy udział w strukturze wydatków ogółu gospodarstw domowych</w:t>
      </w:r>
      <w:r>
        <w:rPr>
          <w:spacing w:val="-2"/>
          <w:szCs w:val="19"/>
          <w:shd w:val="clear" w:color="auto" w:fill="FFFFFF"/>
        </w:rPr>
        <w:t xml:space="preserve"> </w:t>
      </w:r>
      <w:r w:rsidR="00764D9C" w:rsidRPr="007275B6">
        <w:rPr>
          <w:spacing w:val="-2"/>
          <w:szCs w:val="19"/>
          <w:shd w:val="clear" w:color="auto" w:fill="FFFFFF"/>
        </w:rPr>
        <w:t xml:space="preserve">– </w:t>
      </w:r>
      <w:r w:rsidR="00F606EF">
        <w:rPr>
          <w:spacing w:val="-2"/>
          <w:szCs w:val="19"/>
          <w:shd w:val="clear" w:color="auto" w:fill="FFFFFF"/>
        </w:rPr>
        <w:t>27,7</w:t>
      </w:r>
      <w:r w:rsidR="00764D9C" w:rsidRPr="007275B6">
        <w:rPr>
          <w:spacing w:val="-2"/>
          <w:szCs w:val="19"/>
          <w:shd w:val="clear" w:color="auto" w:fill="FFFFFF"/>
        </w:rPr>
        <w:t>%</w:t>
      </w:r>
      <w:r w:rsidR="00A942A6">
        <w:rPr>
          <w:spacing w:val="-2"/>
          <w:szCs w:val="19"/>
          <w:shd w:val="clear" w:color="auto" w:fill="FFFFFF"/>
        </w:rPr>
        <w:t xml:space="preserve"> i wyn</w:t>
      </w:r>
      <w:r w:rsidR="00A73A97">
        <w:rPr>
          <w:spacing w:val="-2"/>
          <w:szCs w:val="19"/>
          <w:shd w:val="clear" w:color="auto" w:fill="FFFFFF"/>
        </w:rPr>
        <w:t>iósł</w:t>
      </w:r>
      <w:r w:rsidR="00A942A6">
        <w:rPr>
          <w:spacing w:val="-2"/>
          <w:szCs w:val="19"/>
          <w:shd w:val="clear" w:color="auto" w:fill="FFFFFF"/>
        </w:rPr>
        <w:t xml:space="preserve"> </w:t>
      </w:r>
      <w:r w:rsidR="00764D9C" w:rsidRPr="007275B6">
        <w:rPr>
          <w:spacing w:val="-2"/>
          <w:szCs w:val="19"/>
          <w:shd w:val="clear" w:color="auto" w:fill="FFFFFF"/>
        </w:rPr>
        <w:t>on od </w:t>
      </w:r>
      <w:r w:rsidR="00875F84">
        <w:rPr>
          <w:spacing w:val="-2"/>
          <w:szCs w:val="19"/>
          <w:shd w:val="clear" w:color="auto" w:fill="FFFFFF"/>
        </w:rPr>
        <w:t>24,0</w:t>
      </w:r>
      <w:r w:rsidR="00764D9C" w:rsidRPr="007275B6">
        <w:rPr>
          <w:spacing w:val="-2"/>
          <w:szCs w:val="19"/>
          <w:shd w:val="clear" w:color="auto" w:fill="FFFFFF"/>
        </w:rPr>
        <w:t>% w gospodarstwach pracujących na własny rachunek poza gospodarstwem rolnym do </w:t>
      </w:r>
      <w:r w:rsidR="00875F84">
        <w:rPr>
          <w:spacing w:val="-2"/>
          <w:szCs w:val="19"/>
          <w:shd w:val="clear" w:color="auto" w:fill="FFFFFF"/>
        </w:rPr>
        <w:t>35,2</w:t>
      </w:r>
      <w:r w:rsidR="00764D9C" w:rsidRPr="007275B6">
        <w:rPr>
          <w:spacing w:val="-2"/>
          <w:szCs w:val="19"/>
          <w:shd w:val="clear" w:color="auto" w:fill="FFFFFF"/>
        </w:rPr>
        <w:t>% w</w:t>
      </w:r>
      <w:r w:rsidR="00C510F5">
        <w:rPr>
          <w:spacing w:val="-2"/>
          <w:szCs w:val="19"/>
          <w:shd w:val="clear" w:color="auto" w:fill="FFFFFF"/>
        </w:rPr>
        <w:t> </w:t>
      </w:r>
      <w:r w:rsidR="00764D9C" w:rsidRPr="007275B6">
        <w:rPr>
          <w:spacing w:val="-2"/>
          <w:szCs w:val="19"/>
          <w:shd w:val="clear" w:color="auto" w:fill="FFFFFF"/>
        </w:rPr>
        <w:t xml:space="preserve">gospodarstwach rolników. </w:t>
      </w:r>
      <w:r w:rsidR="002A172D">
        <w:rPr>
          <w:spacing w:val="-2"/>
          <w:szCs w:val="19"/>
          <w:shd w:val="clear" w:color="auto" w:fill="FFFFFF"/>
        </w:rPr>
        <w:t>Od 201</w:t>
      </w:r>
      <w:r w:rsidR="009C1564">
        <w:rPr>
          <w:spacing w:val="-2"/>
          <w:szCs w:val="19"/>
          <w:shd w:val="clear" w:color="auto" w:fill="FFFFFF"/>
        </w:rPr>
        <w:t>6</w:t>
      </w:r>
      <w:r w:rsidR="002A172D">
        <w:rPr>
          <w:spacing w:val="-2"/>
          <w:szCs w:val="19"/>
          <w:shd w:val="clear" w:color="auto" w:fill="FFFFFF"/>
        </w:rPr>
        <w:t xml:space="preserve"> r. u</w:t>
      </w:r>
      <w:r w:rsidR="00E30306" w:rsidRPr="00313DA4">
        <w:rPr>
          <w:spacing w:val="-2"/>
          <w:szCs w:val="19"/>
          <w:shd w:val="clear" w:color="auto" w:fill="FFFFFF"/>
        </w:rPr>
        <w:t xml:space="preserve">dział wydatków na żywność i napoje bezalkoholowe </w:t>
      </w:r>
      <w:r w:rsidR="002A172D">
        <w:rPr>
          <w:spacing w:val="-2"/>
          <w:szCs w:val="19"/>
          <w:shd w:val="clear" w:color="auto" w:fill="FFFFFF"/>
        </w:rPr>
        <w:t>wzrastał umiarkowanie w strukturze</w:t>
      </w:r>
      <w:r w:rsidR="00E30306" w:rsidRPr="00313DA4">
        <w:rPr>
          <w:spacing w:val="-2"/>
          <w:szCs w:val="19"/>
          <w:shd w:val="clear" w:color="auto" w:fill="FFFFFF"/>
        </w:rPr>
        <w:t xml:space="preserve"> wydatków ogółem</w:t>
      </w:r>
      <w:r w:rsidR="00353DE2">
        <w:rPr>
          <w:spacing w:val="-2"/>
          <w:szCs w:val="19"/>
          <w:shd w:val="clear" w:color="auto" w:fill="FFFFFF"/>
        </w:rPr>
        <w:t xml:space="preserve">, a w 2020 r. wzrósł silnie </w:t>
      </w:r>
      <w:r w:rsidR="00C510F5">
        <w:rPr>
          <w:spacing w:val="-2"/>
          <w:szCs w:val="19"/>
          <w:shd w:val="clear" w:color="auto" w:fill="FFFFFF"/>
        </w:rPr>
        <w:t xml:space="preserve">w </w:t>
      </w:r>
      <w:r w:rsidR="00353DE2">
        <w:rPr>
          <w:spacing w:val="-2"/>
          <w:szCs w:val="19"/>
          <w:shd w:val="clear" w:color="auto" w:fill="FFFFFF"/>
        </w:rPr>
        <w:t>związku z</w:t>
      </w:r>
      <w:r w:rsidR="00C510F5">
        <w:rPr>
          <w:spacing w:val="-2"/>
          <w:szCs w:val="19"/>
          <w:shd w:val="clear" w:color="auto" w:fill="FFFFFF"/>
        </w:rPr>
        <w:t> </w:t>
      </w:r>
      <w:r w:rsidR="00353DE2">
        <w:rPr>
          <w:spacing w:val="-2"/>
          <w:szCs w:val="19"/>
          <w:shd w:val="clear" w:color="auto" w:fill="FFFFFF"/>
        </w:rPr>
        <w:t>pandemią COVID-19</w:t>
      </w:r>
      <w:r w:rsidR="009F0544" w:rsidRPr="00313DA4">
        <w:rPr>
          <w:spacing w:val="-2"/>
          <w:szCs w:val="19"/>
          <w:shd w:val="clear" w:color="auto" w:fill="FFFFFF"/>
        </w:rPr>
        <w:t>.</w:t>
      </w:r>
      <w:r w:rsidR="00313DA4">
        <w:rPr>
          <w:spacing w:val="-2"/>
          <w:szCs w:val="19"/>
          <w:shd w:val="clear" w:color="auto" w:fill="FFFFFF"/>
        </w:rPr>
        <w:t xml:space="preserve"> Dodatkowo należy zaznaczyć, iż </w:t>
      </w:r>
      <w:r w:rsidR="002A172D">
        <w:rPr>
          <w:spacing w:val="-2"/>
          <w:szCs w:val="19"/>
          <w:shd w:val="clear" w:color="auto" w:fill="FFFFFF"/>
        </w:rPr>
        <w:t xml:space="preserve">w roku 2020 </w:t>
      </w:r>
      <w:r w:rsidR="00313DA4">
        <w:rPr>
          <w:spacing w:val="-2"/>
          <w:szCs w:val="19"/>
          <w:shd w:val="clear" w:color="auto" w:fill="FFFFFF"/>
        </w:rPr>
        <w:t>zmniejszył się udział</w:t>
      </w:r>
      <w:r w:rsidR="00A942A6">
        <w:rPr>
          <w:spacing w:val="-2"/>
          <w:szCs w:val="19"/>
          <w:shd w:val="clear" w:color="auto" w:fill="FFFFFF"/>
        </w:rPr>
        <w:t xml:space="preserve"> w</w:t>
      </w:r>
      <w:r w:rsidR="00C510F5">
        <w:rPr>
          <w:spacing w:val="-2"/>
          <w:szCs w:val="19"/>
          <w:shd w:val="clear" w:color="auto" w:fill="FFFFFF"/>
        </w:rPr>
        <w:t> </w:t>
      </w:r>
      <w:r w:rsidR="00A942A6">
        <w:rPr>
          <w:spacing w:val="-2"/>
          <w:szCs w:val="19"/>
          <w:shd w:val="clear" w:color="auto" w:fill="FFFFFF"/>
        </w:rPr>
        <w:t>strukturze wydatków</w:t>
      </w:r>
      <w:r w:rsidR="00313DA4">
        <w:rPr>
          <w:spacing w:val="-2"/>
          <w:szCs w:val="19"/>
          <w:shd w:val="clear" w:color="auto" w:fill="FFFFFF"/>
        </w:rPr>
        <w:t xml:space="preserve"> takich grup jak: restauracje i hotele (o</w:t>
      </w:r>
      <w:r w:rsidR="00C9529D">
        <w:rPr>
          <w:spacing w:val="-2"/>
          <w:szCs w:val="19"/>
          <w:shd w:val="clear" w:color="auto" w:fill="FFFFFF"/>
        </w:rPr>
        <w:t> </w:t>
      </w:r>
      <w:r w:rsidR="00313DA4">
        <w:rPr>
          <w:spacing w:val="-2"/>
          <w:szCs w:val="19"/>
          <w:shd w:val="clear" w:color="auto" w:fill="FFFFFF"/>
        </w:rPr>
        <w:t>1,1 p. proc.), rekreacja i kultura</w:t>
      </w:r>
      <w:r w:rsidR="00B42CC6">
        <w:rPr>
          <w:spacing w:val="-2"/>
          <w:szCs w:val="19"/>
          <w:shd w:val="clear" w:color="auto" w:fill="FFFFFF"/>
        </w:rPr>
        <w:t>,</w:t>
      </w:r>
      <w:r w:rsidR="00313DA4">
        <w:rPr>
          <w:spacing w:val="-2"/>
          <w:szCs w:val="19"/>
          <w:shd w:val="clear" w:color="auto" w:fill="FFFFFF"/>
        </w:rPr>
        <w:t xml:space="preserve"> transport (po 0,9</w:t>
      </w:r>
      <w:r w:rsidR="002A172D">
        <w:rPr>
          <w:spacing w:val="-2"/>
          <w:szCs w:val="19"/>
          <w:shd w:val="clear" w:color="auto" w:fill="FFFFFF"/>
        </w:rPr>
        <w:t> </w:t>
      </w:r>
      <w:r w:rsidR="00313DA4">
        <w:rPr>
          <w:spacing w:val="-2"/>
          <w:szCs w:val="19"/>
          <w:shd w:val="clear" w:color="auto" w:fill="FFFFFF"/>
        </w:rPr>
        <w:t>p.</w:t>
      </w:r>
      <w:r w:rsidR="002A172D">
        <w:rPr>
          <w:spacing w:val="-2"/>
          <w:szCs w:val="19"/>
          <w:shd w:val="clear" w:color="auto" w:fill="FFFFFF"/>
        </w:rPr>
        <w:t> </w:t>
      </w:r>
      <w:r w:rsidR="00313DA4">
        <w:rPr>
          <w:spacing w:val="-2"/>
          <w:szCs w:val="19"/>
          <w:shd w:val="clear" w:color="auto" w:fill="FFFFFF"/>
        </w:rPr>
        <w:t>proc.) oraz odzież i obuwie (o 0,7 p. proc.)</w:t>
      </w:r>
      <w:r w:rsidR="002A172D">
        <w:rPr>
          <w:spacing w:val="-2"/>
          <w:szCs w:val="19"/>
          <w:shd w:val="clear" w:color="auto" w:fill="FFFFFF"/>
        </w:rPr>
        <w:t xml:space="preserve">, </w:t>
      </w:r>
      <w:r w:rsidR="002A172D" w:rsidRPr="002A172D">
        <w:rPr>
          <w:spacing w:val="-2"/>
          <w:szCs w:val="19"/>
          <w:shd w:val="clear" w:color="auto" w:fill="FFFFFF"/>
        </w:rPr>
        <w:t>co również ma związek z pandemią COVID-19 i</w:t>
      </w:r>
      <w:r w:rsidR="002A172D">
        <w:rPr>
          <w:spacing w:val="-2"/>
          <w:szCs w:val="19"/>
          <w:shd w:val="clear" w:color="auto" w:fill="FFFFFF"/>
        </w:rPr>
        <w:t> </w:t>
      </w:r>
      <w:r w:rsidR="002A172D" w:rsidRPr="002A172D">
        <w:rPr>
          <w:spacing w:val="-2"/>
          <w:szCs w:val="19"/>
          <w:shd w:val="clear" w:color="auto" w:fill="FFFFFF"/>
        </w:rPr>
        <w:t>epidemicznymi ograniczeniami.</w:t>
      </w:r>
    </w:p>
    <w:p w14:paraId="30CFEE41" w14:textId="4BCA13C4" w:rsidR="00764D9C" w:rsidRPr="007275B6" w:rsidRDefault="00DD32AB" w:rsidP="00764D9C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 xml:space="preserve">Drugą </w:t>
      </w:r>
      <w:r w:rsidR="005C7031" w:rsidRPr="007275B6">
        <w:rPr>
          <w:spacing w:val="-2"/>
          <w:szCs w:val="19"/>
          <w:shd w:val="clear" w:color="auto" w:fill="FFFFFF"/>
        </w:rPr>
        <w:t>istotną</w:t>
      </w:r>
      <w:r w:rsidR="00764D9C" w:rsidRPr="007275B6">
        <w:rPr>
          <w:spacing w:val="-2"/>
          <w:szCs w:val="19"/>
          <w:shd w:val="clear" w:color="auto" w:fill="FFFFFF"/>
        </w:rPr>
        <w:t xml:space="preserve"> pozycję w wydatkach gospodarstw domowych stanowiły wydatki na użytkowanie mieszkania lub domu i nośniki energii. </w:t>
      </w:r>
      <w:r w:rsidR="003475DF">
        <w:rPr>
          <w:spacing w:val="-2"/>
          <w:szCs w:val="19"/>
          <w:shd w:val="clear" w:color="auto" w:fill="FFFFFF"/>
        </w:rPr>
        <w:t>U</w:t>
      </w:r>
      <w:r w:rsidR="003475DF" w:rsidRPr="007275B6">
        <w:rPr>
          <w:spacing w:val="-2"/>
          <w:szCs w:val="19"/>
          <w:shd w:val="clear" w:color="auto" w:fill="FFFFFF"/>
        </w:rPr>
        <w:t xml:space="preserve">dział </w:t>
      </w:r>
      <w:r w:rsidR="003475DF">
        <w:rPr>
          <w:spacing w:val="-2"/>
          <w:szCs w:val="19"/>
          <w:shd w:val="clear" w:color="auto" w:fill="FFFFFF"/>
        </w:rPr>
        <w:t>tego</w:t>
      </w:r>
      <w:r>
        <w:rPr>
          <w:spacing w:val="-2"/>
          <w:szCs w:val="19"/>
          <w:shd w:val="clear" w:color="auto" w:fill="FFFFFF"/>
        </w:rPr>
        <w:t xml:space="preserve"> rodzaju wydatków </w:t>
      </w:r>
      <w:r w:rsidR="00764D9C" w:rsidRPr="007275B6">
        <w:rPr>
          <w:spacing w:val="-2"/>
          <w:szCs w:val="19"/>
          <w:shd w:val="clear" w:color="auto" w:fill="FFFFFF"/>
        </w:rPr>
        <w:t>w wydatkach</w:t>
      </w:r>
      <w:r w:rsidR="007275B6" w:rsidRPr="007275B6">
        <w:rPr>
          <w:spacing w:val="-2"/>
          <w:szCs w:val="19"/>
          <w:shd w:val="clear" w:color="auto" w:fill="FFFFFF"/>
        </w:rPr>
        <w:t xml:space="preserve"> ogółem wyniósł przeciętnie 18,</w:t>
      </w:r>
      <w:r w:rsidR="00875F84">
        <w:rPr>
          <w:spacing w:val="-2"/>
          <w:szCs w:val="19"/>
          <w:shd w:val="clear" w:color="auto" w:fill="FFFFFF"/>
        </w:rPr>
        <w:t>8</w:t>
      </w:r>
      <w:r w:rsidR="002A172D" w:rsidRPr="002A172D">
        <w:rPr>
          <w:spacing w:val="-2"/>
          <w:szCs w:val="19"/>
          <w:shd w:val="clear" w:color="auto" w:fill="FFFFFF"/>
        </w:rPr>
        <w:t>% i wzrósł w 2020 r. o 0,8 p.</w:t>
      </w:r>
      <w:r w:rsidR="002A172D">
        <w:rPr>
          <w:spacing w:val="-2"/>
          <w:szCs w:val="19"/>
          <w:shd w:val="clear" w:color="auto" w:fill="FFFFFF"/>
        </w:rPr>
        <w:t xml:space="preserve"> </w:t>
      </w:r>
      <w:r w:rsidR="002A172D" w:rsidRPr="002A172D">
        <w:rPr>
          <w:spacing w:val="-2"/>
          <w:szCs w:val="19"/>
          <w:shd w:val="clear" w:color="auto" w:fill="FFFFFF"/>
        </w:rPr>
        <w:t>proc.</w:t>
      </w:r>
      <w:r w:rsidR="00764D9C" w:rsidRPr="007275B6">
        <w:rPr>
          <w:spacing w:val="-2"/>
          <w:szCs w:val="19"/>
          <w:shd w:val="clear" w:color="auto" w:fill="FFFFFF"/>
        </w:rPr>
        <w:t xml:space="preserve"> </w:t>
      </w:r>
      <w:r w:rsidR="005C7031" w:rsidRPr="007275B6">
        <w:rPr>
          <w:spacing w:val="-2"/>
          <w:szCs w:val="19"/>
          <w:shd w:val="clear" w:color="auto" w:fill="FFFFFF"/>
        </w:rPr>
        <w:t>Najniższy był w</w:t>
      </w:r>
      <w:r w:rsidR="00764D9C" w:rsidRPr="007275B6">
        <w:rPr>
          <w:spacing w:val="-2"/>
          <w:szCs w:val="19"/>
          <w:shd w:val="clear" w:color="auto" w:fill="FFFFFF"/>
        </w:rPr>
        <w:t xml:space="preserve"> gospodarstwach dom</w:t>
      </w:r>
      <w:r w:rsidR="007275B6" w:rsidRPr="007275B6">
        <w:rPr>
          <w:spacing w:val="-2"/>
          <w:szCs w:val="19"/>
          <w:shd w:val="clear" w:color="auto" w:fill="FFFFFF"/>
        </w:rPr>
        <w:t>owych rolników (</w:t>
      </w:r>
      <w:r w:rsidR="00875F84">
        <w:rPr>
          <w:spacing w:val="-2"/>
          <w:szCs w:val="19"/>
          <w:shd w:val="clear" w:color="auto" w:fill="FFFFFF"/>
        </w:rPr>
        <w:t>16,1</w:t>
      </w:r>
      <w:r w:rsidR="00764D9C" w:rsidRPr="007275B6">
        <w:rPr>
          <w:spacing w:val="-2"/>
          <w:szCs w:val="19"/>
          <w:shd w:val="clear" w:color="auto" w:fill="FFFFFF"/>
        </w:rPr>
        <w:t xml:space="preserve">%), </w:t>
      </w:r>
      <w:r w:rsidR="005C7031" w:rsidRPr="007275B6">
        <w:rPr>
          <w:spacing w:val="-2"/>
          <w:szCs w:val="19"/>
          <w:shd w:val="clear" w:color="auto" w:fill="FFFFFF"/>
        </w:rPr>
        <w:t xml:space="preserve">a najwyższy </w:t>
      </w:r>
      <w:r>
        <w:rPr>
          <w:spacing w:val="-2"/>
          <w:szCs w:val="19"/>
          <w:shd w:val="clear" w:color="auto" w:fill="FFFFFF"/>
        </w:rPr>
        <w:t>w </w:t>
      </w:r>
      <w:r w:rsidR="00764D9C" w:rsidRPr="007275B6">
        <w:rPr>
          <w:spacing w:val="-2"/>
          <w:szCs w:val="19"/>
          <w:shd w:val="clear" w:color="auto" w:fill="FFFFFF"/>
        </w:rPr>
        <w:t>gospodarstwach domo</w:t>
      </w:r>
      <w:r w:rsidR="005C7031" w:rsidRPr="007275B6">
        <w:rPr>
          <w:spacing w:val="-2"/>
          <w:szCs w:val="19"/>
          <w:shd w:val="clear" w:color="auto" w:fill="FFFFFF"/>
        </w:rPr>
        <w:t xml:space="preserve">wych rencistów </w:t>
      </w:r>
      <w:r w:rsidR="007275B6" w:rsidRPr="007275B6">
        <w:rPr>
          <w:spacing w:val="-2"/>
          <w:szCs w:val="19"/>
          <w:shd w:val="clear" w:color="auto" w:fill="FFFFFF"/>
        </w:rPr>
        <w:t>(</w:t>
      </w:r>
      <w:r w:rsidR="00875F84">
        <w:rPr>
          <w:spacing w:val="-2"/>
          <w:szCs w:val="19"/>
          <w:shd w:val="clear" w:color="auto" w:fill="FFFFFF"/>
        </w:rPr>
        <w:t>23,1</w:t>
      </w:r>
      <w:r w:rsidR="00764D9C" w:rsidRPr="007275B6">
        <w:rPr>
          <w:spacing w:val="-2"/>
          <w:szCs w:val="19"/>
          <w:shd w:val="clear" w:color="auto" w:fill="FFFFFF"/>
        </w:rPr>
        <w:t>%).</w:t>
      </w:r>
    </w:p>
    <w:p w14:paraId="33F40762" w14:textId="46C900DF" w:rsidR="00764D9C" w:rsidRPr="003B33FE" w:rsidRDefault="00764D9C" w:rsidP="00764D9C">
      <w:pPr>
        <w:jc w:val="both"/>
        <w:rPr>
          <w:i/>
          <w:spacing w:val="-2"/>
          <w:szCs w:val="19"/>
          <w:shd w:val="clear" w:color="auto" w:fill="FFFFFF"/>
        </w:rPr>
      </w:pPr>
    </w:p>
    <w:p w14:paraId="33CC174A" w14:textId="77777777" w:rsidR="00764D9C" w:rsidRPr="003B33FE" w:rsidRDefault="00674978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77307BA6" wp14:editId="59542384">
            <wp:extent cx="5122545" cy="2915920"/>
            <wp:effectExtent l="0" t="0" r="1905" b="0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7A63FCF" w14:textId="77777777" w:rsidR="00651D5E" w:rsidRDefault="00651D5E" w:rsidP="00764D9C">
      <w:pPr>
        <w:rPr>
          <w:spacing w:val="-2"/>
          <w:szCs w:val="19"/>
          <w:shd w:val="clear" w:color="auto" w:fill="FFFFFF"/>
        </w:rPr>
      </w:pPr>
    </w:p>
    <w:p w14:paraId="7FEABE70" w14:textId="458A9661" w:rsidR="00764D9C" w:rsidRPr="00AB6FFC" w:rsidRDefault="00764D9C" w:rsidP="00764D9C">
      <w:pPr>
        <w:rPr>
          <w:spacing w:val="-2"/>
          <w:szCs w:val="19"/>
          <w:shd w:val="clear" w:color="auto" w:fill="FFFFFF"/>
        </w:rPr>
      </w:pPr>
      <w:r w:rsidRPr="00AB6FFC">
        <w:rPr>
          <w:spacing w:val="-2"/>
          <w:szCs w:val="19"/>
          <w:shd w:val="clear" w:color="auto" w:fill="FFFFFF"/>
        </w:rPr>
        <w:t xml:space="preserve">W przypadku </w:t>
      </w:r>
      <w:r w:rsidR="00D65C9B">
        <w:rPr>
          <w:spacing w:val="-2"/>
          <w:szCs w:val="19"/>
          <w:shd w:val="clear" w:color="auto" w:fill="FFFFFF"/>
        </w:rPr>
        <w:t>głównych</w:t>
      </w:r>
      <w:r w:rsidR="00234B4A" w:rsidRPr="00AB6FFC">
        <w:rPr>
          <w:spacing w:val="-2"/>
          <w:szCs w:val="19"/>
          <w:shd w:val="clear" w:color="auto" w:fill="FFFFFF"/>
        </w:rPr>
        <w:t xml:space="preserve"> </w:t>
      </w:r>
      <w:r w:rsidRPr="00AB6FFC">
        <w:rPr>
          <w:spacing w:val="-2"/>
          <w:szCs w:val="19"/>
          <w:shd w:val="clear" w:color="auto" w:fill="FFFFFF"/>
        </w:rPr>
        <w:t>grup towarów i usług konsumpcyjnych</w:t>
      </w:r>
      <w:r w:rsidR="00E34426">
        <w:rPr>
          <w:spacing w:val="-2"/>
          <w:szCs w:val="19"/>
          <w:shd w:val="clear" w:color="auto" w:fill="FFFFFF"/>
        </w:rPr>
        <w:t>,</w:t>
      </w:r>
      <w:r w:rsidRPr="00AB6FFC">
        <w:rPr>
          <w:spacing w:val="-2"/>
          <w:szCs w:val="19"/>
          <w:shd w:val="clear" w:color="auto" w:fill="FFFFFF"/>
        </w:rPr>
        <w:t xml:space="preserve"> </w:t>
      </w:r>
      <w:r w:rsidR="004D5B08" w:rsidRPr="00AB6FFC">
        <w:rPr>
          <w:spacing w:val="-2"/>
          <w:szCs w:val="19"/>
          <w:shd w:val="clear" w:color="auto" w:fill="FFFFFF"/>
        </w:rPr>
        <w:t xml:space="preserve">między </w:t>
      </w:r>
      <w:r w:rsidR="00E34426" w:rsidRPr="00AB6FFC">
        <w:rPr>
          <w:spacing w:val="-2"/>
          <w:szCs w:val="19"/>
          <w:shd w:val="clear" w:color="auto" w:fill="FFFFFF"/>
        </w:rPr>
        <w:t xml:space="preserve">rokiem </w:t>
      </w:r>
      <w:r w:rsidR="004D5B08" w:rsidRPr="00AB6FFC">
        <w:rPr>
          <w:spacing w:val="-2"/>
          <w:szCs w:val="19"/>
          <w:shd w:val="clear" w:color="auto" w:fill="FFFFFF"/>
        </w:rPr>
        <w:t>20</w:t>
      </w:r>
      <w:r w:rsidR="00AC637A">
        <w:rPr>
          <w:spacing w:val="-2"/>
          <w:szCs w:val="19"/>
          <w:shd w:val="clear" w:color="auto" w:fill="FFFFFF"/>
        </w:rPr>
        <w:t>19</w:t>
      </w:r>
      <w:r w:rsidR="004D5B08" w:rsidRPr="00AB6FFC">
        <w:rPr>
          <w:spacing w:val="-2"/>
          <w:szCs w:val="19"/>
          <w:shd w:val="clear" w:color="auto" w:fill="FFFFFF"/>
        </w:rPr>
        <w:t xml:space="preserve"> a 20</w:t>
      </w:r>
      <w:r w:rsidR="00AC637A">
        <w:rPr>
          <w:spacing w:val="-2"/>
          <w:szCs w:val="19"/>
          <w:shd w:val="clear" w:color="auto" w:fill="FFFFFF"/>
        </w:rPr>
        <w:t>20</w:t>
      </w:r>
      <w:r w:rsidR="00E34426">
        <w:rPr>
          <w:spacing w:val="-2"/>
          <w:szCs w:val="19"/>
          <w:shd w:val="clear" w:color="auto" w:fill="FFFFFF"/>
        </w:rPr>
        <w:t>,</w:t>
      </w:r>
      <w:r w:rsidR="004D5B08" w:rsidRPr="00AB6FFC">
        <w:rPr>
          <w:spacing w:val="-2"/>
          <w:szCs w:val="19"/>
          <w:shd w:val="clear" w:color="auto" w:fill="FFFFFF"/>
        </w:rPr>
        <w:t xml:space="preserve"> </w:t>
      </w:r>
      <w:r w:rsidR="00E34426" w:rsidRPr="00AB6FFC">
        <w:rPr>
          <w:spacing w:val="-2"/>
          <w:szCs w:val="19"/>
          <w:shd w:val="clear" w:color="auto" w:fill="FFFFFF"/>
        </w:rPr>
        <w:t xml:space="preserve">zmiany </w:t>
      </w:r>
      <w:r w:rsidRPr="00AB6FFC">
        <w:rPr>
          <w:spacing w:val="-2"/>
          <w:szCs w:val="19"/>
          <w:shd w:val="clear" w:color="auto" w:fill="FFFFFF"/>
        </w:rPr>
        <w:t xml:space="preserve">udziału w strukturze wydatków ogółu </w:t>
      </w:r>
      <w:r w:rsidR="00AB6FFC" w:rsidRPr="00AB6FFC">
        <w:rPr>
          <w:spacing w:val="-2"/>
          <w:szCs w:val="19"/>
          <w:shd w:val="clear" w:color="auto" w:fill="FFFFFF"/>
        </w:rPr>
        <w:t xml:space="preserve">gospodarstw domowych </w:t>
      </w:r>
      <w:r w:rsidRPr="00AB6FFC">
        <w:rPr>
          <w:spacing w:val="-2"/>
          <w:szCs w:val="19"/>
          <w:shd w:val="clear" w:color="auto" w:fill="FFFFFF"/>
        </w:rPr>
        <w:t>wyniosły od -</w:t>
      </w:r>
      <w:r w:rsidR="00903151">
        <w:rPr>
          <w:spacing w:val="-2"/>
          <w:szCs w:val="19"/>
          <w:shd w:val="clear" w:color="auto" w:fill="FFFFFF"/>
        </w:rPr>
        <w:t>1,1</w:t>
      </w:r>
      <w:r w:rsidRPr="00AB6FFC">
        <w:rPr>
          <w:spacing w:val="-2"/>
          <w:szCs w:val="19"/>
          <w:shd w:val="clear" w:color="auto" w:fill="FFFFFF"/>
        </w:rPr>
        <w:t xml:space="preserve"> p. proc. (</w:t>
      </w:r>
      <w:r w:rsidR="00684E9B">
        <w:rPr>
          <w:spacing w:val="-2"/>
          <w:szCs w:val="19"/>
          <w:shd w:val="clear" w:color="auto" w:fill="FFFFFF"/>
        </w:rPr>
        <w:t>restauracje i hotele</w:t>
      </w:r>
      <w:r w:rsidR="00AB6FFC" w:rsidRPr="00AB6FFC">
        <w:rPr>
          <w:spacing w:val="-2"/>
          <w:szCs w:val="19"/>
          <w:shd w:val="clear" w:color="auto" w:fill="FFFFFF"/>
        </w:rPr>
        <w:t>) do +</w:t>
      </w:r>
      <w:r w:rsidR="00875F84">
        <w:rPr>
          <w:spacing w:val="-2"/>
          <w:szCs w:val="19"/>
          <w:shd w:val="clear" w:color="auto" w:fill="FFFFFF"/>
        </w:rPr>
        <w:t>2,6</w:t>
      </w:r>
      <w:r w:rsidRPr="00AB6FFC">
        <w:rPr>
          <w:spacing w:val="-2"/>
          <w:szCs w:val="19"/>
          <w:shd w:val="clear" w:color="auto" w:fill="FFFFFF"/>
        </w:rPr>
        <w:t xml:space="preserve"> p. proc. (</w:t>
      </w:r>
      <w:r w:rsidR="00875F84">
        <w:rPr>
          <w:spacing w:val="-2"/>
          <w:szCs w:val="19"/>
          <w:shd w:val="clear" w:color="auto" w:fill="FFFFFF"/>
        </w:rPr>
        <w:t>żywność i napoje bezalkoholowe</w:t>
      </w:r>
      <w:r w:rsidR="00BB3756">
        <w:rPr>
          <w:spacing w:val="-2"/>
          <w:szCs w:val="19"/>
          <w:shd w:val="clear" w:color="auto" w:fill="FFFFFF"/>
        </w:rPr>
        <w:t>).</w:t>
      </w:r>
    </w:p>
    <w:p w14:paraId="6B98D183" w14:textId="77777777" w:rsidR="00E84EE4" w:rsidRPr="003B33FE" w:rsidRDefault="00E84EE4">
      <w:pPr>
        <w:spacing w:line="240" w:lineRule="auto"/>
        <w:rPr>
          <w:i/>
          <w:spacing w:val="-2"/>
          <w:szCs w:val="19"/>
          <w:shd w:val="clear" w:color="auto" w:fill="FFFFFF"/>
        </w:rPr>
      </w:pPr>
    </w:p>
    <w:p w14:paraId="60AA6E1F" w14:textId="77777777" w:rsidR="00764D9C" w:rsidRPr="003B33FE" w:rsidRDefault="00674978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3A4793E4" wp14:editId="670160A7">
            <wp:extent cx="5122545" cy="4139565"/>
            <wp:effectExtent l="0" t="0" r="0" b="0"/>
            <wp:docPr id="20" name="Wykres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A74CAB2" w14:textId="77777777" w:rsidR="00787167" w:rsidRPr="00C95BB6" w:rsidRDefault="00787167" w:rsidP="001F43F3">
      <w:pPr>
        <w:spacing w:line="240" w:lineRule="auto"/>
        <w:rPr>
          <w:szCs w:val="19"/>
          <w:highlight w:val="yellow"/>
          <w:shd w:val="clear" w:color="auto" w:fill="FFFFFF"/>
        </w:rPr>
      </w:pPr>
    </w:p>
    <w:p w14:paraId="04B1306E" w14:textId="3184A2F2" w:rsidR="00684E9B" w:rsidRDefault="00641496" w:rsidP="001F43F3">
      <w:pPr>
        <w:spacing w:line="240" w:lineRule="auto"/>
        <w:rPr>
          <w:szCs w:val="19"/>
          <w:shd w:val="clear" w:color="auto" w:fill="FFFFFF"/>
        </w:rPr>
      </w:pPr>
      <w:r w:rsidRPr="00C95BB6">
        <w:rPr>
          <w:szCs w:val="19"/>
          <w:shd w:val="clear" w:color="auto" w:fill="FFFFFF"/>
        </w:rPr>
        <w:t>W wyniku związanych z p</w:t>
      </w:r>
      <w:r w:rsidR="00F14660" w:rsidRPr="00C95BB6">
        <w:rPr>
          <w:szCs w:val="19"/>
          <w:shd w:val="clear" w:color="auto" w:fill="FFFFFF"/>
        </w:rPr>
        <w:t>andemi</w:t>
      </w:r>
      <w:r w:rsidRPr="00C95BB6">
        <w:rPr>
          <w:szCs w:val="19"/>
          <w:shd w:val="clear" w:color="auto" w:fill="FFFFFF"/>
        </w:rPr>
        <w:t>ą</w:t>
      </w:r>
      <w:r w:rsidR="00F14660" w:rsidRPr="00C95BB6">
        <w:rPr>
          <w:szCs w:val="19"/>
          <w:shd w:val="clear" w:color="auto" w:fill="FFFFFF"/>
        </w:rPr>
        <w:t xml:space="preserve"> COVID-19 </w:t>
      </w:r>
      <w:r w:rsidRPr="00C95BB6">
        <w:rPr>
          <w:szCs w:val="19"/>
          <w:shd w:val="clear" w:color="auto" w:fill="FFFFFF"/>
        </w:rPr>
        <w:t>następujących po sobie okresów zamykania gospodarki i jej otwierania oraz</w:t>
      </w:r>
      <w:r w:rsidR="00B42CC6">
        <w:rPr>
          <w:szCs w:val="19"/>
          <w:shd w:val="clear" w:color="auto" w:fill="FFFFFF"/>
        </w:rPr>
        <w:t xml:space="preserve"> związanych z tym</w:t>
      </w:r>
      <w:r w:rsidRPr="00C95BB6">
        <w:rPr>
          <w:szCs w:val="19"/>
          <w:shd w:val="clear" w:color="auto" w:fill="FFFFFF"/>
        </w:rPr>
        <w:t xml:space="preserve"> zmian w stylu życia ludności</w:t>
      </w:r>
      <w:r w:rsidR="0090248C" w:rsidRPr="00C95BB6">
        <w:rPr>
          <w:szCs w:val="19"/>
          <w:shd w:val="clear" w:color="auto" w:fill="FFFFFF"/>
        </w:rPr>
        <w:t>,</w:t>
      </w:r>
      <w:r w:rsidRPr="00C95BB6">
        <w:rPr>
          <w:szCs w:val="19"/>
          <w:shd w:val="clear" w:color="auto" w:fill="FFFFFF"/>
        </w:rPr>
        <w:t xml:space="preserve"> </w:t>
      </w:r>
      <w:r w:rsidR="00C95BB6">
        <w:rPr>
          <w:szCs w:val="19"/>
          <w:shd w:val="clear" w:color="auto" w:fill="FFFFFF"/>
        </w:rPr>
        <w:t>zaobserwowano</w:t>
      </w:r>
      <w:r w:rsidR="00F14660" w:rsidRPr="00C95BB6">
        <w:rPr>
          <w:szCs w:val="19"/>
          <w:shd w:val="clear" w:color="auto" w:fill="FFFFFF"/>
        </w:rPr>
        <w:t xml:space="preserve"> z</w:t>
      </w:r>
      <w:r w:rsidR="00780055" w:rsidRPr="00C95BB6">
        <w:rPr>
          <w:szCs w:val="19"/>
          <w:shd w:val="clear" w:color="auto" w:fill="FFFFFF"/>
        </w:rPr>
        <w:t>nacząc</w:t>
      </w:r>
      <w:r w:rsidRPr="00C95BB6">
        <w:rPr>
          <w:szCs w:val="19"/>
          <w:shd w:val="clear" w:color="auto" w:fill="FFFFFF"/>
        </w:rPr>
        <w:t>e</w:t>
      </w:r>
      <w:r w:rsidR="00780055" w:rsidRPr="00C95BB6">
        <w:rPr>
          <w:szCs w:val="19"/>
          <w:shd w:val="clear" w:color="auto" w:fill="FFFFFF"/>
        </w:rPr>
        <w:t xml:space="preserve"> zmian</w:t>
      </w:r>
      <w:r w:rsidRPr="00C95BB6">
        <w:rPr>
          <w:szCs w:val="19"/>
          <w:shd w:val="clear" w:color="auto" w:fill="FFFFFF"/>
        </w:rPr>
        <w:t>y</w:t>
      </w:r>
      <w:r w:rsidR="00780055" w:rsidRPr="00C95BB6">
        <w:rPr>
          <w:szCs w:val="19"/>
          <w:shd w:val="clear" w:color="auto" w:fill="FFFFFF"/>
        </w:rPr>
        <w:t xml:space="preserve"> w strukturze przeciętnych miesięcznych wydatków na 1 osobę w gospodarstwach domowych w</w:t>
      </w:r>
      <w:r w:rsidRPr="00C95BB6">
        <w:rPr>
          <w:szCs w:val="19"/>
          <w:shd w:val="clear" w:color="auto" w:fill="FFFFFF"/>
        </w:rPr>
        <w:t> </w:t>
      </w:r>
      <w:r w:rsidR="00780055" w:rsidRPr="00C95BB6">
        <w:rPr>
          <w:szCs w:val="19"/>
          <w:shd w:val="clear" w:color="auto" w:fill="FFFFFF"/>
        </w:rPr>
        <w:t xml:space="preserve">poszczególnych kwartałach 2020 r. w porównaniu z analogicznymi kwartałami 2019 </w:t>
      </w:r>
      <w:r w:rsidR="00780055" w:rsidRPr="005F4861">
        <w:rPr>
          <w:szCs w:val="19"/>
          <w:shd w:val="clear" w:color="auto" w:fill="FFFFFF"/>
        </w:rPr>
        <w:t xml:space="preserve">r. </w:t>
      </w:r>
      <w:r w:rsidR="00C95BB6">
        <w:rPr>
          <w:szCs w:val="19"/>
          <w:shd w:val="clear" w:color="auto" w:fill="FFFFFF"/>
        </w:rPr>
        <w:t xml:space="preserve">Największe różnice w tym zakresie wystąpiły w </w:t>
      </w:r>
      <w:r w:rsidR="00895151">
        <w:rPr>
          <w:szCs w:val="19"/>
          <w:shd w:val="clear" w:color="auto" w:fill="FFFFFF"/>
        </w:rPr>
        <w:t>II</w:t>
      </w:r>
      <w:r w:rsidR="00C95BB6">
        <w:rPr>
          <w:szCs w:val="19"/>
          <w:shd w:val="clear" w:color="auto" w:fill="FFFFFF"/>
        </w:rPr>
        <w:t xml:space="preserve"> kwarta</w:t>
      </w:r>
      <w:r w:rsidR="00684E9B">
        <w:rPr>
          <w:szCs w:val="19"/>
          <w:shd w:val="clear" w:color="auto" w:fill="FFFFFF"/>
        </w:rPr>
        <w:t>le</w:t>
      </w:r>
      <w:r w:rsidR="00C95BB6">
        <w:rPr>
          <w:szCs w:val="19"/>
          <w:shd w:val="clear" w:color="auto" w:fill="FFFFFF"/>
        </w:rPr>
        <w:t xml:space="preserve"> </w:t>
      </w:r>
      <w:r w:rsidR="00684E9B">
        <w:rPr>
          <w:szCs w:val="19"/>
          <w:shd w:val="clear" w:color="auto" w:fill="FFFFFF"/>
        </w:rPr>
        <w:t xml:space="preserve">pomiędzy </w:t>
      </w:r>
      <w:r w:rsidR="00C95BB6">
        <w:rPr>
          <w:szCs w:val="19"/>
          <w:shd w:val="clear" w:color="auto" w:fill="FFFFFF"/>
        </w:rPr>
        <w:t>2019 i</w:t>
      </w:r>
      <w:r w:rsidR="000F575C">
        <w:rPr>
          <w:szCs w:val="19"/>
          <w:shd w:val="clear" w:color="auto" w:fill="FFFFFF"/>
        </w:rPr>
        <w:t> </w:t>
      </w:r>
      <w:r w:rsidR="00C95BB6">
        <w:rPr>
          <w:szCs w:val="19"/>
          <w:shd w:val="clear" w:color="auto" w:fill="FFFFFF"/>
        </w:rPr>
        <w:t>2020</w:t>
      </w:r>
      <w:r w:rsidR="00684E9B">
        <w:rPr>
          <w:szCs w:val="19"/>
          <w:shd w:val="clear" w:color="auto" w:fill="FFFFFF"/>
        </w:rPr>
        <w:t> </w:t>
      </w:r>
      <w:r w:rsidR="00C95BB6">
        <w:rPr>
          <w:szCs w:val="19"/>
          <w:shd w:val="clear" w:color="auto" w:fill="FFFFFF"/>
        </w:rPr>
        <w:t xml:space="preserve">r. i były spowodowane wprowadzeniem </w:t>
      </w:r>
      <w:r w:rsidR="000F575C">
        <w:rPr>
          <w:szCs w:val="19"/>
          <w:shd w:val="clear" w:color="auto" w:fill="FFFFFF"/>
        </w:rPr>
        <w:t xml:space="preserve">w marcu 2020 r. </w:t>
      </w:r>
      <w:r w:rsidR="00F61FA6" w:rsidRPr="00F61FA6">
        <w:rPr>
          <w:szCs w:val="19"/>
          <w:shd w:val="clear" w:color="auto" w:fill="FFFFFF"/>
        </w:rPr>
        <w:t xml:space="preserve">zamrożenia znacznej części gospodarki i ograniczeń w kontaktach społecznych w reakcji na pojawienie się w Polsce </w:t>
      </w:r>
      <w:proofErr w:type="spellStart"/>
      <w:r w:rsidR="00F61FA6" w:rsidRPr="00F61FA6">
        <w:rPr>
          <w:szCs w:val="19"/>
          <w:shd w:val="clear" w:color="auto" w:fill="FFFFFF"/>
        </w:rPr>
        <w:t>koron</w:t>
      </w:r>
      <w:r w:rsidR="00F61FA6">
        <w:rPr>
          <w:szCs w:val="19"/>
          <w:shd w:val="clear" w:color="auto" w:fill="FFFFFF"/>
        </w:rPr>
        <w:t>a</w:t>
      </w:r>
      <w:r w:rsidR="00F61FA6" w:rsidRPr="00F61FA6">
        <w:rPr>
          <w:szCs w:val="19"/>
          <w:shd w:val="clear" w:color="auto" w:fill="FFFFFF"/>
        </w:rPr>
        <w:t>wirusa</w:t>
      </w:r>
      <w:proofErr w:type="spellEnd"/>
      <w:r w:rsidR="00F61FA6" w:rsidRPr="00F61FA6">
        <w:rPr>
          <w:szCs w:val="19"/>
          <w:shd w:val="clear" w:color="auto" w:fill="FFFFFF"/>
        </w:rPr>
        <w:t>.</w:t>
      </w:r>
    </w:p>
    <w:p w14:paraId="57B610CD" w14:textId="376DFA5F" w:rsidR="00780055" w:rsidRDefault="00780055" w:rsidP="001F43F3">
      <w:pPr>
        <w:spacing w:line="240" w:lineRule="auto"/>
        <w:rPr>
          <w:szCs w:val="19"/>
          <w:shd w:val="clear" w:color="auto" w:fill="FFFFFF"/>
        </w:rPr>
      </w:pPr>
      <w:r w:rsidRPr="005F4861">
        <w:rPr>
          <w:szCs w:val="19"/>
          <w:shd w:val="clear" w:color="auto" w:fill="FFFFFF"/>
        </w:rPr>
        <w:lastRenderedPageBreak/>
        <w:t>Wzrost udziału w wydatkach ogółem we wszystkich kwartałach zaobserwowano w</w:t>
      </w:r>
      <w:r w:rsidR="000F575C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3</w:t>
      </w:r>
      <w:r w:rsidR="000F575C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 xml:space="preserve">grupach wydatków: żywność i napoje bezalkoholowe, łączność </w:t>
      </w:r>
      <w:r w:rsidR="00F61FA6">
        <w:rPr>
          <w:szCs w:val="19"/>
          <w:shd w:val="clear" w:color="auto" w:fill="FFFFFF"/>
        </w:rPr>
        <w:t xml:space="preserve">(w tej grupie znajdują się wydatki </w:t>
      </w:r>
      <w:r w:rsidR="00D43609">
        <w:rPr>
          <w:szCs w:val="19"/>
          <w:shd w:val="clear" w:color="auto" w:fill="FFFFFF"/>
        </w:rPr>
        <w:t xml:space="preserve">na dostęp do Internetu) </w:t>
      </w:r>
      <w:r w:rsidRPr="005F4861">
        <w:rPr>
          <w:szCs w:val="19"/>
          <w:shd w:val="clear" w:color="auto" w:fill="FFFFFF"/>
        </w:rPr>
        <w:t>oraz napoje alkoholowe, wyroby tytoniowe</w:t>
      </w:r>
      <w:r w:rsidR="00B7097E">
        <w:rPr>
          <w:szCs w:val="19"/>
          <w:shd w:val="clear" w:color="auto" w:fill="FFFFFF"/>
        </w:rPr>
        <w:t xml:space="preserve"> (w tej grupie ujęty jest także spirytus)</w:t>
      </w:r>
      <w:r w:rsidRPr="005F4861">
        <w:rPr>
          <w:szCs w:val="19"/>
          <w:shd w:val="clear" w:color="auto" w:fill="FFFFFF"/>
        </w:rPr>
        <w:t>. W grupach tych największy wzrost w stosunku do roku poprzedniego nastąpił w</w:t>
      </w:r>
      <w:r w:rsidR="00D010B3">
        <w:rPr>
          <w:szCs w:val="19"/>
          <w:shd w:val="clear" w:color="auto" w:fill="FFFFFF"/>
        </w:rPr>
        <w:t> </w:t>
      </w:r>
      <w:r w:rsidR="00895151">
        <w:rPr>
          <w:szCs w:val="19"/>
          <w:shd w:val="clear" w:color="auto" w:fill="FFFFFF"/>
        </w:rPr>
        <w:t>II</w:t>
      </w:r>
      <w:r w:rsidR="00D010B3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kwartale i</w:t>
      </w:r>
      <w:r w:rsidR="00641496" w:rsidRPr="005F4861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wyniósł odpowiednio: 4,2 p. proc., 0,8 p. proc. i 0,5 p. proc. Zmniejszenie</w:t>
      </w:r>
      <w:r w:rsidR="00875BA4">
        <w:rPr>
          <w:szCs w:val="19"/>
          <w:shd w:val="clear" w:color="auto" w:fill="FFFFFF"/>
        </w:rPr>
        <w:t xml:space="preserve"> udziału</w:t>
      </w:r>
      <w:r w:rsidRPr="005F4861">
        <w:rPr>
          <w:szCs w:val="19"/>
          <w:shd w:val="clear" w:color="auto" w:fill="FFFFFF"/>
        </w:rPr>
        <w:t xml:space="preserve"> w</w:t>
      </w:r>
      <w:r w:rsidR="00641496" w:rsidRPr="005F4861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wydatkach ogółem we wszystkich kwartałach 2020 r. w stosunku do 2019</w:t>
      </w:r>
      <w:r w:rsidR="00684E9B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r. zanotowano w</w:t>
      </w:r>
      <w:r w:rsidR="00641496" w:rsidRPr="005F4861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3</w:t>
      </w:r>
      <w:r w:rsidR="00641496" w:rsidRPr="005F4861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grupach wydatków: restauracje i</w:t>
      </w:r>
      <w:r w:rsidR="003B3535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hotele (największy spadek w </w:t>
      </w:r>
      <w:r w:rsidR="00895151">
        <w:rPr>
          <w:szCs w:val="19"/>
          <w:shd w:val="clear" w:color="auto" w:fill="FFFFFF"/>
        </w:rPr>
        <w:t>II</w:t>
      </w:r>
      <w:r w:rsidRPr="005F4861">
        <w:rPr>
          <w:szCs w:val="19"/>
          <w:shd w:val="clear" w:color="auto" w:fill="FFFFFF"/>
        </w:rPr>
        <w:t xml:space="preserve"> kwartale – o</w:t>
      </w:r>
      <w:r w:rsidR="00D010B3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2,2</w:t>
      </w:r>
      <w:r w:rsidR="00D010B3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>p.</w:t>
      </w:r>
      <w:r w:rsidR="00D010B3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 xml:space="preserve">proc.), rekreacja i kultura (największy spadek w </w:t>
      </w:r>
      <w:r w:rsidR="00895151">
        <w:rPr>
          <w:szCs w:val="19"/>
          <w:shd w:val="clear" w:color="auto" w:fill="FFFFFF"/>
        </w:rPr>
        <w:t>III</w:t>
      </w:r>
      <w:r w:rsidRPr="005F4861">
        <w:rPr>
          <w:szCs w:val="19"/>
          <w:shd w:val="clear" w:color="auto" w:fill="FFFFFF"/>
        </w:rPr>
        <w:t xml:space="preserve"> kwartale – o 1,6 p. proc.) oraz odzież i obuwie (największy spadek w </w:t>
      </w:r>
      <w:r w:rsidR="00895151">
        <w:rPr>
          <w:szCs w:val="19"/>
          <w:shd w:val="clear" w:color="auto" w:fill="FFFFFF"/>
        </w:rPr>
        <w:t>II</w:t>
      </w:r>
      <w:r w:rsidRPr="005F4861">
        <w:rPr>
          <w:szCs w:val="19"/>
          <w:shd w:val="clear" w:color="auto" w:fill="FFFFFF"/>
        </w:rPr>
        <w:t xml:space="preserve"> kwartale – o 1,</w:t>
      </w:r>
      <w:r w:rsidR="00874735">
        <w:rPr>
          <w:szCs w:val="19"/>
          <w:shd w:val="clear" w:color="auto" w:fill="FFFFFF"/>
        </w:rPr>
        <w:t>3</w:t>
      </w:r>
      <w:r w:rsidR="003B3535">
        <w:rPr>
          <w:szCs w:val="19"/>
          <w:shd w:val="clear" w:color="auto" w:fill="FFFFFF"/>
        </w:rPr>
        <w:t> </w:t>
      </w:r>
      <w:r w:rsidRPr="005F4861">
        <w:rPr>
          <w:szCs w:val="19"/>
          <w:shd w:val="clear" w:color="auto" w:fill="FFFFFF"/>
        </w:rPr>
        <w:t xml:space="preserve">p. proc.). Na uwagę zasługuje również fakt, </w:t>
      </w:r>
      <w:r w:rsidR="00875BA4">
        <w:rPr>
          <w:szCs w:val="19"/>
          <w:shd w:val="clear" w:color="auto" w:fill="FFFFFF"/>
        </w:rPr>
        <w:t>że</w:t>
      </w:r>
      <w:r w:rsidRPr="005F4861">
        <w:rPr>
          <w:szCs w:val="19"/>
          <w:shd w:val="clear" w:color="auto" w:fill="FFFFFF"/>
        </w:rPr>
        <w:t xml:space="preserve"> udział wydatków na zdrowie</w:t>
      </w:r>
      <w:r w:rsidR="00875BA4">
        <w:rPr>
          <w:szCs w:val="19"/>
          <w:shd w:val="clear" w:color="auto" w:fill="FFFFFF"/>
        </w:rPr>
        <w:t xml:space="preserve"> w wydatkach ogółem</w:t>
      </w:r>
      <w:r w:rsidRPr="005F4861">
        <w:rPr>
          <w:szCs w:val="19"/>
          <w:shd w:val="clear" w:color="auto" w:fill="FFFFFF"/>
        </w:rPr>
        <w:t xml:space="preserve"> wzrósł między rokiem 2019 i 2020</w:t>
      </w:r>
      <w:r w:rsidR="00353DE2">
        <w:rPr>
          <w:szCs w:val="19"/>
          <w:shd w:val="clear" w:color="auto" w:fill="FFFFFF"/>
        </w:rPr>
        <w:t xml:space="preserve">, w I </w:t>
      </w:r>
      <w:proofErr w:type="spellStart"/>
      <w:r w:rsidR="00353DE2">
        <w:rPr>
          <w:szCs w:val="19"/>
          <w:shd w:val="clear" w:color="auto" w:fill="FFFFFF"/>
        </w:rPr>
        <w:t>i</w:t>
      </w:r>
      <w:proofErr w:type="spellEnd"/>
      <w:r w:rsidR="00353DE2">
        <w:rPr>
          <w:szCs w:val="19"/>
          <w:shd w:val="clear" w:color="auto" w:fill="FFFFFF"/>
        </w:rPr>
        <w:t xml:space="preserve"> IV kwartale – o 0,5 p. proc., a w</w:t>
      </w:r>
      <w:r w:rsidRPr="005F4861">
        <w:rPr>
          <w:szCs w:val="19"/>
          <w:shd w:val="clear" w:color="auto" w:fill="FFFFFF"/>
        </w:rPr>
        <w:t xml:space="preserve"> </w:t>
      </w:r>
      <w:r w:rsidR="00895151">
        <w:rPr>
          <w:szCs w:val="19"/>
          <w:shd w:val="clear" w:color="auto" w:fill="FFFFFF"/>
        </w:rPr>
        <w:t>II</w:t>
      </w:r>
      <w:r w:rsidRPr="005F4861">
        <w:rPr>
          <w:szCs w:val="19"/>
          <w:shd w:val="clear" w:color="auto" w:fill="FFFFFF"/>
        </w:rPr>
        <w:t xml:space="preserve"> kwarta</w:t>
      </w:r>
      <w:r w:rsidR="00353DE2">
        <w:rPr>
          <w:szCs w:val="19"/>
          <w:shd w:val="clear" w:color="auto" w:fill="FFFFFF"/>
        </w:rPr>
        <w:t>le</w:t>
      </w:r>
      <w:r w:rsidRPr="005F4861">
        <w:rPr>
          <w:szCs w:val="19"/>
          <w:shd w:val="clear" w:color="auto" w:fill="FFFFFF"/>
        </w:rPr>
        <w:t xml:space="preserve"> spadł o 0,6 p. proc.</w:t>
      </w:r>
    </w:p>
    <w:p w14:paraId="7EAF6F0C" w14:textId="6D1DFE8B" w:rsidR="00780055" w:rsidRDefault="00780055">
      <w:pPr>
        <w:spacing w:before="0" w:after="160" w:line="259" w:lineRule="auto"/>
        <w:rPr>
          <w:szCs w:val="19"/>
          <w:shd w:val="clear" w:color="auto" w:fill="FFFFFF"/>
        </w:rPr>
      </w:pPr>
    </w:p>
    <w:p w14:paraId="2B4412C0" w14:textId="77777777" w:rsidR="00FE1D52" w:rsidRPr="00AF77A4" w:rsidRDefault="00FE1D52" w:rsidP="00A54137">
      <w:pPr>
        <w:spacing w:after="240"/>
        <w:ind w:left="709" w:hanging="709"/>
        <w:rPr>
          <w:rFonts w:ascii="Fira Sans SemiBold" w:hAnsi="Fira Sans SemiBold"/>
          <w:spacing w:val="-2"/>
          <w:sz w:val="18"/>
          <w:shd w:val="clear" w:color="auto" w:fill="FFFFFF"/>
        </w:rPr>
      </w:pPr>
      <w:r w:rsidRPr="00AF77A4">
        <w:rPr>
          <w:rFonts w:ascii="Fira Sans SemiBold" w:hAnsi="Fira Sans SemiBold"/>
          <w:spacing w:val="-2"/>
          <w:sz w:val="18"/>
          <w:shd w:val="clear" w:color="auto" w:fill="FFFFFF"/>
        </w:rPr>
        <w:t xml:space="preserve">Tablica 2. Struktura przeciętnych miesięcznych </w:t>
      </w:r>
      <w:r w:rsidR="002E7CC6" w:rsidRPr="00AF77A4">
        <w:rPr>
          <w:rFonts w:ascii="Fira Sans SemiBold" w:hAnsi="Fira Sans SemiBold"/>
          <w:spacing w:val="-2"/>
          <w:sz w:val="18"/>
          <w:shd w:val="clear" w:color="auto" w:fill="FFFFFF"/>
        </w:rPr>
        <w:t>wydatków</w:t>
      </w:r>
      <w:r w:rsidRPr="00AF77A4">
        <w:rPr>
          <w:rFonts w:ascii="Fira Sans SemiBold" w:hAnsi="Fira Sans SemiBold"/>
          <w:spacing w:val="-2"/>
          <w:sz w:val="18"/>
          <w:shd w:val="clear" w:color="auto" w:fill="FFFFFF"/>
        </w:rPr>
        <w:t xml:space="preserve"> na 1 osobę w gospodarstwach domowych </w:t>
      </w:r>
      <w:r w:rsidR="002E7CC6" w:rsidRPr="00AF77A4">
        <w:rPr>
          <w:rFonts w:ascii="Fira Sans SemiBold" w:hAnsi="Fira Sans SemiBold"/>
          <w:spacing w:val="-2"/>
          <w:sz w:val="18"/>
          <w:shd w:val="clear" w:color="auto" w:fill="FFFFFF"/>
        </w:rPr>
        <w:br/>
        <w:t xml:space="preserve">  </w:t>
      </w:r>
      <w:r w:rsidRPr="00AF77A4">
        <w:rPr>
          <w:rFonts w:ascii="Fira Sans SemiBold" w:hAnsi="Fira Sans SemiBold"/>
          <w:spacing w:val="-2"/>
          <w:sz w:val="18"/>
          <w:shd w:val="clear" w:color="auto" w:fill="FFFFFF"/>
        </w:rPr>
        <w:t>wg kwartałów</w:t>
      </w:r>
    </w:p>
    <w:tbl>
      <w:tblPr>
        <w:tblStyle w:val="Siatkatabelijasna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56284" w:rsidRPr="00600DFE" w14:paraId="34B1230B" w14:textId="77777777" w:rsidTr="00D33C61">
        <w:trPr>
          <w:trHeight w:val="57"/>
          <w:jc w:val="center"/>
        </w:trPr>
        <w:tc>
          <w:tcPr>
            <w:tcW w:w="2268" w:type="dxa"/>
            <w:vMerge w:val="restart"/>
            <w:tcBorders>
              <w:top w:val="nil"/>
              <w:right w:val="single" w:sz="4" w:space="0" w:color="001D77"/>
            </w:tcBorders>
            <w:vAlign w:val="center"/>
          </w:tcPr>
          <w:p w14:paraId="6D901F19" w14:textId="77777777" w:rsidR="00256284" w:rsidRPr="00600DFE" w:rsidRDefault="00256284" w:rsidP="00256284">
            <w:pPr>
              <w:pStyle w:val="tekstnaniebieskimtle"/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600DFE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gridSpan w:val="2"/>
            <w:tcBorders>
              <w:top w:val="nil"/>
              <w:right w:val="single" w:sz="4" w:space="0" w:color="001D77"/>
            </w:tcBorders>
            <w:vAlign w:val="center"/>
          </w:tcPr>
          <w:p w14:paraId="0B6FB29F" w14:textId="659D9B14" w:rsidR="00256284" w:rsidRDefault="00256284" w:rsidP="00256284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05E9A2" w14:textId="02EC4724" w:rsidR="00256284" w:rsidRPr="00600DFE" w:rsidRDefault="00365C72" w:rsidP="00256284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25628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E0C6E3" w14:textId="02CD2901" w:rsidR="00256284" w:rsidRPr="00600DFE" w:rsidRDefault="00365C72" w:rsidP="00256284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</w:t>
            </w:r>
            <w:r w:rsidR="0025628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3AE6E8" w14:textId="0C5E6FC2" w:rsidR="00256284" w:rsidRPr="00600DFE" w:rsidRDefault="00365C72" w:rsidP="00256284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</w:t>
            </w:r>
            <w:r w:rsidR="0025628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kwartał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76B9103E" w14:textId="53B0E205" w:rsidR="00256284" w:rsidRPr="00600DFE" w:rsidRDefault="00365C72" w:rsidP="00256284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</w:t>
            </w:r>
            <w:r w:rsidR="0025628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kwartał</w:t>
            </w:r>
          </w:p>
        </w:tc>
      </w:tr>
      <w:tr w:rsidR="00256284" w:rsidRPr="00600DFE" w14:paraId="37B4B700" w14:textId="77777777" w:rsidTr="00AF77A4">
        <w:trPr>
          <w:trHeight w:val="57"/>
          <w:jc w:val="center"/>
        </w:trPr>
        <w:tc>
          <w:tcPr>
            <w:tcW w:w="2268" w:type="dxa"/>
            <w:vMerge/>
            <w:tcBorders>
              <w:right w:val="single" w:sz="4" w:space="0" w:color="001D77"/>
            </w:tcBorders>
            <w:vAlign w:val="center"/>
          </w:tcPr>
          <w:p w14:paraId="0A9A350A" w14:textId="77777777" w:rsidR="00256284" w:rsidRPr="00600DFE" w:rsidRDefault="00256284" w:rsidP="00256284">
            <w:pPr>
              <w:pStyle w:val="tekstnaniebieskimtle"/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1D77"/>
            </w:tcBorders>
            <w:vAlign w:val="center"/>
          </w:tcPr>
          <w:p w14:paraId="2198ED4F" w14:textId="5C74436A" w:rsidR="00256284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212492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02D4BDA1" w14:textId="734B2075" w:rsidR="00256284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F18484" w14:textId="57242B2B" w:rsidR="00256284" w:rsidRPr="00600DFE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4475AB85" w14:textId="77777777" w:rsidR="00256284" w:rsidRPr="00600DFE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41F8E9" w14:textId="77777777" w:rsidR="00256284" w:rsidRPr="00600DFE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0AF6FC8E" w14:textId="77777777" w:rsidR="00256284" w:rsidRPr="00600DFE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439B71" w14:textId="77777777" w:rsidR="00256284" w:rsidRPr="00600DFE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212492"/>
              <w:left w:val="single" w:sz="4" w:space="0" w:color="001D77"/>
              <w:bottom w:val="single" w:sz="4" w:space="0" w:color="212492"/>
              <w:right w:val="single" w:sz="4" w:space="0" w:color="001D77"/>
            </w:tcBorders>
            <w:shd w:val="clear" w:color="auto" w:fill="CCD1E3"/>
            <w:vAlign w:val="center"/>
          </w:tcPr>
          <w:p w14:paraId="7CAF1F4E" w14:textId="77777777" w:rsidR="00256284" w:rsidRPr="00600DFE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50EAB2" w14:textId="77777777" w:rsidR="00256284" w:rsidRPr="00600DFE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CCD1E3"/>
            <w:vAlign w:val="center"/>
          </w:tcPr>
          <w:p w14:paraId="6C489623" w14:textId="77777777" w:rsidR="00256284" w:rsidRPr="00600DFE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56284" w:rsidRPr="00600DFE" w14:paraId="5570C42C" w14:textId="77777777" w:rsidTr="00D33C61">
        <w:trPr>
          <w:trHeight w:val="57"/>
          <w:jc w:val="center"/>
        </w:trPr>
        <w:tc>
          <w:tcPr>
            <w:tcW w:w="2268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14:paraId="2ADD3F43" w14:textId="77777777" w:rsidR="00256284" w:rsidRPr="00600DFE" w:rsidRDefault="00256284" w:rsidP="00256284">
            <w:pPr>
              <w:pStyle w:val="tekstnaniebieskimtle"/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tcBorders>
              <w:bottom w:val="single" w:sz="12" w:space="0" w:color="001D77"/>
            </w:tcBorders>
            <w:vAlign w:val="center"/>
          </w:tcPr>
          <w:p w14:paraId="04D0B307" w14:textId="0EBFD934" w:rsidR="00256284" w:rsidRPr="002E7CC6" w:rsidRDefault="00256284" w:rsidP="00256284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2E7CC6">
              <w:rPr>
                <w:bCs/>
                <w:spacing w:val="-2"/>
                <w:sz w:val="16"/>
                <w:szCs w:val="16"/>
                <w:shd w:val="clear" w:color="auto" w:fill="FFFFFF"/>
              </w:rPr>
              <w:t>w % wydatków ogółem</w:t>
            </w:r>
          </w:p>
        </w:tc>
      </w:tr>
      <w:tr w:rsidR="00256284" w:rsidRPr="00600DFE" w14:paraId="612774A7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6222A167" w14:textId="77777777" w:rsidR="00256284" w:rsidRPr="00FE1D52" w:rsidRDefault="00256284" w:rsidP="00256284">
            <w:pPr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Żywność i napoje bezalkoholowe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D155013" w14:textId="0731DB76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25,1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CCD1E3"/>
            <w:vAlign w:val="center"/>
          </w:tcPr>
          <w:p w14:paraId="05ADAC6B" w14:textId="1EBCFAF0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27,7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6596C8F4" w14:textId="58F012FD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CCD1E3"/>
            <w:vAlign w:val="center"/>
          </w:tcPr>
          <w:p w14:paraId="64A81EFE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20B9D4C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CCD1E3"/>
            <w:vAlign w:val="center"/>
          </w:tcPr>
          <w:p w14:paraId="1423F23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420F01DD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CCD1E3"/>
            <w:vAlign w:val="center"/>
          </w:tcPr>
          <w:p w14:paraId="54C760BD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FD70A3F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567" w:type="dxa"/>
            <w:tcBorders>
              <w:top w:val="single" w:sz="12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77B1200C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28,1</w:t>
            </w:r>
          </w:p>
        </w:tc>
      </w:tr>
      <w:tr w:rsidR="00256284" w:rsidRPr="00600DFE" w14:paraId="3B84925A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B31418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Napoje alkoholowe, wyroby tytoniowe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D376A3" w14:textId="52F37E16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467B1CF6" w14:textId="6238F4F8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2,9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16A601" w14:textId="2C2D2645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15EB1A34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590C50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2E3A4795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D8F5F9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7A6118EF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0693F6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69675068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3,0</w:t>
            </w:r>
          </w:p>
        </w:tc>
      </w:tr>
      <w:tr w:rsidR="00256284" w:rsidRPr="00600DFE" w14:paraId="42AC7B96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EF681A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Odzież i obuwie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9D4EAC" w14:textId="3E1ACC46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4,8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39E00F0D" w14:textId="251B6EC6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798C61" w14:textId="7C12E9B9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00B4465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4BCAC2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15AE35D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53556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32FF953A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0C98E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0851BC2B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4,4</w:t>
            </w:r>
          </w:p>
        </w:tc>
      </w:tr>
      <w:tr w:rsidR="00256284" w:rsidRPr="00600DFE" w14:paraId="2C4D6348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0E0BA5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 xml:space="preserve">Użytkowanie mieszkania </w:t>
            </w:r>
            <w:r>
              <w:rPr>
                <w:color w:val="000000"/>
                <w:sz w:val="16"/>
                <w:szCs w:val="16"/>
              </w:rPr>
              <w:br/>
            </w:r>
            <w:r w:rsidRPr="00FE1D52">
              <w:rPr>
                <w:color w:val="000000"/>
                <w:sz w:val="16"/>
                <w:szCs w:val="16"/>
              </w:rPr>
              <w:t>i nośniki energii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3C9AD5" w14:textId="28757780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18,0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090CB007" w14:textId="3D762D9C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18,8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E1B732" w14:textId="63AE3538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0D3DD58E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365AA4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784005F0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0C98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29AF9436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D5AB7D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5320CC60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</w:tr>
      <w:tr w:rsidR="00256284" w:rsidRPr="00600DFE" w14:paraId="088268D7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E683EB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 xml:space="preserve">Wyposażenie mieszkania </w:t>
            </w:r>
            <w:r>
              <w:rPr>
                <w:color w:val="000000"/>
                <w:sz w:val="16"/>
                <w:szCs w:val="16"/>
              </w:rPr>
              <w:br/>
            </w:r>
            <w:r w:rsidRPr="00FE1D52">
              <w:rPr>
                <w:color w:val="000000"/>
                <w:sz w:val="16"/>
                <w:szCs w:val="16"/>
              </w:rPr>
              <w:t xml:space="preserve">i prowadzenie gosp. </w:t>
            </w:r>
            <w:r>
              <w:rPr>
                <w:color w:val="000000"/>
                <w:sz w:val="16"/>
                <w:szCs w:val="16"/>
              </w:rPr>
              <w:t>d</w:t>
            </w:r>
            <w:r w:rsidRPr="00FE1D52">
              <w:rPr>
                <w:color w:val="000000"/>
                <w:sz w:val="16"/>
                <w:szCs w:val="16"/>
              </w:rPr>
              <w:t>om.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750A57" w14:textId="79C097C7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91A7C3A" w14:textId="6C8BB2E3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5,7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5FA224" w14:textId="46C9BD6E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24DC1BC4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21FC2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1D2543B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F637E6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CCB2B9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53890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14BBED1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256284" w:rsidRPr="00600DFE" w14:paraId="2BBB45A9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FCB469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Zdrowie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659CD5" w14:textId="465AA992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0B3E5DE4" w14:textId="1F2830AA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A1CB61" w14:textId="681CA7FE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04041AAA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7F97BE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35ED1F67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DA81EA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2DB6E37F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4251C8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77484CE8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256284" w:rsidRPr="00600DFE" w14:paraId="68C0E5F8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6C3518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Transport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43120D" w14:textId="63DFAF70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9,7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75185D74" w14:textId="175A590C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8,8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3DA53F" w14:textId="72A4A461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3BF93F5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FF1A08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4C969EAA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51BFF7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03E4942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8D63B5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5B3704D2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256284" w:rsidRPr="00600DFE" w14:paraId="19B16524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435AB2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Łączność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96E207" w14:textId="0016D06B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B69FECE" w14:textId="06464F0C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4,9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FB4550" w14:textId="42C61816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4F9F086B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12E28A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268990AA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7F9D02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8B701A2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C68EA0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0F5A63C0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</w:tr>
      <w:tr w:rsidR="00256284" w:rsidRPr="00600DFE" w14:paraId="42B1EBB7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81C5E2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Rekreacja i kultura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AE8431" w14:textId="52533F59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6,6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3121920" w14:textId="5EB22579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5,7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914499" w14:textId="5C6123FD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46015EB9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9BC170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1B58C48D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79070D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39104F8C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C86ED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41505AA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5,3</w:t>
            </w:r>
          </w:p>
        </w:tc>
      </w:tr>
      <w:tr w:rsidR="00256284" w:rsidRPr="00600DFE" w14:paraId="1A4914C4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ACB6C7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Edukacja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4B1AE6" w14:textId="7354690C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0253C5F2" w14:textId="084EE640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ECCE55" w14:textId="485ACBD9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1B444C8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BF8574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4D6F609F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DA976B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10EFADAE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E69C77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0B0D5A2D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1,2</w:t>
            </w:r>
          </w:p>
        </w:tc>
      </w:tr>
      <w:tr w:rsidR="00256284" w:rsidRPr="00600DFE" w14:paraId="049039B9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AE6153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Restauracje i hotele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8F9875" w14:textId="55E3E683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4,9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0AD8B279" w14:textId="230F1173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D85085" w14:textId="62DD86F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195CDF7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0B654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7F38575C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7C623A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1D12402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F51DE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66D49620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2,7</w:t>
            </w:r>
          </w:p>
        </w:tc>
      </w:tr>
      <w:tr w:rsidR="00256284" w:rsidRPr="00600DFE" w14:paraId="27A60E8C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3177E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Pozostałe towary i usługi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1E4C3" w14:textId="141D24CC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4181E09C" w14:textId="3D196C8B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A919D6" w14:textId="36438A00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2B50F126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0007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415DCD6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D1CBE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14646D55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C31438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35EB86FB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</w:tr>
      <w:tr w:rsidR="00256284" w:rsidRPr="00600DFE" w14:paraId="2D9D2EA9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88CFA7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Wydatki pozostałe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ABA059" w14:textId="1365E073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8334C93" w14:textId="466047FC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92F563" w14:textId="2E929D5C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57DCA7E3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218FE6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D9A3BA0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EE577E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CCD1E3"/>
            <w:vAlign w:val="center"/>
          </w:tcPr>
          <w:p w14:paraId="629F6C0A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00B1B9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CCD1E3"/>
            <w:vAlign w:val="center"/>
          </w:tcPr>
          <w:p w14:paraId="4AAEC3DF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4,1</w:t>
            </w:r>
          </w:p>
        </w:tc>
      </w:tr>
      <w:tr w:rsidR="00256284" w:rsidRPr="00600DFE" w14:paraId="1C313915" w14:textId="77777777" w:rsidTr="00AF77A4">
        <w:trPr>
          <w:trHeight w:val="20"/>
          <w:jc w:val="center"/>
        </w:trPr>
        <w:tc>
          <w:tcPr>
            <w:tcW w:w="2268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213CB69" w14:textId="77777777" w:rsidR="00256284" w:rsidRPr="00FE1D52" w:rsidRDefault="00256284" w:rsidP="00256284">
            <w:pPr>
              <w:spacing w:before="0" w:after="0"/>
              <w:rPr>
                <w:color w:val="000000"/>
                <w:sz w:val="16"/>
                <w:szCs w:val="16"/>
              </w:rPr>
            </w:pPr>
            <w:r w:rsidRPr="00FE1D52">
              <w:rPr>
                <w:color w:val="000000"/>
                <w:sz w:val="16"/>
                <w:szCs w:val="16"/>
              </w:rPr>
              <w:t>Kieszonkowe</w:t>
            </w:r>
          </w:p>
        </w:tc>
        <w:tc>
          <w:tcPr>
            <w:tcW w:w="567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7EF20AA" w14:textId="76B66ED4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CCD1E3"/>
            <w:vAlign w:val="center"/>
          </w:tcPr>
          <w:p w14:paraId="2BC522BA" w14:textId="4FC6A484" w:rsidR="00256284" w:rsidRPr="00256284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56284">
              <w:rPr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C6F2F98" w14:textId="430D7FDD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CCD1E3"/>
            <w:vAlign w:val="center"/>
          </w:tcPr>
          <w:p w14:paraId="6081B9C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BC0024B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CCD1E3"/>
            <w:vAlign w:val="center"/>
          </w:tcPr>
          <w:p w14:paraId="4024E7A4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2D743BC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CCD1E3"/>
            <w:vAlign w:val="center"/>
          </w:tcPr>
          <w:p w14:paraId="774E763C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81ACE11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CCD1E3"/>
            <w:vAlign w:val="center"/>
          </w:tcPr>
          <w:p w14:paraId="576015CD" w14:textId="77777777" w:rsidR="00256284" w:rsidRPr="00FE1D52" w:rsidRDefault="00256284" w:rsidP="002562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E1D52">
              <w:rPr>
                <w:rFonts w:cs="Arial"/>
                <w:color w:val="000000"/>
                <w:sz w:val="16"/>
                <w:szCs w:val="16"/>
              </w:rPr>
              <w:t>1,2</w:t>
            </w:r>
          </w:p>
        </w:tc>
      </w:tr>
    </w:tbl>
    <w:p w14:paraId="2767ABC7" w14:textId="77777777" w:rsidR="00FE1D52" w:rsidRPr="001A3D75" w:rsidRDefault="00FE1D52" w:rsidP="001F43F3">
      <w:pPr>
        <w:spacing w:line="240" w:lineRule="auto"/>
        <w:rPr>
          <w:szCs w:val="19"/>
          <w:shd w:val="clear" w:color="auto" w:fill="FFFFFF"/>
        </w:rPr>
      </w:pPr>
    </w:p>
    <w:p w14:paraId="4F35C044" w14:textId="18F7ED68" w:rsidR="00572FE5" w:rsidRPr="000F575C" w:rsidRDefault="001E3B25" w:rsidP="00780055">
      <w:pPr>
        <w:spacing w:before="0"/>
        <w:rPr>
          <w:szCs w:val="19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1B958736" wp14:editId="2682C45D">
                <wp:simplePos x="0" y="0"/>
                <wp:positionH relativeFrom="column">
                  <wp:posOffset>5219700</wp:posOffset>
                </wp:positionH>
                <wp:positionV relativeFrom="paragraph">
                  <wp:posOffset>723264</wp:posOffset>
                </wp:positionV>
                <wp:extent cx="1764665" cy="1801495"/>
                <wp:effectExtent l="0" t="0" r="0" b="8255"/>
                <wp:wrapTight wrapText="bothSides">
                  <wp:wrapPolygon edited="0">
                    <wp:start x="466" y="0"/>
                    <wp:lineTo x="466" y="21471"/>
                    <wp:lineTo x="20753" y="21471"/>
                    <wp:lineTo x="20753" y="0"/>
                    <wp:lineTo x="466" y="0"/>
                  </wp:wrapPolygon>
                </wp:wrapTight>
                <wp:docPr id="44" name="Pole tekstow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9C59B" w14:textId="77777777" w:rsidR="00E913EA" w:rsidRPr="009A02F6" w:rsidRDefault="00E913EA" w:rsidP="00764D9C">
                            <w:pPr>
                              <w:pStyle w:val="tekstzboku"/>
                              <w:rPr>
                                <w:spacing w:val="-2"/>
                              </w:rPr>
                            </w:pPr>
                            <w:r w:rsidRPr="009A02F6">
                              <w:rPr>
                                <w:spacing w:val="-2"/>
                              </w:rPr>
                              <w:t>W gospodarstwach 20% osób znajdujących się w najlepszej sytuacji dochodowej skumulowanych było 38,</w:t>
                            </w:r>
                            <w:r>
                              <w:rPr>
                                <w:spacing w:val="-2"/>
                              </w:rPr>
                              <w:t>8</w:t>
                            </w:r>
                            <w:r w:rsidRPr="009A02F6">
                              <w:rPr>
                                <w:spacing w:val="-2"/>
                              </w:rPr>
                              <w:t>% dochodów całej badanej zbiorowości gospodarstw domowych, podczas gdy w gospodarstwach 20% osób pozostających w najgorszej sytuacji – 7,</w:t>
                            </w:r>
                            <w:r>
                              <w:rPr>
                                <w:spacing w:val="-2"/>
                              </w:rPr>
                              <w:t>0</w:t>
                            </w:r>
                            <w:r w:rsidRPr="009A02F6">
                              <w:rPr>
                                <w:spacing w:val="-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8736" id="Pole tekstowe 216" o:spid="_x0000_s1035" type="#_x0000_t202" style="position:absolute;margin-left:411pt;margin-top:56.95pt;width:138.95pt;height:141.8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eh/QEAANYDAAAOAAAAZHJzL2Uyb0RvYy54bWysU8Fu2zAMvQ/YPwi6L7YDx22MOEXXosOA&#10;bivQ7QMUWY6F2qJGKbGzrx8lJ1m23opdBEmkHh8fn1Y3Y9+xvUKnwVQ8m6WcKSOh1mZb8R/fHz5c&#10;c+a8MLXowKiKH5TjN+v371aDLdUcWuhqhYxAjCsHW/HWe1smiZOt6oWbgVWGgg1gLzwdcZvUKAZC&#10;77tknqZFMgDWFkEq5+j2fgrydcRvGiX9t6ZxyrOu4sTNxxXjuglrsl6JcovCtloeaYg3sOiFNlT0&#10;DHUvvGA71K+gei0RHDR+JqFPoGm0VLEH6iZL/+nmuRVWxV5IHGfPMrn/Byu/7p+Q6briec6ZET3N&#10;6Ak6xbx6cR4GxeZZEVQarCsp+dlSuh8/wkjTjh07+wjyxTEDd60wW3WLCEOrRE0ss/AyuXg64bgA&#10;shm+QE3VxM5DBBob7IOEJAojdJrW4TwhNXomQ8mrIi+KBWeSYtl1muXLRawhytNzi85/UtCzsKk4&#10;kgUivNg/Oh/oiPKUEqoZeNBdF23Qmb8uKDHcRPqB8cTdj5sx6rU8qbKB+kD9IEzmos9AmxbwF2cD&#10;Gavi7udOoOKs+2xIk2WW58GJ8ZAvruZ0wMvI5jIijCSoinvOpu2dn9y7s6i3LVWapmDglnRsdOww&#10;CD6xOtIn88TGj0YP7rw8x6w/33H9GwAA//8DAFBLAwQUAAYACAAAACEAnHnfxN8AAAAMAQAADwAA&#10;AGRycy9kb3ducmV2LnhtbEyPwU7DMBBE70j8g7VI3KjdFNo6xKkQiCuIQpG4ufE2iYjXUew24e/Z&#10;nuC2oxnNvik2k+/ECYfYBjIwnykQSFVwLdUGPt6fb9YgYrLkbBcIDfxghE15eVHY3IWR3vC0TbXg&#10;Eoq5NdCk1OdSxqpBb+Ms9EjsHcLgbWI51NINduRy38lMqaX0tiX+0NgeHxusvrdHb2D3cvj6vFWv&#10;9ZO/68cwKUleS2Our6aHexAJp/QXhjM+o0PJTPtwJBdFZ2CdZbwlsTFfaBDnhNKar72BhV4tQZaF&#10;/D+i/AUAAP//AwBQSwECLQAUAAYACAAAACEAtoM4kv4AAADhAQAAEwAAAAAAAAAAAAAAAAAAAAAA&#10;W0NvbnRlbnRfVHlwZXNdLnhtbFBLAQItABQABgAIAAAAIQA4/SH/1gAAAJQBAAALAAAAAAAAAAAA&#10;AAAAAC8BAABfcmVscy8ucmVsc1BLAQItABQABgAIAAAAIQBRPieh/QEAANYDAAAOAAAAAAAAAAAA&#10;AAAAAC4CAABkcnMvZTJvRG9jLnhtbFBLAQItABQABgAIAAAAIQCced/E3wAAAAwBAAAPAAAAAAAA&#10;AAAAAAAAAFcEAABkcnMvZG93bnJldi54bWxQSwUGAAAAAAQABADzAAAAYwUAAAAA&#10;" filled="f" stroked="f">
                <v:textbox>
                  <w:txbxContent>
                    <w:p w14:paraId="37D9C59B" w14:textId="77777777" w:rsidR="00E913EA" w:rsidRPr="009A02F6" w:rsidRDefault="00E913EA" w:rsidP="00764D9C">
                      <w:pPr>
                        <w:pStyle w:val="tekstzboku"/>
                        <w:rPr>
                          <w:spacing w:val="-2"/>
                        </w:rPr>
                      </w:pPr>
                      <w:r w:rsidRPr="009A02F6">
                        <w:rPr>
                          <w:spacing w:val="-2"/>
                        </w:rPr>
                        <w:t>W gospodarstwach 20% osób znajdujących się w najlepszej sytuacji dochodowej skumulowanych było 38,</w:t>
                      </w:r>
                      <w:r>
                        <w:rPr>
                          <w:spacing w:val="-2"/>
                        </w:rPr>
                        <w:t>8</w:t>
                      </w:r>
                      <w:r w:rsidRPr="009A02F6">
                        <w:rPr>
                          <w:spacing w:val="-2"/>
                        </w:rPr>
                        <w:t>% dochodów całej badanej zbiorowości gospodarstw domowych, podczas gdy w gospodarstwach 20% osób pozostających w najgorszej sytuacji – 7,</w:t>
                      </w:r>
                      <w:r>
                        <w:rPr>
                          <w:spacing w:val="-2"/>
                        </w:rPr>
                        <w:t>0</w:t>
                      </w:r>
                      <w:r w:rsidRPr="009A02F6">
                        <w:rPr>
                          <w:spacing w:val="-2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4D9C" w:rsidRPr="00CE70B9">
        <w:rPr>
          <w:szCs w:val="19"/>
          <w:shd w:val="clear" w:color="auto" w:fill="FFFFFF"/>
        </w:rPr>
        <w:t xml:space="preserve">Przeciętny miesięczny dochód rozporządzalny 20% osób o najwyższych dochodach (V grupa </w:t>
      </w:r>
      <w:proofErr w:type="spellStart"/>
      <w:r w:rsidR="00764D9C" w:rsidRPr="00CE70B9">
        <w:rPr>
          <w:szCs w:val="19"/>
          <w:shd w:val="clear" w:color="auto" w:fill="FFFFFF"/>
        </w:rPr>
        <w:t>kwintylowa</w:t>
      </w:r>
      <w:proofErr w:type="spellEnd"/>
      <w:r w:rsidR="00764D9C" w:rsidRPr="00CE70B9">
        <w:rPr>
          <w:szCs w:val="19"/>
          <w:shd w:val="clear" w:color="auto" w:fill="FFFFFF"/>
        </w:rPr>
        <w:t>) wyniósł 3</w:t>
      </w:r>
      <w:r w:rsidR="008B6DA9">
        <w:rPr>
          <w:szCs w:val="19"/>
          <w:shd w:val="clear" w:color="auto" w:fill="FFFFFF"/>
        </w:rPr>
        <w:t>728</w:t>
      </w:r>
      <w:r w:rsidR="00764D9C" w:rsidRPr="00CE70B9">
        <w:rPr>
          <w:szCs w:val="19"/>
          <w:shd w:val="clear" w:color="auto" w:fill="FFFFFF"/>
        </w:rPr>
        <w:t xml:space="preserve"> zł i</w:t>
      </w:r>
      <w:r w:rsidR="008B6DA9">
        <w:rPr>
          <w:szCs w:val="19"/>
          <w:shd w:val="clear" w:color="auto" w:fill="FFFFFF"/>
        </w:rPr>
        <w:t xml:space="preserve"> </w:t>
      </w:r>
      <w:r w:rsidR="00BE69A1" w:rsidRPr="00CE70B9">
        <w:rPr>
          <w:szCs w:val="19"/>
          <w:shd w:val="clear" w:color="auto" w:fill="FFFFFF"/>
        </w:rPr>
        <w:t xml:space="preserve">był </w:t>
      </w:r>
      <w:r w:rsidR="008B6DA9">
        <w:rPr>
          <w:szCs w:val="19"/>
          <w:shd w:val="clear" w:color="auto" w:fill="FFFFFF"/>
        </w:rPr>
        <w:t>5,6</w:t>
      </w:r>
      <w:r w:rsidR="00764D9C" w:rsidRPr="00CE70B9">
        <w:rPr>
          <w:szCs w:val="19"/>
          <w:shd w:val="clear" w:color="auto" w:fill="FFFFFF"/>
        </w:rPr>
        <w:t xml:space="preserve"> </w:t>
      </w:r>
      <w:proofErr w:type="spellStart"/>
      <w:r w:rsidR="00764D9C" w:rsidRPr="00CE70B9">
        <w:rPr>
          <w:szCs w:val="19"/>
          <w:shd w:val="clear" w:color="auto" w:fill="FFFFFF"/>
        </w:rPr>
        <w:t>raz</w:t>
      </w:r>
      <w:r w:rsidR="005C13CD" w:rsidRPr="00CE70B9">
        <w:rPr>
          <w:szCs w:val="19"/>
          <w:shd w:val="clear" w:color="auto" w:fill="FFFFFF"/>
        </w:rPr>
        <w:t>a</w:t>
      </w:r>
      <w:proofErr w:type="spellEnd"/>
      <w:r w:rsidR="00CE70B9" w:rsidRPr="00CE70B9">
        <w:rPr>
          <w:szCs w:val="19"/>
          <w:shd w:val="clear" w:color="auto" w:fill="FFFFFF"/>
        </w:rPr>
        <w:t xml:space="preserve"> wyższy (w 201</w:t>
      </w:r>
      <w:r w:rsidR="008B6DA9">
        <w:rPr>
          <w:szCs w:val="19"/>
          <w:shd w:val="clear" w:color="auto" w:fill="FFFFFF"/>
        </w:rPr>
        <w:t>9</w:t>
      </w:r>
      <w:r w:rsidR="00CE70B9" w:rsidRPr="00CE70B9">
        <w:rPr>
          <w:szCs w:val="19"/>
          <w:shd w:val="clear" w:color="auto" w:fill="FFFFFF"/>
        </w:rPr>
        <w:t xml:space="preserve"> r. </w:t>
      </w:r>
      <w:r w:rsidR="002C6EFB">
        <w:rPr>
          <w:szCs w:val="19"/>
          <w:shd w:val="clear" w:color="auto" w:fill="FFFFFF"/>
        </w:rPr>
        <w:t xml:space="preserve">– </w:t>
      </w:r>
      <w:r w:rsidR="008B6DA9">
        <w:rPr>
          <w:szCs w:val="19"/>
          <w:shd w:val="clear" w:color="auto" w:fill="FFFFFF"/>
        </w:rPr>
        <w:t xml:space="preserve">4,9 </w:t>
      </w:r>
      <w:proofErr w:type="spellStart"/>
      <w:r w:rsidR="008B6DA9">
        <w:rPr>
          <w:szCs w:val="19"/>
          <w:shd w:val="clear" w:color="auto" w:fill="FFFFFF"/>
        </w:rPr>
        <w:t>raza</w:t>
      </w:r>
      <w:proofErr w:type="spellEnd"/>
      <w:r w:rsidR="008B6DA9">
        <w:rPr>
          <w:szCs w:val="19"/>
          <w:shd w:val="clear" w:color="auto" w:fill="FFFFFF"/>
        </w:rPr>
        <w:t xml:space="preserve"> wyższy i </w:t>
      </w:r>
      <w:r w:rsidR="00CE70B9" w:rsidRPr="00CE70B9">
        <w:rPr>
          <w:szCs w:val="19"/>
          <w:shd w:val="clear" w:color="auto" w:fill="FFFFFF"/>
        </w:rPr>
        <w:t xml:space="preserve">wyniósł </w:t>
      </w:r>
      <w:r w:rsidR="008B6DA9">
        <w:rPr>
          <w:szCs w:val="19"/>
          <w:shd w:val="clear" w:color="auto" w:fill="FFFFFF"/>
        </w:rPr>
        <w:t>3491</w:t>
      </w:r>
      <w:r w:rsidR="0031645A" w:rsidRPr="00CE70B9">
        <w:rPr>
          <w:szCs w:val="19"/>
          <w:shd w:val="clear" w:color="auto" w:fill="FFFFFF"/>
        </w:rPr>
        <w:t xml:space="preserve"> zł</w:t>
      </w:r>
      <w:r w:rsidR="00764D9C" w:rsidRPr="00CE70B9">
        <w:rPr>
          <w:szCs w:val="19"/>
          <w:shd w:val="clear" w:color="auto" w:fill="FFFFFF"/>
        </w:rPr>
        <w:t xml:space="preserve">) od analogicznego dochodu 20% osób uzyskujących najniższe dochody (I grupa </w:t>
      </w:r>
      <w:proofErr w:type="spellStart"/>
      <w:r w:rsidR="00764D9C" w:rsidRPr="00CE70B9">
        <w:rPr>
          <w:szCs w:val="19"/>
          <w:shd w:val="clear" w:color="auto" w:fill="FFFFFF"/>
        </w:rPr>
        <w:t>kwintylowa</w:t>
      </w:r>
      <w:proofErr w:type="spellEnd"/>
      <w:r w:rsidR="008B6DA9">
        <w:rPr>
          <w:szCs w:val="19"/>
          <w:shd w:val="clear" w:color="auto" w:fill="FFFFFF"/>
        </w:rPr>
        <w:t>)</w:t>
      </w:r>
      <w:r w:rsidR="00572FE5">
        <w:rPr>
          <w:szCs w:val="19"/>
          <w:shd w:val="clear" w:color="auto" w:fill="FFFFFF"/>
        </w:rPr>
        <w:t>.</w:t>
      </w:r>
      <w:r w:rsidR="008B6DA9">
        <w:rPr>
          <w:szCs w:val="19"/>
          <w:shd w:val="clear" w:color="auto" w:fill="FFFFFF"/>
        </w:rPr>
        <w:t xml:space="preserve"> </w:t>
      </w:r>
      <w:bookmarkStart w:id="2" w:name="_Hlk71890221"/>
      <w:r w:rsidR="00780055" w:rsidRPr="000F575C">
        <w:rPr>
          <w:szCs w:val="19"/>
          <w:shd w:val="clear" w:color="auto" w:fill="FFFFFF"/>
        </w:rPr>
        <w:t>Oznacza to wzrost w ostatnim roku dysproporcji pomiędzy osobami najbogatszymi i najbiedniejszymi.</w:t>
      </w:r>
      <w:bookmarkEnd w:id="2"/>
      <w:r w:rsidR="00780055" w:rsidRPr="000F575C">
        <w:rPr>
          <w:szCs w:val="19"/>
          <w:shd w:val="clear" w:color="auto" w:fill="FFFFFF"/>
        </w:rPr>
        <w:t xml:space="preserve"> </w:t>
      </w:r>
    </w:p>
    <w:p w14:paraId="5C1DDBC6" w14:textId="126577B2" w:rsidR="00E84EE4" w:rsidRPr="00FE1D52" w:rsidRDefault="00572FE5" w:rsidP="00FE1D52">
      <w:pPr>
        <w:rPr>
          <w:szCs w:val="19"/>
          <w:shd w:val="clear" w:color="auto" w:fill="FFFFFF"/>
        </w:rPr>
      </w:pPr>
      <w:r w:rsidRPr="001A3D75">
        <w:rPr>
          <w:szCs w:val="19"/>
          <w:shd w:val="clear" w:color="auto" w:fill="FFFFFF"/>
        </w:rPr>
        <w:t>W</w:t>
      </w:r>
      <w:r w:rsidR="00692D54" w:rsidRPr="001A3D75">
        <w:rPr>
          <w:szCs w:val="19"/>
          <w:shd w:val="clear" w:color="auto" w:fill="FFFFFF"/>
        </w:rPr>
        <w:t xml:space="preserve"> </w:t>
      </w:r>
      <w:r w:rsidR="00764D9C" w:rsidRPr="001A3D75">
        <w:rPr>
          <w:szCs w:val="19"/>
          <w:shd w:val="clear" w:color="auto" w:fill="FFFFFF"/>
        </w:rPr>
        <w:t>gospodarstwach 20% osób znajdujących się w najlepszej sytuacji dochodowej skumulowa</w:t>
      </w:r>
      <w:r w:rsidRPr="001A3D75">
        <w:rPr>
          <w:szCs w:val="19"/>
          <w:shd w:val="clear" w:color="auto" w:fill="FFFFFF"/>
        </w:rPr>
        <w:t>nych było 38,</w:t>
      </w:r>
      <w:r w:rsidR="00A411EE">
        <w:rPr>
          <w:szCs w:val="19"/>
          <w:shd w:val="clear" w:color="auto" w:fill="FFFFFF"/>
        </w:rPr>
        <w:t>8</w:t>
      </w:r>
      <w:r w:rsidR="00764D9C" w:rsidRPr="001A3D75">
        <w:rPr>
          <w:szCs w:val="19"/>
          <w:shd w:val="clear" w:color="auto" w:fill="FFFFFF"/>
        </w:rPr>
        <w:t>% dochodów całej badanej zbiorowości gospodarstw domowych (</w:t>
      </w:r>
      <w:r w:rsidRPr="001A3D75">
        <w:rPr>
          <w:szCs w:val="19"/>
          <w:shd w:val="clear" w:color="auto" w:fill="FFFFFF"/>
        </w:rPr>
        <w:t>w 201</w:t>
      </w:r>
      <w:r w:rsidR="00A411EE">
        <w:rPr>
          <w:szCs w:val="19"/>
          <w:shd w:val="clear" w:color="auto" w:fill="FFFFFF"/>
        </w:rPr>
        <w:t>9</w:t>
      </w:r>
      <w:r w:rsidR="002C4152" w:rsidRPr="001A3D75">
        <w:rPr>
          <w:szCs w:val="19"/>
          <w:shd w:val="clear" w:color="auto" w:fill="FFFFFF"/>
        </w:rPr>
        <w:t xml:space="preserve"> r. </w:t>
      </w:r>
      <w:r w:rsidR="00B40B6A">
        <w:rPr>
          <w:szCs w:val="19"/>
          <w:shd w:val="clear" w:color="auto" w:fill="FFFFFF"/>
        </w:rPr>
        <w:br/>
      </w:r>
      <w:r w:rsidR="005C13CD" w:rsidRPr="001A3D75">
        <w:rPr>
          <w:szCs w:val="19"/>
          <w:shd w:val="clear" w:color="auto" w:fill="FFFFFF"/>
        </w:rPr>
        <w:t xml:space="preserve">– </w:t>
      </w:r>
      <w:r w:rsidRPr="001A3D75">
        <w:rPr>
          <w:szCs w:val="19"/>
          <w:shd w:val="clear" w:color="auto" w:fill="FFFFFF"/>
        </w:rPr>
        <w:t>38,</w:t>
      </w:r>
      <w:r w:rsidR="00A411EE">
        <w:rPr>
          <w:szCs w:val="19"/>
          <w:shd w:val="clear" w:color="auto" w:fill="FFFFFF"/>
        </w:rPr>
        <w:t>3</w:t>
      </w:r>
      <w:r w:rsidR="00C821D3" w:rsidRPr="001A3D75">
        <w:rPr>
          <w:szCs w:val="19"/>
          <w:shd w:val="clear" w:color="auto" w:fill="FFFFFF"/>
        </w:rPr>
        <w:t>%</w:t>
      </w:r>
      <w:r w:rsidR="002C4152" w:rsidRPr="001A3D75">
        <w:rPr>
          <w:szCs w:val="19"/>
          <w:shd w:val="clear" w:color="auto" w:fill="FFFFFF"/>
        </w:rPr>
        <w:t>)</w:t>
      </w:r>
      <w:r w:rsidR="00B5591A" w:rsidRPr="001A3D75">
        <w:rPr>
          <w:szCs w:val="19"/>
          <w:shd w:val="clear" w:color="auto" w:fill="FFFFFF"/>
        </w:rPr>
        <w:t>,</w:t>
      </w:r>
      <w:r w:rsidR="00C821D3" w:rsidRPr="001A3D75">
        <w:rPr>
          <w:szCs w:val="19"/>
          <w:shd w:val="clear" w:color="auto" w:fill="FFFFFF"/>
        </w:rPr>
        <w:t xml:space="preserve"> </w:t>
      </w:r>
      <w:r w:rsidR="00B5591A" w:rsidRPr="001A3D75">
        <w:rPr>
          <w:szCs w:val="19"/>
          <w:shd w:val="clear" w:color="auto" w:fill="FFFFFF"/>
        </w:rPr>
        <w:t>natomiast</w:t>
      </w:r>
      <w:r w:rsidR="00764D9C" w:rsidRPr="001A3D75">
        <w:rPr>
          <w:szCs w:val="19"/>
          <w:shd w:val="clear" w:color="auto" w:fill="FFFFFF"/>
        </w:rPr>
        <w:t xml:space="preserve"> w gospodarstwach 20% osób pozosta</w:t>
      </w:r>
      <w:r w:rsidR="00AD49E7" w:rsidRPr="001A3D75">
        <w:rPr>
          <w:szCs w:val="19"/>
          <w:shd w:val="clear" w:color="auto" w:fill="FFFFFF"/>
        </w:rPr>
        <w:t>jących w najgor</w:t>
      </w:r>
      <w:r w:rsidR="00D03AE3" w:rsidRPr="001A3D75">
        <w:rPr>
          <w:szCs w:val="19"/>
          <w:shd w:val="clear" w:color="auto" w:fill="FFFFFF"/>
        </w:rPr>
        <w:t>szej sytuacji – 7,</w:t>
      </w:r>
      <w:r w:rsidR="008E0021">
        <w:rPr>
          <w:szCs w:val="19"/>
          <w:shd w:val="clear" w:color="auto" w:fill="FFFFFF"/>
        </w:rPr>
        <w:t>0</w:t>
      </w:r>
      <w:r w:rsidR="00D03AE3" w:rsidRPr="001A3D75">
        <w:rPr>
          <w:szCs w:val="19"/>
          <w:shd w:val="clear" w:color="auto" w:fill="FFFFFF"/>
        </w:rPr>
        <w:t>% (w</w:t>
      </w:r>
      <w:r w:rsidR="00BF6E08" w:rsidRPr="001A3D75">
        <w:rPr>
          <w:szCs w:val="19"/>
          <w:shd w:val="clear" w:color="auto" w:fill="FFFFFF"/>
        </w:rPr>
        <w:t> </w:t>
      </w:r>
      <w:r w:rsidR="00D03AE3" w:rsidRPr="001A3D75">
        <w:rPr>
          <w:szCs w:val="19"/>
          <w:shd w:val="clear" w:color="auto" w:fill="FFFFFF"/>
        </w:rPr>
        <w:t>201</w:t>
      </w:r>
      <w:r w:rsidR="008E0021">
        <w:rPr>
          <w:szCs w:val="19"/>
          <w:shd w:val="clear" w:color="auto" w:fill="FFFFFF"/>
        </w:rPr>
        <w:t>9</w:t>
      </w:r>
      <w:r w:rsidR="00764D9C" w:rsidRPr="001A3D75">
        <w:rPr>
          <w:szCs w:val="19"/>
          <w:shd w:val="clear" w:color="auto" w:fill="FFFFFF"/>
        </w:rPr>
        <w:t xml:space="preserve"> r. – </w:t>
      </w:r>
      <w:r w:rsidR="00D03AE3" w:rsidRPr="001A3D75">
        <w:rPr>
          <w:szCs w:val="19"/>
          <w:shd w:val="clear" w:color="auto" w:fill="FFFFFF"/>
        </w:rPr>
        <w:t>7,</w:t>
      </w:r>
      <w:r w:rsidR="008E0021">
        <w:rPr>
          <w:szCs w:val="19"/>
          <w:shd w:val="clear" w:color="auto" w:fill="FFFFFF"/>
        </w:rPr>
        <w:t>8</w:t>
      </w:r>
      <w:r w:rsidR="00764D9C" w:rsidRPr="001A3D75">
        <w:rPr>
          <w:szCs w:val="19"/>
          <w:shd w:val="clear" w:color="auto" w:fill="FFFFFF"/>
        </w:rPr>
        <w:t xml:space="preserve">%). Różnica dochodów skumulowanych pomiędzy skrajnymi grupami </w:t>
      </w:r>
      <w:proofErr w:type="spellStart"/>
      <w:r w:rsidR="00764D9C" w:rsidRPr="001A3D75">
        <w:rPr>
          <w:szCs w:val="19"/>
          <w:shd w:val="clear" w:color="auto" w:fill="FFFFFF"/>
        </w:rPr>
        <w:t>kwintyl</w:t>
      </w:r>
      <w:r w:rsidR="008E0021">
        <w:rPr>
          <w:szCs w:val="19"/>
          <w:shd w:val="clear" w:color="auto" w:fill="FFFFFF"/>
        </w:rPr>
        <w:t>o</w:t>
      </w:r>
      <w:r w:rsidR="00764D9C" w:rsidRPr="001A3D75">
        <w:rPr>
          <w:szCs w:val="19"/>
          <w:shd w:val="clear" w:color="auto" w:fill="FFFFFF"/>
        </w:rPr>
        <w:t>wymi</w:t>
      </w:r>
      <w:proofErr w:type="spellEnd"/>
      <w:r w:rsidR="00764D9C" w:rsidRPr="001A3D75">
        <w:rPr>
          <w:szCs w:val="19"/>
          <w:shd w:val="clear" w:color="auto" w:fill="FFFFFF"/>
        </w:rPr>
        <w:t xml:space="preserve"> </w:t>
      </w:r>
      <w:r w:rsidR="008E0021">
        <w:rPr>
          <w:szCs w:val="19"/>
          <w:shd w:val="clear" w:color="auto" w:fill="FFFFFF"/>
        </w:rPr>
        <w:t>wzrosła</w:t>
      </w:r>
      <w:r w:rsidR="00764D9C" w:rsidRPr="001A3D75">
        <w:rPr>
          <w:szCs w:val="19"/>
          <w:shd w:val="clear" w:color="auto" w:fill="FFFFFF"/>
        </w:rPr>
        <w:t xml:space="preserve"> o </w:t>
      </w:r>
      <w:r w:rsidR="008E0021">
        <w:rPr>
          <w:szCs w:val="19"/>
          <w:shd w:val="clear" w:color="auto" w:fill="FFFFFF"/>
        </w:rPr>
        <w:t>1,</w:t>
      </w:r>
      <w:r w:rsidR="00874735">
        <w:rPr>
          <w:szCs w:val="19"/>
          <w:shd w:val="clear" w:color="auto" w:fill="FFFFFF"/>
        </w:rPr>
        <w:t>3</w:t>
      </w:r>
      <w:r w:rsidR="00764D9C" w:rsidRPr="001A3D75">
        <w:rPr>
          <w:szCs w:val="19"/>
          <w:shd w:val="clear" w:color="auto" w:fill="FFFFFF"/>
        </w:rPr>
        <w:t xml:space="preserve"> p. proc. do </w:t>
      </w:r>
      <w:r w:rsidR="008E0021">
        <w:rPr>
          <w:szCs w:val="19"/>
          <w:shd w:val="clear" w:color="auto" w:fill="FFFFFF"/>
        </w:rPr>
        <w:t>31</w:t>
      </w:r>
      <w:r w:rsidR="00874735">
        <w:rPr>
          <w:szCs w:val="19"/>
          <w:shd w:val="clear" w:color="auto" w:fill="FFFFFF"/>
        </w:rPr>
        <w:t>,8</w:t>
      </w:r>
      <w:r w:rsidR="00764D9C" w:rsidRPr="001A3D75">
        <w:rPr>
          <w:szCs w:val="19"/>
          <w:shd w:val="clear" w:color="auto" w:fill="FFFFFF"/>
        </w:rPr>
        <w:t xml:space="preserve"> p. proc.</w:t>
      </w:r>
      <w:r w:rsidR="00B76AB2">
        <w:rPr>
          <w:szCs w:val="19"/>
          <w:shd w:val="clear" w:color="auto" w:fill="FFFFFF"/>
        </w:rPr>
        <w:t xml:space="preserve"> </w:t>
      </w:r>
    </w:p>
    <w:p w14:paraId="0FB955DE" w14:textId="4EC4F873" w:rsidR="00FE1D52" w:rsidRDefault="00123F7B" w:rsidP="00E65ED8">
      <w:pPr>
        <w:rPr>
          <w:spacing w:val="-3"/>
          <w:szCs w:val="19"/>
          <w:shd w:val="clear" w:color="auto" w:fill="FFFFFF"/>
        </w:rPr>
      </w:pPr>
      <w:r w:rsidRPr="00D03AE3">
        <w:rPr>
          <w:spacing w:val="-2"/>
          <w:szCs w:val="19"/>
          <w:shd w:val="clear" w:color="auto" w:fill="FFFFFF"/>
        </w:rPr>
        <w:t>Przeciętne</w:t>
      </w:r>
      <w:r w:rsidRPr="00D03AE3">
        <w:rPr>
          <w:spacing w:val="-3"/>
          <w:szCs w:val="19"/>
          <w:shd w:val="clear" w:color="auto" w:fill="FFFFFF"/>
        </w:rPr>
        <w:t xml:space="preserve"> miesięczne wydatki na 1 osobę w V grupie </w:t>
      </w:r>
      <w:proofErr w:type="spellStart"/>
      <w:r w:rsidRPr="00D03AE3">
        <w:rPr>
          <w:spacing w:val="-3"/>
          <w:szCs w:val="19"/>
          <w:shd w:val="clear" w:color="auto" w:fill="FFFFFF"/>
        </w:rPr>
        <w:t>kwintylowej</w:t>
      </w:r>
      <w:proofErr w:type="spellEnd"/>
      <w:r w:rsidRPr="00D03AE3">
        <w:rPr>
          <w:spacing w:val="-3"/>
          <w:szCs w:val="19"/>
          <w:shd w:val="clear" w:color="auto" w:fill="FFFFFF"/>
        </w:rPr>
        <w:t xml:space="preserve"> były 2,</w:t>
      </w:r>
      <w:r>
        <w:rPr>
          <w:spacing w:val="-3"/>
          <w:szCs w:val="19"/>
          <w:shd w:val="clear" w:color="auto" w:fill="FFFFFF"/>
        </w:rPr>
        <w:t>3</w:t>
      </w:r>
      <w:r w:rsidRPr="00D03AE3">
        <w:rPr>
          <w:spacing w:val="-3"/>
          <w:szCs w:val="19"/>
          <w:shd w:val="clear" w:color="auto" w:fill="FFFFFF"/>
        </w:rPr>
        <w:t xml:space="preserve"> </w:t>
      </w:r>
      <w:proofErr w:type="spellStart"/>
      <w:r w:rsidRPr="00D03AE3">
        <w:rPr>
          <w:spacing w:val="-3"/>
          <w:szCs w:val="19"/>
          <w:shd w:val="clear" w:color="auto" w:fill="FFFFFF"/>
        </w:rPr>
        <w:t>raza</w:t>
      </w:r>
      <w:proofErr w:type="spellEnd"/>
      <w:r w:rsidRPr="00D03AE3">
        <w:rPr>
          <w:spacing w:val="-3"/>
          <w:szCs w:val="19"/>
          <w:shd w:val="clear" w:color="auto" w:fill="FFFFFF"/>
        </w:rPr>
        <w:t xml:space="preserve"> wyższe niż w I grupie </w:t>
      </w:r>
      <w:proofErr w:type="spellStart"/>
      <w:r w:rsidRPr="00D03AE3">
        <w:rPr>
          <w:spacing w:val="-3"/>
          <w:szCs w:val="19"/>
          <w:shd w:val="clear" w:color="auto" w:fill="FFFFFF"/>
        </w:rPr>
        <w:t>kwintylowej</w:t>
      </w:r>
      <w:proofErr w:type="spellEnd"/>
      <w:r w:rsidR="00A55889">
        <w:rPr>
          <w:spacing w:val="-3"/>
          <w:szCs w:val="19"/>
          <w:shd w:val="clear" w:color="auto" w:fill="FFFFFF"/>
        </w:rPr>
        <w:t xml:space="preserve"> (w 2019 r. – 2,6 </w:t>
      </w:r>
      <w:proofErr w:type="spellStart"/>
      <w:r w:rsidR="00A55889">
        <w:rPr>
          <w:spacing w:val="-3"/>
          <w:szCs w:val="19"/>
          <w:shd w:val="clear" w:color="auto" w:fill="FFFFFF"/>
        </w:rPr>
        <w:t>raza</w:t>
      </w:r>
      <w:proofErr w:type="spellEnd"/>
      <w:r w:rsidR="00A55889">
        <w:rPr>
          <w:spacing w:val="-3"/>
          <w:szCs w:val="19"/>
          <w:shd w:val="clear" w:color="auto" w:fill="FFFFFF"/>
        </w:rPr>
        <w:t xml:space="preserve"> w</w:t>
      </w:r>
      <w:r w:rsidR="002E3462">
        <w:rPr>
          <w:spacing w:val="-3"/>
          <w:szCs w:val="19"/>
          <w:shd w:val="clear" w:color="auto" w:fill="FFFFFF"/>
        </w:rPr>
        <w:t>yższe)</w:t>
      </w:r>
      <w:r w:rsidRPr="00D03AE3">
        <w:rPr>
          <w:spacing w:val="-3"/>
          <w:szCs w:val="19"/>
          <w:shd w:val="clear" w:color="auto" w:fill="FFFFFF"/>
        </w:rPr>
        <w:t xml:space="preserve">. Udział wydatków w dochodzie rozporządzalnym w najwyższej grupie </w:t>
      </w:r>
      <w:proofErr w:type="spellStart"/>
      <w:r w:rsidRPr="00D03AE3">
        <w:rPr>
          <w:spacing w:val="-3"/>
          <w:szCs w:val="19"/>
          <w:shd w:val="clear" w:color="auto" w:fill="FFFFFF"/>
        </w:rPr>
        <w:t>kwintylowej</w:t>
      </w:r>
      <w:proofErr w:type="spellEnd"/>
      <w:r w:rsidRPr="00D03AE3">
        <w:rPr>
          <w:spacing w:val="-3"/>
          <w:szCs w:val="19"/>
          <w:shd w:val="clear" w:color="auto" w:fill="FFFFFF"/>
        </w:rPr>
        <w:t xml:space="preserve"> wyniósł </w:t>
      </w:r>
      <w:r>
        <w:rPr>
          <w:spacing w:val="-3"/>
          <w:szCs w:val="19"/>
          <w:shd w:val="clear" w:color="auto" w:fill="FFFFFF"/>
        </w:rPr>
        <w:t>51,8</w:t>
      </w:r>
      <w:r w:rsidRPr="00D03AE3">
        <w:rPr>
          <w:spacing w:val="-3"/>
          <w:szCs w:val="19"/>
          <w:shd w:val="clear" w:color="auto" w:fill="FFFFFF"/>
        </w:rPr>
        <w:t xml:space="preserve">%, a w najniższej – </w:t>
      </w:r>
      <w:r>
        <w:rPr>
          <w:spacing w:val="-3"/>
          <w:szCs w:val="19"/>
          <w:shd w:val="clear" w:color="auto" w:fill="FFFFFF"/>
        </w:rPr>
        <w:t>126,5</w:t>
      </w:r>
      <w:r w:rsidRPr="00D03AE3">
        <w:rPr>
          <w:spacing w:val="-3"/>
          <w:szCs w:val="19"/>
          <w:shd w:val="clear" w:color="auto" w:fill="FFFFFF"/>
        </w:rPr>
        <w:t>%</w:t>
      </w:r>
      <w:r>
        <w:rPr>
          <w:spacing w:val="-3"/>
          <w:szCs w:val="19"/>
          <w:shd w:val="clear" w:color="auto" w:fill="FFFFFF"/>
        </w:rPr>
        <w:t>.</w:t>
      </w:r>
      <w:r w:rsidRPr="00D03AE3">
        <w:rPr>
          <w:spacing w:val="-3"/>
          <w:szCs w:val="19"/>
          <w:shd w:val="clear" w:color="auto" w:fill="FFFFFF"/>
        </w:rPr>
        <w:t xml:space="preserve"> </w:t>
      </w:r>
      <w:r>
        <w:rPr>
          <w:spacing w:val="-3"/>
          <w:szCs w:val="19"/>
          <w:shd w:val="clear" w:color="auto" w:fill="FFFFFF"/>
        </w:rPr>
        <w:t>Podobnie jak w la</w:t>
      </w:r>
      <w:r>
        <w:rPr>
          <w:spacing w:val="-3"/>
          <w:szCs w:val="19"/>
          <w:shd w:val="clear" w:color="auto" w:fill="FFFFFF"/>
        </w:rPr>
        <w:lastRenderedPageBreak/>
        <w:t xml:space="preserve">tach poprzednich, </w:t>
      </w:r>
      <w:r w:rsidRPr="00D03AE3">
        <w:rPr>
          <w:spacing w:val="-3"/>
          <w:szCs w:val="19"/>
          <w:shd w:val="clear" w:color="auto" w:fill="FFFFFF"/>
        </w:rPr>
        <w:t>gospodarstwa najbiedniejsze nadal były zmuszone korzystać ze swoich oszczędności lub pożyczek, czy</w:t>
      </w:r>
      <w:r>
        <w:rPr>
          <w:spacing w:val="-3"/>
          <w:szCs w:val="19"/>
          <w:shd w:val="clear" w:color="auto" w:fill="FFFFFF"/>
        </w:rPr>
        <w:t xml:space="preserve"> kredytów, i </w:t>
      </w:r>
      <w:r w:rsidRPr="00D03AE3">
        <w:rPr>
          <w:spacing w:val="-3"/>
          <w:szCs w:val="19"/>
          <w:shd w:val="clear" w:color="auto" w:fill="FFFFFF"/>
        </w:rPr>
        <w:t xml:space="preserve">to nawet w </w:t>
      </w:r>
      <w:r w:rsidR="0046539D">
        <w:rPr>
          <w:spacing w:val="-3"/>
          <w:szCs w:val="19"/>
          <w:shd w:val="clear" w:color="auto" w:fill="FFFFFF"/>
        </w:rPr>
        <w:t>większym</w:t>
      </w:r>
      <w:r w:rsidRPr="00D03AE3">
        <w:rPr>
          <w:spacing w:val="-3"/>
          <w:szCs w:val="19"/>
          <w:shd w:val="clear" w:color="auto" w:fill="FFFFFF"/>
        </w:rPr>
        <w:t xml:space="preserve"> stopniu</w:t>
      </w:r>
      <w:r>
        <w:rPr>
          <w:spacing w:val="-3"/>
          <w:szCs w:val="19"/>
          <w:shd w:val="clear" w:color="auto" w:fill="FFFFFF"/>
        </w:rPr>
        <w:t xml:space="preserve"> niż w 2019 r., w którym </w:t>
      </w:r>
      <w:r w:rsidR="00353DE2">
        <w:rPr>
          <w:spacing w:val="-3"/>
          <w:szCs w:val="19"/>
          <w:shd w:val="clear" w:color="auto" w:fill="FFFFFF"/>
        </w:rPr>
        <w:t>wydatki stanowiły</w:t>
      </w:r>
      <w:r>
        <w:rPr>
          <w:spacing w:val="-3"/>
          <w:szCs w:val="19"/>
          <w:shd w:val="clear" w:color="auto" w:fill="FFFFFF"/>
        </w:rPr>
        <w:t xml:space="preserve"> 112,6%</w:t>
      </w:r>
      <w:r w:rsidR="00353DE2">
        <w:rPr>
          <w:spacing w:val="-3"/>
          <w:szCs w:val="19"/>
          <w:shd w:val="clear" w:color="auto" w:fill="FFFFFF"/>
        </w:rPr>
        <w:t xml:space="preserve"> dochodów</w:t>
      </w:r>
      <w:r w:rsidRPr="00D03AE3">
        <w:rPr>
          <w:spacing w:val="-3"/>
          <w:szCs w:val="19"/>
          <w:shd w:val="clear" w:color="auto" w:fill="FFFFFF"/>
        </w:rPr>
        <w:t>.</w:t>
      </w:r>
    </w:p>
    <w:p w14:paraId="01B3E2CE" w14:textId="77777777" w:rsidR="0068241E" w:rsidRPr="003B33FE" w:rsidRDefault="0068241E" w:rsidP="00E65ED8">
      <w:pPr>
        <w:rPr>
          <w:i/>
          <w:spacing w:val="-2"/>
          <w:szCs w:val="19"/>
          <w:shd w:val="clear" w:color="auto" w:fill="FFFFFF"/>
        </w:rPr>
      </w:pPr>
    </w:p>
    <w:p w14:paraId="541FD6F4" w14:textId="77777777" w:rsidR="00764D9C" w:rsidRPr="003B33FE" w:rsidRDefault="00674978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51F7783E" wp14:editId="7D17C112">
            <wp:extent cx="5122545" cy="2879725"/>
            <wp:effectExtent l="0" t="0" r="1905" b="0"/>
            <wp:docPr id="21" name="Wykres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486218C" w14:textId="6A158479" w:rsidR="001F43F3" w:rsidRPr="00D03AE3" w:rsidRDefault="0068241E" w:rsidP="00764D9C">
      <w:pPr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4B3FCB11" wp14:editId="741C4B62">
                <wp:simplePos x="0" y="0"/>
                <wp:positionH relativeFrom="column">
                  <wp:posOffset>5210175</wp:posOffset>
                </wp:positionH>
                <wp:positionV relativeFrom="paragraph">
                  <wp:posOffset>101600</wp:posOffset>
                </wp:positionV>
                <wp:extent cx="1725295" cy="2190750"/>
                <wp:effectExtent l="0" t="0" r="0" b="0"/>
                <wp:wrapTight wrapText="bothSides">
                  <wp:wrapPolygon edited="0">
                    <wp:start x="715" y="0"/>
                    <wp:lineTo x="715" y="21412"/>
                    <wp:lineTo x="20749" y="21412"/>
                    <wp:lineTo x="20749" y="0"/>
                    <wp:lineTo x="715" y="0"/>
                  </wp:wrapPolygon>
                </wp:wrapTight>
                <wp:docPr id="215" name="Pole tekstow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F332E" w14:textId="77777777" w:rsidR="00E913EA" w:rsidRPr="005C7710" w:rsidRDefault="00E913EA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C7710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Przeciętny miesięczny dochód rozporządzalny na osobę w gospodarstwach domowych zamieszkujących miast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 był wyższy o 28,0% niż na wsi</w:t>
                            </w:r>
                          </w:p>
                          <w:p w14:paraId="68F94771" w14:textId="66383D48" w:rsidR="00E913EA" w:rsidRPr="00B31DA4" w:rsidRDefault="00E913EA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C7710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Przeciętne miesięczne wydatki na osobę w gospodarstwach domowych zamieszkujących miasta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były o 35,4% wyższe niż na wsi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CB11" id="Pole tekstowe 215" o:spid="_x0000_s1036" type="#_x0000_t202" style="position:absolute;margin-left:410.25pt;margin-top:8pt;width:135.85pt;height:172.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zaFAIAAAQEAAAOAAAAZHJzL2Uyb0RvYy54bWysU11v2yAUfZ+0/4B4X/yheGmsOFXXrtOk&#10;bqvU7QdgjGNU4DIgsbNfvwtO02h7m+YHBL7cc+8597C5nrQiB+G8BNPQYpFTIgyHTppdQ398v393&#10;RYkPzHRMgRENPQpPr7dv32xGW4sSBlCdcARBjK9H29AhBFtnmeeD0MwvwAqDwR6cZgGPbpd1jo2I&#10;rlVW5vn7bATXWQdceI9/7+Yg3Sb8vhc8fOt7LwJRDcXeQlpdWtu4ZtsNq3eO2UHyUxvsH7rQTBos&#10;eoa6Y4GRvZN/QWnJHXjow4KDzqDvJReJA7Ip8j/YPA3MisQFxfH2LJP/f7D86+HREdk1tCwqSgzT&#10;OKRHUIIE8ewDjILEAMo0Wl/j7SeL98P0ASYcd6Ls7QPwZ08M3A7M7MSNczAOgnXYZhEzs4vUGcdH&#10;kHb8Ah1WY/sACWjqnY4aoioE0XFcx/OIxBQIjyVXZVWusVOOsbJY56sqDTFj9Uu6dT58EqBJ3DTU&#10;oQcSPDs8+BDbYfXLlVjNwL1UKvlAGTI2dF2VVUq4iGgZ0KZK6oZe5fGbjRNZfjRdSg5MqnmPBZQ5&#10;0Y5MZ85haqckdJGSoyYtdEcUwsFsS3xGuBnA/aJkREs21P/cMycoUZ8Nirkulsvo4XRYVqsSD+4y&#10;0l5GmOEI1dBAyby9Dcn3M+cbFL2XSY7XTk49o9WSSqdnEb18eU63Xh/v9jcAAAD//wMAUEsDBBQA&#10;BgAIAAAAIQB0OosV3gAAAAsBAAAPAAAAZHJzL2Rvd25yZXYueG1sTI9BT8JAEIXvJvyHzZh4k12q&#10;NFC6JUTjVSOgCbelO7SN3dmmu9D67x1Ocpy8L2++l69H14oL9qHxpGE2VSCQSm8bqjTsd2+PCxAh&#10;GrKm9YQafjHAupjc5SazfqBPvGxjJbiEQmY01DF2mZShrNGZMPUdEmcn3zsT+ewraXszcLlrZaJU&#10;Kp1piD/UpsOXGsuf7dlp+Ho/Hb6f1Uf16ubd4EclyS2l1g/342YFIuIY/2G46rM6FOx09GeyQbQa&#10;FomaM8pBypuugFomCYijhqd0pkAWubzdUPwBAAD//wMAUEsBAi0AFAAGAAgAAAAhALaDOJL+AAAA&#10;4QEAABMAAAAAAAAAAAAAAAAAAAAAAFtDb250ZW50X1R5cGVzXS54bWxQSwECLQAUAAYACAAAACEA&#10;OP0h/9YAAACUAQAACwAAAAAAAAAAAAAAAAAvAQAAX3JlbHMvLnJlbHNQSwECLQAUAAYACAAAACEA&#10;aW9s2hQCAAAEBAAADgAAAAAAAAAAAAAAAAAuAgAAZHJzL2Uyb0RvYy54bWxQSwECLQAUAAYACAAA&#10;ACEAdDqLFd4AAAALAQAADwAAAAAAAAAAAAAAAABuBAAAZHJzL2Rvd25yZXYueG1sUEsFBgAAAAAE&#10;AAQA8wAAAHkFAAAAAA==&#10;" filled="f" stroked="f">
                <v:textbox>
                  <w:txbxContent>
                    <w:p w14:paraId="6DAF332E" w14:textId="77777777" w:rsidR="00E913EA" w:rsidRPr="005C7710" w:rsidRDefault="00E913EA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C7710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Przeciętny miesięczny dochód rozporządzalny na osobę w gospodarstwach domowych zamieszkujących miast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 był wyższy o 28,0% niż na wsi</w:t>
                      </w:r>
                    </w:p>
                    <w:p w14:paraId="68F94771" w14:textId="66383D48" w:rsidR="00E913EA" w:rsidRPr="00B31DA4" w:rsidRDefault="00E913EA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C7710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Przeciętne miesięczne wydatki na osobę w gospodarstwach domowych zamieszkujących miasta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były o 35,4% wyższe niż na wsi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C1E45C" w14:textId="7D84C8BA" w:rsidR="00764D9C" w:rsidRPr="00D03AE3" w:rsidRDefault="0031645A" w:rsidP="00764D9C">
      <w:pPr>
        <w:rPr>
          <w:spacing w:val="-2"/>
          <w:szCs w:val="19"/>
          <w:shd w:val="clear" w:color="auto" w:fill="FFFFFF"/>
        </w:rPr>
      </w:pPr>
      <w:r w:rsidRPr="00D03AE3">
        <w:rPr>
          <w:spacing w:val="-2"/>
          <w:szCs w:val="19"/>
          <w:shd w:val="clear" w:color="auto" w:fill="FFFFFF"/>
        </w:rPr>
        <w:t xml:space="preserve">Czynnikiem silnie różnicującym </w:t>
      </w:r>
      <w:r w:rsidR="00FF4F84" w:rsidRPr="00D03AE3">
        <w:rPr>
          <w:spacing w:val="-2"/>
          <w:szCs w:val="19"/>
          <w:shd w:val="clear" w:color="auto" w:fill="FFFFFF"/>
        </w:rPr>
        <w:t>dynamik</w:t>
      </w:r>
      <w:r w:rsidRPr="00D03AE3">
        <w:rPr>
          <w:spacing w:val="-2"/>
          <w:szCs w:val="19"/>
          <w:shd w:val="clear" w:color="auto" w:fill="FFFFFF"/>
        </w:rPr>
        <w:t>ę</w:t>
      </w:r>
      <w:r w:rsidR="00FF4F84" w:rsidRPr="00D03AE3">
        <w:rPr>
          <w:spacing w:val="-2"/>
          <w:szCs w:val="19"/>
          <w:shd w:val="clear" w:color="auto" w:fill="FFFFFF"/>
        </w:rPr>
        <w:t xml:space="preserve"> i struktur</w:t>
      </w:r>
      <w:r w:rsidRPr="00D03AE3">
        <w:rPr>
          <w:spacing w:val="-2"/>
          <w:szCs w:val="19"/>
          <w:shd w:val="clear" w:color="auto" w:fill="FFFFFF"/>
        </w:rPr>
        <w:t>ę</w:t>
      </w:r>
      <w:r w:rsidR="00764D9C" w:rsidRPr="00D03AE3">
        <w:rPr>
          <w:spacing w:val="-2"/>
          <w:szCs w:val="19"/>
          <w:shd w:val="clear" w:color="auto" w:fill="FFFFFF"/>
        </w:rPr>
        <w:t xml:space="preserve"> dochodów oraz wydatków gospodarstw domowych </w:t>
      </w:r>
      <w:r w:rsidRPr="00D03AE3">
        <w:rPr>
          <w:spacing w:val="-2"/>
          <w:szCs w:val="19"/>
          <w:shd w:val="clear" w:color="auto" w:fill="FFFFFF"/>
        </w:rPr>
        <w:t>jest miejsce zamieszkania.</w:t>
      </w:r>
      <w:r w:rsidR="00764D9C" w:rsidRPr="00D03AE3">
        <w:rPr>
          <w:spacing w:val="-2"/>
          <w:szCs w:val="19"/>
          <w:shd w:val="clear" w:color="auto" w:fill="FFFFFF"/>
        </w:rPr>
        <w:t xml:space="preserve"> </w:t>
      </w:r>
    </w:p>
    <w:p w14:paraId="11625180" w14:textId="578FEC1A" w:rsidR="00764D9C" w:rsidRDefault="00764D9C" w:rsidP="00764D9C">
      <w:pPr>
        <w:rPr>
          <w:spacing w:val="-2"/>
          <w:szCs w:val="19"/>
          <w:shd w:val="clear" w:color="auto" w:fill="FFFFFF"/>
        </w:rPr>
      </w:pPr>
      <w:r w:rsidRPr="005C7710">
        <w:rPr>
          <w:spacing w:val="-2"/>
          <w:szCs w:val="19"/>
          <w:shd w:val="clear" w:color="auto" w:fill="FFFFFF"/>
        </w:rPr>
        <w:t xml:space="preserve">Przeciętny miesięczny dochód rozporządzalny na osobę w gospodarstwach domowych zamieszkujących miasta był wyższy o </w:t>
      </w:r>
      <w:r w:rsidR="005C7710" w:rsidRPr="005C7710">
        <w:rPr>
          <w:spacing w:val="-2"/>
          <w:szCs w:val="19"/>
          <w:shd w:val="clear" w:color="auto" w:fill="FFFFFF"/>
        </w:rPr>
        <w:t>28,</w:t>
      </w:r>
      <w:r w:rsidR="00541EF7">
        <w:rPr>
          <w:spacing w:val="-2"/>
          <w:szCs w:val="19"/>
          <w:shd w:val="clear" w:color="auto" w:fill="FFFFFF"/>
        </w:rPr>
        <w:t>0</w:t>
      </w:r>
      <w:r w:rsidR="005C7710" w:rsidRPr="005C7710">
        <w:rPr>
          <w:spacing w:val="-2"/>
          <w:szCs w:val="19"/>
          <w:shd w:val="clear" w:color="auto" w:fill="FFFFFF"/>
        </w:rPr>
        <w:t>% niż na wsi (w 201</w:t>
      </w:r>
      <w:r w:rsidR="00541EF7">
        <w:rPr>
          <w:spacing w:val="-2"/>
          <w:szCs w:val="19"/>
          <w:shd w:val="clear" w:color="auto" w:fill="FFFFFF"/>
        </w:rPr>
        <w:t>9</w:t>
      </w:r>
      <w:r w:rsidR="005C7710" w:rsidRPr="005C7710">
        <w:rPr>
          <w:spacing w:val="-2"/>
          <w:szCs w:val="19"/>
          <w:shd w:val="clear" w:color="auto" w:fill="FFFFFF"/>
        </w:rPr>
        <w:t xml:space="preserve"> r. o </w:t>
      </w:r>
      <w:r w:rsidR="00541EF7">
        <w:rPr>
          <w:spacing w:val="-2"/>
          <w:szCs w:val="19"/>
          <w:shd w:val="clear" w:color="auto" w:fill="FFFFFF"/>
        </w:rPr>
        <w:t>28,4</w:t>
      </w:r>
      <w:r w:rsidRPr="005C7710">
        <w:rPr>
          <w:spacing w:val="-2"/>
          <w:szCs w:val="19"/>
          <w:shd w:val="clear" w:color="auto" w:fill="FFFFFF"/>
        </w:rPr>
        <w:t xml:space="preserve">%). Różnice </w:t>
      </w:r>
      <w:r w:rsidR="00671BFE" w:rsidRPr="005C7710">
        <w:rPr>
          <w:spacing w:val="-2"/>
          <w:szCs w:val="19"/>
          <w:shd w:val="clear" w:color="auto" w:fill="FFFFFF"/>
        </w:rPr>
        <w:t>te wynikały z </w:t>
      </w:r>
      <w:r w:rsidRPr="005C7710">
        <w:rPr>
          <w:spacing w:val="-2"/>
          <w:szCs w:val="19"/>
          <w:shd w:val="clear" w:color="auto" w:fill="FFFFFF"/>
        </w:rPr>
        <w:t xml:space="preserve">wysokości dochodów uzyskiwanych przez gospodarstwa domowe, </w:t>
      </w:r>
      <w:r w:rsidR="00FF4F84" w:rsidRPr="005C7710">
        <w:rPr>
          <w:spacing w:val="-2"/>
          <w:szCs w:val="19"/>
          <w:shd w:val="clear" w:color="auto" w:fill="FFFFFF"/>
        </w:rPr>
        <w:t>jak</w:t>
      </w:r>
      <w:r w:rsidRPr="005C7710">
        <w:rPr>
          <w:spacing w:val="-2"/>
          <w:szCs w:val="19"/>
          <w:shd w:val="clear" w:color="auto" w:fill="FFFFFF"/>
        </w:rPr>
        <w:t xml:space="preserve"> również związane </w:t>
      </w:r>
      <w:r w:rsidR="00FF4F84" w:rsidRPr="005C7710">
        <w:rPr>
          <w:spacing w:val="-2"/>
          <w:szCs w:val="19"/>
          <w:shd w:val="clear" w:color="auto" w:fill="FFFFFF"/>
        </w:rPr>
        <w:t xml:space="preserve">były </w:t>
      </w:r>
      <w:r w:rsidR="00671BFE" w:rsidRPr="005C7710">
        <w:rPr>
          <w:spacing w:val="-2"/>
          <w:szCs w:val="19"/>
          <w:shd w:val="clear" w:color="auto" w:fill="FFFFFF"/>
        </w:rPr>
        <w:t>z </w:t>
      </w:r>
      <w:r w:rsidRPr="005C7710">
        <w:rPr>
          <w:spacing w:val="-2"/>
          <w:szCs w:val="19"/>
          <w:shd w:val="clear" w:color="auto" w:fill="FFFFFF"/>
        </w:rPr>
        <w:t>większą liczbą osób wchodzących w skład gospodarstw domowych zamieszkujących wieś</w:t>
      </w:r>
      <w:bookmarkStart w:id="3" w:name="_Ref70498129"/>
      <w:r w:rsidR="00AF0D2A">
        <w:rPr>
          <w:rStyle w:val="Odwoanieprzypisudolnego"/>
          <w:spacing w:val="-2"/>
          <w:szCs w:val="19"/>
          <w:shd w:val="clear" w:color="auto" w:fill="FFFFFF"/>
        </w:rPr>
        <w:footnoteReference w:id="7"/>
      </w:r>
      <w:bookmarkEnd w:id="3"/>
      <w:r w:rsidRPr="005C7710">
        <w:rPr>
          <w:spacing w:val="-2"/>
          <w:szCs w:val="19"/>
          <w:shd w:val="clear" w:color="auto" w:fill="FFFFFF"/>
        </w:rPr>
        <w:t>. Po</w:t>
      </w:r>
      <w:r w:rsidR="00FF4F84" w:rsidRPr="005C7710">
        <w:rPr>
          <w:spacing w:val="-2"/>
          <w:szCs w:val="19"/>
          <w:shd w:val="clear" w:color="auto" w:fill="FFFFFF"/>
        </w:rPr>
        <w:t>dobnie wyglądała sytuacja</w:t>
      </w:r>
      <w:r w:rsidRPr="005C7710">
        <w:rPr>
          <w:spacing w:val="-2"/>
          <w:szCs w:val="19"/>
          <w:shd w:val="clear" w:color="auto" w:fill="FFFFFF"/>
        </w:rPr>
        <w:t xml:space="preserve"> w przypadku wydatków gospodarstw domowych. </w:t>
      </w:r>
      <w:r w:rsidR="00874735">
        <w:rPr>
          <w:spacing w:val="-2"/>
          <w:szCs w:val="19"/>
          <w:shd w:val="clear" w:color="auto" w:fill="FFFFFF"/>
        </w:rPr>
        <w:t>Przeciętne miesięczne w</w:t>
      </w:r>
      <w:r w:rsidRPr="005C7710">
        <w:rPr>
          <w:spacing w:val="-2"/>
          <w:szCs w:val="19"/>
          <w:shd w:val="clear" w:color="auto" w:fill="FFFFFF"/>
        </w:rPr>
        <w:t>ydatki na osobę w gospodarstwach domowych za</w:t>
      </w:r>
      <w:r w:rsidR="005C7710" w:rsidRPr="005C7710">
        <w:rPr>
          <w:spacing w:val="-2"/>
          <w:szCs w:val="19"/>
          <w:shd w:val="clear" w:color="auto" w:fill="FFFFFF"/>
        </w:rPr>
        <w:t xml:space="preserve">mieszkujących miasta były o </w:t>
      </w:r>
      <w:r w:rsidR="00541EF7">
        <w:rPr>
          <w:spacing w:val="-2"/>
          <w:szCs w:val="19"/>
          <w:shd w:val="clear" w:color="auto" w:fill="FFFFFF"/>
        </w:rPr>
        <w:t>35,4</w:t>
      </w:r>
      <w:r w:rsidR="00671BFE" w:rsidRPr="005C7710">
        <w:rPr>
          <w:spacing w:val="-2"/>
          <w:szCs w:val="19"/>
          <w:shd w:val="clear" w:color="auto" w:fill="FFFFFF"/>
        </w:rPr>
        <w:t>% wyższe niż na wsi (w </w:t>
      </w:r>
      <w:r w:rsidR="005C7710" w:rsidRPr="005C7710">
        <w:rPr>
          <w:spacing w:val="-2"/>
          <w:szCs w:val="19"/>
          <w:shd w:val="clear" w:color="auto" w:fill="FFFFFF"/>
        </w:rPr>
        <w:t>201</w:t>
      </w:r>
      <w:r w:rsidR="00541EF7">
        <w:rPr>
          <w:spacing w:val="-2"/>
          <w:szCs w:val="19"/>
          <w:shd w:val="clear" w:color="auto" w:fill="FFFFFF"/>
        </w:rPr>
        <w:t>9</w:t>
      </w:r>
      <w:r w:rsidRPr="005C7710">
        <w:rPr>
          <w:spacing w:val="-2"/>
          <w:szCs w:val="19"/>
          <w:shd w:val="clear" w:color="auto" w:fill="FFFFFF"/>
        </w:rPr>
        <w:t xml:space="preserve"> r. o</w:t>
      </w:r>
      <w:r w:rsidR="001E3B25">
        <w:rPr>
          <w:spacing w:val="-2"/>
          <w:szCs w:val="19"/>
          <w:shd w:val="clear" w:color="auto" w:fill="FFFFFF"/>
        </w:rPr>
        <w:t> </w:t>
      </w:r>
      <w:r w:rsidR="005C7710" w:rsidRPr="005C7710">
        <w:rPr>
          <w:spacing w:val="-2"/>
          <w:szCs w:val="19"/>
          <w:shd w:val="clear" w:color="auto" w:fill="FFFFFF"/>
        </w:rPr>
        <w:t>34,</w:t>
      </w:r>
      <w:r w:rsidR="00541EF7">
        <w:rPr>
          <w:spacing w:val="-2"/>
          <w:szCs w:val="19"/>
          <w:shd w:val="clear" w:color="auto" w:fill="FFFFFF"/>
        </w:rPr>
        <w:t>8</w:t>
      </w:r>
      <w:r w:rsidRPr="005C7710">
        <w:rPr>
          <w:spacing w:val="-2"/>
          <w:szCs w:val="19"/>
          <w:shd w:val="clear" w:color="auto" w:fill="FFFFFF"/>
        </w:rPr>
        <w:t>%).</w:t>
      </w:r>
    </w:p>
    <w:p w14:paraId="03DD5832" w14:textId="77777777" w:rsidR="00683DE7" w:rsidRPr="005C7710" w:rsidRDefault="00683DE7" w:rsidP="00764D9C">
      <w:pPr>
        <w:rPr>
          <w:spacing w:val="-2"/>
          <w:szCs w:val="19"/>
          <w:shd w:val="clear" w:color="auto" w:fill="FFFFFF"/>
        </w:rPr>
      </w:pPr>
    </w:p>
    <w:p w14:paraId="5D8D2E95" w14:textId="77777777" w:rsidR="00D04BE9" w:rsidRPr="003B33FE" w:rsidRDefault="00674978" w:rsidP="00683DE7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695E253D" wp14:editId="1307B36A">
            <wp:extent cx="5122545" cy="3131820"/>
            <wp:effectExtent l="0" t="0" r="1905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C4101B8" w14:textId="77777777" w:rsidR="00764D9C" w:rsidRPr="003B33FE" w:rsidRDefault="00764D9C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</w:p>
    <w:p w14:paraId="4E4FD92F" w14:textId="0B2D7E11" w:rsidR="00764D9C" w:rsidRPr="00234CD1" w:rsidRDefault="002E3462" w:rsidP="00764D9C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lastRenderedPageBreak/>
        <w:t>W ujęciu terytorialnym</w:t>
      </w:r>
      <w:r w:rsidR="00A51E94" w:rsidRPr="00234CD1">
        <w:rPr>
          <w:szCs w:val="19"/>
          <w:shd w:val="clear" w:color="auto" w:fill="FFFFFF"/>
        </w:rPr>
        <w:t xml:space="preserve"> dochód </w:t>
      </w:r>
      <w:r w:rsidR="00764D9C" w:rsidRPr="00234CD1">
        <w:rPr>
          <w:szCs w:val="19"/>
          <w:shd w:val="clear" w:color="auto" w:fill="FFFFFF"/>
        </w:rPr>
        <w:t>wyższy od średniej krajowej wystąpił w województwach: m</w:t>
      </w:r>
      <w:r w:rsidR="000A4CAA" w:rsidRPr="00234CD1">
        <w:rPr>
          <w:szCs w:val="19"/>
          <w:shd w:val="clear" w:color="auto" w:fill="FFFFFF"/>
        </w:rPr>
        <w:t>azowiec</w:t>
      </w:r>
      <w:r w:rsidR="00A51E94" w:rsidRPr="00234CD1">
        <w:rPr>
          <w:szCs w:val="19"/>
          <w:shd w:val="clear" w:color="auto" w:fill="FFFFFF"/>
        </w:rPr>
        <w:t>ki</w:t>
      </w:r>
      <w:r w:rsidR="0031645A" w:rsidRPr="00234CD1">
        <w:rPr>
          <w:szCs w:val="19"/>
          <w:shd w:val="clear" w:color="auto" w:fill="FFFFFF"/>
        </w:rPr>
        <w:t>m</w:t>
      </w:r>
      <w:r w:rsidR="000A4CAA" w:rsidRPr="00234CD1">
        <w:rPr>
          <w:szCs w:val="19"/>
          <w:shd w:val="clear" w:color="auto" w:fill="FFFFFF"/>
        </w:rPr>
        <w:t xml:space="preserve">, </w:t>
      </w:r>
      <w:r w:rsidR="006C621F" w:rsidRPr="00234CD1">
        <w:rPr>
          <w:szCs w:val="19"/>
          <w:shd w:val="clear" w:color="auto" w:fill="FFFFFF"/>
        </w:rPr>
        <w:t>śląskim</w:t>
      </w:r>
      <w:r w:rsidR="006C621F">
        <w:rPr>
          <w:szCs w:val="19"/>
          <w:shd w:val="clear" w:color="auto" w:fill="FFFFFF"/>
        </w:rPr>
        <w:t>,</w:t>
      </w:r>
      <w:r w:rsidR="006C621F" w:rsidRPr="00234CD1">
        <w:rPr>
          <w:szCs w:val="19"/>
          <w:shd w:val="clear" w:color="auto" w:fill="FFFFFF"/>
        </w:rPr>
        <w:t xml:space="preserve"> </w:t>
      </w:r>
      <w:r w:rsidR="009F0BAB">
        <w:rPr>
          <w:szCs w:val="19"/>
          <w:shd w:val="clear" w:color="auto" w:fill="FFFFFF"/>
        </w:rPr>
        <w:t xml:space="preserve">dolnośląskim, </w:t>
      </w:r>
      <w:r w:rsidR="006C621F">
        <w:rPr>
          <w:szCs w:val="19"/>
          <w:shd w:val="clear" w:color="auto" w:fill="FFFFFF"/>
        </w:rPr>
        <w:t xml:space="preserve">lubuskim </w:t>
      </w:r>
      <w:r w:rsidR="00234CD1" w:rsidRPr="00234CD1">
        <w:rPr>
          <w:szCs w:val="19"/>
          <w:shd w:val="clear" w:color="auto" w:fill="FFFFFF"/>
        </w:rPr>
        <w:t xml:space="preserve">i </w:t>
      </w:r>
      <w:r w:rsidR="006C621F">
        <w:rPr>
          <w:szCs w:val="19"/>
          <w:shd w:val="clear" w:color="auto" w:fill="FFFFFF"/>
        </w:rPr>
        <w:t>podlaskim</w:t>
      </w:r>
      <w:r w:rsidR="00234CD1" w:rsidRPr="00234CD1">
        <w:rPr>
          <w:szCs w:val="19"/>
          <w:shd w:val="clear" w:color="auto" w:fill="FFFFFF"/>
        </w:rPr>
        <w:t>.</w:t>
      </w:r>
      <w:r w:rsidR="00764D9C" w:rsidRPr="00234CD1">
        <w:rPr>
          <w:szCs w:val="19"/>
          <w:shd w:val="clear" w:color="auto" w:fill="FFFFFF"/>
        </w:rPr>
        <w:t xml:space="preserve"> </w:t>
      </w:r>
      <w:r w:rsidR="00A51E94" w:rsidRPr="00234CD1">
        <w:rPr>
          <w:szCs w:val="19"/>
          <w:shd w:val="clear" w:color="auto" w:fill="FFFFFF"/>
        </w:rPr>
        <w:t>Tak</w:t>
      </w:r>
      <w:r w:rsidR="00764D9C" w:rsidRPr="00234CD1">
        <w:rPr>
          <w:szCs w:val="19"/>
          <w:shd w:val="clear" w:color="auto" w:fill="FFFFFF"/>
        </w:rPr>
        <w:t xml:space="preserve"> jak w roku poprzednim, zdecydowanie najwyższ</w:t>
      </w:r>
      <w:r w:rsidR="00A51E94" w:rsidRPr="00234CD1">
        <w:rPr>
          <w:szCs w:val="19"/>
          <w:shd w:val="clear" w:color="auto" w:fill="FFFFFF"/>
        </w:rPr>
        <w:t>e</w:t>
      </w:r>
      <w:r w:rsidR="00764D9C" w:rsidRPr="00234CD1">
        <w:rPr>
          <w:szCs w:val="19"/>
          <w:shd w:val="clear" w:color="auto" w:fill="FFFFFF"/>
        </w:rPr>
        <w:t xml:space="preserve"> przeciętn</w:t>
      </w:r>
      <w:r w:rsidR="00A51E94" w:rsidRPr="00234CD1">
        <w:rPr>
          <w:szCs w:val="19"/>
          <w:shd w:val="clear" w:color="auto" w:fill="FFFFFF"/>
        </w:rPr>
        <w:t>e</w:t>
      </w:r>
      <w:r w:rsidR="00764D9C" w:rsidRPr="00234CD1">
        <w:rPr>
          <w:szCs w:val="19"/>
          <w:shd w:val="clear" w:color="auto" w:fill="FFFFFF"/>
        </w:rPr>
        <w:t xml:space="preserve"> dochod</w:t>
      </w:r>
      <w:r w:rsidR="00A51E94" w:rsidRPr="00234CD1">
        <w:rPr>
          <w:szCs w:val="19"/>
          <w:shd w:val="clear" w:color="auto" w:fill="FFFFFF"/>
        </w:rPr>
        <w:t>y</w:t>
      </w:r>
      <w:r w:rsidR="00764D9C" w:rsidRPr="00234CD1">
        <w:rPr>
          <w:szCs w:val="19"/>
          <w:shd w:val="clear" w:color="auto" w:fill="FFFFFF"/>
        </w:rPr>
        <w:t xml:space="preserve"> na 1 osobę </w:t>
      </w:r>
      <w:r w:rsidR="00A51E94" w:rsidRPr="00234CD1">
        <w:rPr>
          <w:szCs w:val="19"/>
          <w:shd w:val="clear" w:color="auto" w:fill="FFFFFF"/>
        </w:rPr>
        <w:t>wykazy</w:t>
      </w:r>
      <w:r w:rsidR="00764D9C" w:rsidRPr="00234CD1">
        <w:rPr>
          <w:szCs w:val="19"/>
          <w:shd w:val="clear" w:color="auto" w:fill="FFFFFF"/>
        </w:rPr>
        <w:t>wały gospodarstwa domowe z województwa mazow</w:t>
      </w:r>
      <w:r w:rsidR="00A8595F" w:rsidRPr="00234CD1">
        <w:rPr>
          <w:szCs w:val="19"/>
          <w:shd w:val="clear" w:color="auto" w:fill="FFFFFF"/>
        </w:rPr>
        <w:t xml:space="preserve">ieckiego </w:t>
      </w:r>
      <w:r w:rsidR="00A8595F" w:rsidRPr="001C65E7">
        <w:rPr>
          <w:szCs w:val="19"/>
          <w:shd w:val="clear" w:color="auto" w:fill="FFFFFF"/>
        </w:rPr>
        <w:t>(</w:t>
      </w:r>
      <w:r w:rsidR="006C621F">
        <w:rPr>
          <w:szCs w:val="19"/>
          <w:shd w:val="clear" w:color="auto" w:fill="FFFFFF"/>
        </w:rPr>
        <w:t>2241</w:t>
      </w:r>
      <w:r w:rsidR="00A8595F" w:rsidRPr="001C65E7">
        <w:rPr>
          <w:szCs w:val="19"/>
          <w:shd w:val="clear" w:color="auto" w:fill="FFFFFF"/>
        </w:rPr>
        <w:t xml:space="preserve"> zł)</w:t>
      </w:r>
      <w:r w:rsidR="00A51E94" w:rsidRPr="001C65E7">
        <w:rPr>
          <w:szCs w:val="19"/>
          <w:shd w:val="clear" w:color="auto" w:fill="FFFFFF"/>
        </w:rPr>
        <w:t>. Dochody te</w:t>
      </w:r>
      <w:r w:rsidR="00A8595F" w:rsidRPr="001C65E7">
        <w:rPr>
          <w:szCs w:val="19"/>
          <w:shd w:val="clear" w:color="auto" w:fill="FFFFFF"/>
        </w:rPr>
        <w:t xml:space="preserve"> były </w:t>
      </w:r>
      <w:r w:rsidR="00A51E94" w:rsidRPr="001C65E7">
        <w:rPr>
          <w:szCs w:val="19"/>
          <w:shd w:val="clear" w:color="auto" w:fill="FFFFFF"/>
        </w:rPr>
        <w:t xml:space="preserve">wyższe </w:t>
      </w:r>
      <w:r w:rsidR="00F01D0F" w:rsidRPr="001C65E7">
        <w:rPr>
          <w:szCs w:val="19"/>
          <w:shd w:val="clear" w:color="auto" w:fill="FFFFFF"/>
        </w:rPr>
        <w:t xml:space="preserve">niż przeciętny krajowy dochód na osobę </w:t>
      </w:r>
      <w:r w:rsidR="00A8595F" w:rsidRPr="001C65E7">
        <w:rPr>
          <w:szCs w:val="19"/>
          <w:shd w:val="clear" w:color="auto" w:fill="FFFFFF"/>
        </w:rPr>
        <w:t>o </w:t>
      </w:r>
      <w:r w:rsidR="006C621F">
        <w:rPr>
          <w:szCs w:val="19"/>
          <w:shd w:val="clear" w:color="auto" w:fill="FFFFFF"/>
        </w:rPr>
        <w:t>16,</w:t>
      </w:r>
      <w:r w:rsidR="00334910">
        <w:rPr>
          <w:szCs w:val="19"/>
          <w:shd w:val="clear" w:color="auto" w:fill="FFFFFF"/>
        </w:rPr>
        <w:t>7</w:t>
      </w:r>
      <w:r w:rsidR="00764D9C" w:rsidRPr="001C65E7">
        <w:rPr>
          <w:szCs w:val="19"/>
          <w:shd w:val="clear" w:color="auto" w:fill="FFFFFF"/>
        </w:rPr>
        <w:t xml:space="preserve">% </w:t>
      </w:r>
      <w:r w:rsidR="000D33DA">
        <w:rPr>
          <w:szCs w:val="19"/>
          <w:shd w:val="clear" w:color="auto" w:fill="FFFFFF"/>
        </w:rPr>
        <w:t xml:space="preserve">(w tym </w:t>
      </w:r>
      <w:r w:rsidR="001E3B25">
        <w:rPr>
          <w:szCs w:val="19"/>
          <w:shd w:val="clear" w:color="auto" w:fill="FFFFFF"/>
        </w:rPr>
        <w:t>wyższe</w:t>
      </w:r>
      <w:r w:rsidR="00087448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 xml:space="preserve">od średniej krajowej </w:t>
      </w:r>
      <w:r w:rsidR="000D33DA">
        <w:rPr>
          <w:szCs w:val="19"/>
          <w:shd w:val="clear" w:color="auto" w:fill="FFFFFF"/>
        </w:rPr>
        <w:t xml:space="preserve">o 33,6% w </w:t>
      </w:r>
      <w:r w:rsidR="00465D44">
        <w:rPr>
          <w:szCs w:val="19"/>
          <w:shd w:val="clear" w:color="auto" w:fill="FFFFFF"/>
        </w:rPr>
        <w:t>region</w:t>
      </w:r>
      <w:r w:rsidR="00971731">
        <w:rPr>
          <w:szCs w:val="19"/>
          <w:shd w:val="clear" w:color="auto" w:fill="FFFFFF"/>
        </w:rPr>
        <w:t>i</w:t>
      </w:r>
      <w:r w:rsidR="00465D44">
        <w:rPr>
          <w:szCs w:val="19"/>
          <w:shd w:val="clear" w:color="auto" w:fill="FFFFFF"/>
        </w:rPr>
        <w:t>e</w:t>
      </w:r>
      <w:r w:rsidR="000D33DA">
        <w:rPr>
          <w:szCs w:val="19"/>
          <w:shd w:val="clear" w:color="auto" w:fill="FFFFFF"/>
        </w:rPr>
        <w:t xml:space="preserve"> warszawskim stołecznym</w:t>
      </w:r>
      <w:r w:rsidR="00F01D0F">
        <w:rPr>
          <w:szCs w:val="19"/>
          <w:shd w:val="clear" w:color="auto" w:fill="FFFFFF"/>
        </w:rPr>
        <w:t xml:space="preserve"> i </w:t>
      </w:r>
      <w:r w:rsidR="001E3B25">
        <w:rPr>
          <w:szCs w:val="19"/>
          <w:shd w:val="clear" w:color="auto" w:fill="FFFFFF"/>
        </w:rPr>
        <w:t>niższe</w:t>
      </w:r>
      <w:r w:rsidR="00F01D0F">
        <w:rPr>
          <w:szCs w:val="19"/>
          <w:shd w:val="clear" w:color="auto" w:fill="FFFFFF"/>
        </w:rPr>
        <w:t xml:space="preserve"> o 7,6% w pozostałej części województwa mazowieckiego</w:t>
      </w:r>
      <w:r w:rsidR="000D33DA">
        <w:rPr>
          <w:szCs w:val="19"/>
          <w:shd w:val="clear" w:color="auto" w:fill="FFFFFF"/>
        </w:rPr>
        <w:t>)</w:t>
      </w:r>
      <w:r w:rsidR="00764D9C" w:rsidRPr="001C65E7">
        <w:rPr>
          <w:szCs w:val="19"/>
          <w:shd w:val="clear" w:color="auto" w:fill="FFFFFF"/>
        </w:rPr>
        <w:t xml:space="preserve">. </w:t>
      </w:r>
      <w:r w:rsidR="0046539D" w:rsidRPr="0046539D">
        <w:rPr>
          <w:szCs w:val="19"/>
          <w:shd w:val="clear" w:color="auto" w:fill="FFFFFF"/>
        </w:rPr>
        <w:t xml:space="preserve">Tak jak w 2019 r. </w:t>
      </w:r>
      <w:r w:rsidR="00AA2E9B">
        <w:rPr>
          <w:szCs w:val="19"/>
          <w:shd w:val="clear" w:color="auto" w:fill="FFFFFF"/>
        </w:rPr>
        <w:t>n</w:t>
      </w:r>
      <w:r w:rsidR="00764D9C" w:rsidRPr="001C65E7">
        <w:rPr>
          <w:szCs w:val="19"/>
          <w:shd w:val="clear" w:color="auto" w:fill="FFFFFF"/>
        </w:rPr>
        <w:t xml:space="preserve">ajniższe dochody </w:t>
      </w:r>
      <w:r w:rsidR="000D3903">
        <w:rPr>
          <w:szCs w:val="19"/>
          <w:shd w:val="clear" w:color="auto" w:fill="FFFFFF"/>
        </w:rPr>
        <w:t>uzyskiwały gospodarstwa z</w:t>
      </w:r>
      <w:r w:rsidR="00764D9C" w:rsidRPr="001C65E7">
        <w:rPr>
          <w:szCs w:val="19"/>
          <w:shd w:val="clear" w:color="auto" w:fill="FFFFFF"/>
        </w:rPr>
        <w:t xml:space="preserve"> województw</w:t>
      </w:r>
      <w:r w:rsidR="000D3903">
        <w:rPr>
          <w:szCs w:val="19"/>
          <w:shd w:val="clear" w:color="auto" w:fill="FFFFFF"/>
        </w:rPr>
        <w:t>a</w:t>
      </w:r>
      <w:r w:rsidR="00764D9C" w:rsidRPr="001C65E7">
        <w:rPr>
          <w:szCs w:val="19"/>
          <w:shd w:val="clear" w:color="auto" w:fill="FFFFFF"/>
        </w:rPr>
        <w:t xml:space="preserve"> </w:t>
      </w:r>
      <w:r w:rsidR="008E2986" w:rsidRPr="001C65E7">
        <w:rPr>
          <w:szCs w:val="19"/>
          <w:shd w:val="clear" w:color="auto" w:fill="FFFFFF"/>
        </w:rPr>
        <w:t>podkarpack</w:t>
      </w:r>
      <w:r w:rsidR="008E2986">
        <w:rPr>
          <w:szCs w:val="19"/>
          <w:shd w:val="clear" w:color="auto" w:fill="FFFFFF"/>
        </w:rPr>
        <w:t>iego</w:t>
      </w:r>
      <w:r w:rsidR="00764D9C" w:rsidRPr="001C65E7">
        <w:rPr>
          <w:szCs w:val="19"/>
          <w:shd w:val="clear" w:color="auto" w:fill="FFFFFF"/>
        </w:rPr>
        <w:t xml:space="preserve"> (</w:t>
      </w:r>
      <w:r w:rsidR="006C621F">
        <w:rPr>
          <w:szCs w:val="19"/>
          <w:shd w:val="clear" w:color="auto" w:fill="FFFFFF"/>
        </w:rPr>
        <w:t>1589</w:t>
      </w:r>
      <w:r w:rsidR="00764D9C" w:rsidRPr="001C65E7">
        <w:rPr>
          <w:szCs w:val="19"/>
          <w:shd w:val="clear" w:color="auto" w:fill="FFFFFF"/>
        </w:rPr>
        <w:t xml:space="preserve"> zł)</w:t>
      </w:r>
      <w:r w:rsidR="00764D9C" w:rsidRPr="00234CD1">
        <w:rPr>
          <w:szCs w:val="19"/>
          <w:shd w:val="clear" w:color="auto" w:fill="FFFFFF"/>
        </w:rPr>
        <w:t xml:space="preserve"> –</w:t>
      </w:r>
      <w:r w:rsidR="009A235F" w:rsidRPr="00234CD1">
        <w:rPr>
          <w:szCs w:val="19"/>
          <w:shd w:val="clear" w:color="auto" w:fill="FFFFFF"/>
        </w:rPr>
        <w:t xml:space="preserve"> o</w:t>
      </w:r>
      <w:r w:rsidR="0090252D">
        <w:rPr>
          <w:szCs w:val="19"/>
          <w:shd w:val="clear" w:color="auto" w:fill="FFFFFF"/>
        </w:rPr>
        <w:t> </w:t>
      </w:r>
      <w:r w:rsidR="00506D33">
        <w:rPr>
          <w:szCs w:val="19"/>
          <w:shd w:val="clear" w:color="auto" w:fill="FFFFFF"/>
        </w:rPr>
        <w:t>17,2</w:t>
      </w:r>
      <w:r w:rsidR="00764D9C" w:rsidRPr="00234CD1">
        <w:rPr>
          <w:szCs w:val="19"/>
          <w:shd w:val="clear" w:color="auto" w:fill="FFFFFF"/>
        </w:rPr>
        <w:t>% poniżej średniej krajowej</w:t>
      </w:r>
      <w:r w:rsidR="00353DE2">
        <w:rPr>
          <w:szCs w:val="19"/>
          <w:shd w:val="clear" w:color="auto" w:fill="FFFFFF"/>
        </w:rPr>
        <w:t>. Kolejnymi województwami z najniższym poziomem dochodu były</w:t>
      </w:r>
      <w:r>
        <w:rPr>
          <w:szCs w:val="19"/>
          <w:shd w:val="clear" w:color="auto" w:fill="FFFFFF"/>
        </w:rPr>
        <w:t xml:space="preserve"> lubelskie (</w:t>
      </w:r>
      <w:r w:rsidR="00353DE2">
        <w:rPr>
          <w:szCs w:val="19"/>
          <w:shd w:val="clear" w:color="auto" w:fill="FFFFFF"/>
        </w:rPr>
        <w:t>mniej</w:t>
      </w:r>
      <w:r>
        <w:rPr>
          <w:szCs w:val="19"/>
          <w:shd w:val="clear" w:color="auto" w:fill="FFFFFF"/>
        </w:rPr>
        <w:t xml:space="preserve"> o 12,5%</w:t>
      </w:r>
      <w:r w:rsidR="00353DE2">
        <w:rPr>
          <w:szCs w:val="19"/>
          <w:shd w:val="clear" w:color="auto" w:fill="FFFFFF"/>
        </w:rPr>
        <w:t xml:space="preserve"> od średniej dla Polski</w:t>
      </w:r>
      <w:r>
        <w:rPr>
          <w:szCs w:val="19"/>
          <w:shd w:val="clear" w:color="auto" w:fill="FFFFFF"/>
        </w:rPr>
        <w:t>) i opolskie (</w:t>
      </w:r>
      <w:r w:rsidR="00353DE2">
        <w:rPr>
          <w:szCs w:val="19"/>
          <w:shd w:val="clear" w:color="auto" w:fill="FFFFFF"/>
        </w:rPr>
        <w:t>mniej</w:t>
      </w:r>
      <w:r>
        <w:rPr>
          <w:szCs w:val="19"/>
          <w:shd w:val="clear" w:color="auto" w:fill="FFFFFF"/>
        </w:rPr>
        <w:t xml:space="preserve"> o 10,8%)</w:t>
      </w:r>
      <w:r w:rsidRPr="00234CD1">
        <w:rPr>
          <w:szCs w:val="19"/>
          <w:shd w:val="clear" w:color="auto" w:fill="FFFFFF"/>
        </w:rPr>
        <w:t>.</w:t>
      </w:r>
    </w:p>
    <w:p w14:paraId="684BCFF1" w14:textId="77777777" w:rsidR="00764D9C" w:rsidRPr="00187B70" w:rsidRDefault="00764D9C" w:rsidP="00764D9C">
      <w:pPr>
        <w:rPr>
          <w:spacing w:val="-2"/>
          <w:szCs w:val="19"/>
          <w:shd w:val="clear" w:color="auto" w:fill="FFFFFF"/>
        </w:rPr>
      </w:pPr>
      <w:r w:rsidRPr="00187B70">
        <w:rPr>
          <w:spacing w:val="-2"/>
          <w:szCs w:val="19"/>
          <w:shd w:val="clear" w:color="auto" w:fill="FFFFFF"/>
        </w:rPr>
        <w:t>Rozpiętość pomiędzy najwyższym a najniższym przeciętnym dochodem na osobę w województwach</w:t>
      </w:r>
      <w:r w:rsidR="00E95110">
        <w:rPr>
          <w:spacing w:val="-2"/>
          <w:szCs w:val="19"/>
          <w:shd w:val="clear" w:color="auto" w:fill="FFFFFF"/>
        </w:rPr>
        <w:t>,</w:t>
      </w:r>
      <w:r w:rsidRPr="00187B70">
        <w:rPr>
          <w:spacing w:val="-2"/>
          <w:szCs w:val="19"/>
          <w:shd w:val="clear" w:color="auto" w:fill="FFFFFF"/>
        </w:rPr>
        <w:t xml:space="preserve"> w odniesieniu do średniej krajowej</w:t>
      </w:r>
      <w:r w:rsidR="00E95110">
        <w:rPr>
          <w:spacing w:val="-2"/>
          <w:szCs w:val="19"/>
          <w:shd w:val="clear" w:color="auto" w:fill="FFFFFF"/>
        </w:rPr>
        <w:t>,</w:t>
      </w:r>
      <w:r w:rsidRPr="00187B70">
        <w:rPr>
          <w:spacing w:val="-2"/>
          <w:szCs w:val="19"/>
          <w:shd w:val="clear" w:color="auto" w:fill="FFFFFF"/>
        </w:rPr>
        <w:t xml:space="preserve"> zmniejszyła się </w:t>
      </w:r>
      <w:r w:rsidR="00187B70" w:rsidRPr="00187B70">
        <w:rPr>
          <w:spacing w:val="-2"/>
          <w:szCs w:val="19"/>
          <w:shd w:val="clear" w:color="auto" w:fill="FFFFFF"/>
        </w:rPr>
        <w:t xml:space="preserve">o </w:t>
      </w:r>
      <w:r w:rsidR="00771914">
        <w:rPr>
          <w:spacing w:val="-2"/>
          <w:szCs w:val="19"/>
          <w:shd w:val="clear" w:color="auto" w:fill="FFFFFF"/>
        </w:rPr>
        <w:t>1,1</w:t>
      </w:r>
      <w:r w:rsidR="00AF0F9C" w:rsidRPr="00187B70">
        <w:rPr>
          <w:spacing w:val="-2"/>
          <w:szCs w:val="19"/>
          <w:shd w:val="clear" w:color="auto" w:fill="FFFFFF"/>
        </w:rPr>
        <w:t xml:space="preserve"> p. proc. </w:t>
      </w:r>
      <w:r w:rsidRPr="00187B70">
        <w:rPr>
          <w:spacing w:val="-2"/>
          <w:szCs w:val="19"/>
          <w:shd w:val="clear" w:color="auto" w:fill="FFFFFF"/>
        </w:rPr>
        <w:t>w p</w:t>
      </w:r>
      <w:r w:rsidR="003F42C7" w:rsidRPr="00187B70">
        <w:rPr>
          <w:spacing w:val="-2"/>
          <w:szCs w:val="19"/>
          <w:shd w:val="clear" w:color="auto" w:fill="FFFFFF"/>
        </w:rPr>
        <w:t>orównaniu z rokiem poprzednim i </w:t>
      </w:r>
      <w:r w:rsidRPr="00187B70">
        <w:rPr>
          <w:spacing w:val="-2"/>
          <w:szCs w:val="19"/>
          <w:shd w:val="clear" w:color="auto" w:fill="FFFFFF"/>
        </w:rPr>
        <w:t xml:space="preserve">wyniosła </w:t>
      </w:r>
      <w:r w:rsidR="00771914">
        <w:rPr>
          <w:spacing w:val="-2"/>
          <w:szCs w:val="19"/>
          <w:shd w:val="clear" w:color="auto" w:fill="FFFFFF"/>
        </w:rPr>
        <w:t>33,9</w:t>
      </w:r>
      <w:r w:rsidRPr="00187B70">
        <w:rPr>
          <w:spacing w:val="-2"/>
          <w:szCs w:val="19"/>
          <w:shd w:val="clear" w:color="auto" w:fill="FFFFFF"/>
        </w:rPr>
        <w:t xml:space="preserve"> p. proc</w:t>
      </w:r>
      <w:r w:rsidR="00AF0F9C" w:rsidRPr="00187B70">
        <w:rPr>
          <w:spacing w:val="-2"/>
          <w:szCs w:val="19"/>
          <w:shd w:val="clear" w:color="auto" w:fill="FFFFFF"/>
        </w:rPr>
        <w:t>.</w:t>
      </w:r>
    </w:p>
    <w:p w14:paraId="3F7531A9" w14:textId="27DB0D0E" w:rsidR="00D04BE9" w:rsidRPr="003B33FE" w:rsidRDefault="00D04BE9" w:rsidP="00764D9C">
      <w:pPr>
        <w:rPr>
          <w:i/>
          <w:spacing w:val="-2"/>
          <w:szCs w:val="19"/>
          <w:shd w:val="clear" w:color="auto" w:fill="FFFFFF"/>
        </w:rPr>
      </w:pPr>
    </w:p>
    <w:p w14:paraId="0DFEE375" w14:textId="1990A08A" w:rsidR="00764D9C" w:rsidRPr="003B33FE" w:rsidRDefault="0068241E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0EE2CEB1" wp14:editId="66EDE382">
                <wp:simplePos x="0" y="0"/>
                <wp:positionH relativeFrom="column">
                  <wp:posOffset>5210175</wp:posOffset>
                </wp:positionH>
                <wp:positionV relativeFrom="paragraph">
                  <wp:posOffset>1200150</wp:posOffset>
                </wp:positionV>
                <wp:extent cx="1725295" cy="2143125"/>
                <wp:effectExtent l="0" t="0" r="0" b="0"/>
                <wp:wrapTight wrapText="bothSides">
                  <wp:wrapPolygon edited="0">
                    <wp:start x="715" y="0"/>
                    <wp:lineTo x="715" y="21312"/>
                    <wp:lineTo x="20749" y="21312"/>
                    <wp:lineTo x="20749" y="0"/>
                    <wp:lineTo x="715" y="0"/>
                  </wp:wrapPolygon>
                </wp:wrapTight>
                <wp:docPr id="213" name="Pole tekstow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4498" w14:textId="467A0B6F" w:rsidR="00E913EA" w:rsidRPr="004E5048" w:rsidRDefault="00E913EA" w:rsidP="0084155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4E5048">
                              <w:t xml:space="preserve">Najwyższym przeciętnym miesięcznym dochodem rozporządzalnym na 1 osobę dysponowały gospodarstwa domowe z województwa mazowieckiego </w:t>
                            </w:r>
                            <w:r w:rsidRPr="00A60645">
                              <w:t xml:space="preserve">– 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>2241</w:t>
                            </w:r>
                            <w:r w:rsidRPr="00A60645">
                              <w:rPr>
                                <w:spacing w:val="-2"/>
                                <w:szCs w:val="19"/>
                              </w:rPr>
                              <w:t xml:space="preserve"> zł, zaś najniższym gospodarstwa domowe zamieszkujące woj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 xml:space="preserve">ewództwo podkarpackie 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br/>
                              <w:t>– 1589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2CEB1" id="Pole tekstowe 213" o:spid="_x0000_s1037" type="#_x0000_t202" style="position:absolute;margin-left:410.25pt;margin-top:94.5pt;width:135.85pt;height:168.7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BJEwIAAAQEAAAOAAAAZHJzL2Uyb0RvYy54bWysU9Fu2yAUfZ+0f0C8L47dZG2skKpr12lS&#10;t1Vq9wEE4xgVuAxI7Ozre8FpGnVv1fyALr6Xc+85HJaXg9FkJ31QYBktJ1NKpBXQKLth9Pfj7acL&#10;SkLktuEarGR0LwO9XH38sOxdLSvoQDfSEwSxoe4do12Mri6KIDppeJiAkxaTLXjDI279pmg87xHd&#10;6KKaTj8XPfjGeRAyBPx7MybpKuO3rRTxV9sGGYlmFGeLefV5Xae1WC15vfHcdUocxuDvmMJwZbHp&#10;EeqGR062Xv0DZZTwEKCNEwGmgLZVQmYOyKacvmHz0HEnMxcUJ7ijTOH/wYqfu3tPVMNoVZ5RYrnB&#10;S7oHLUmUTyFCL0lKoEy9CzVWPzisj8MXGPC6M+Xg7kA8BWLhuuN2I6+8h76TvMExy3SyODk64oQE&#10;su5/QIPd+DZCBhpab5KGqApBdLyu/fGK5BCJSC3Pq3m1mFMiMFeVs7OymucevH457nyI3yQYkgJG&#10;PXogw/PdXYhpHF6/lKRuFm6V1tkH2pKe0cUcId9kjIpoU60MoxfT9I3GSSy/2iYfjlzpMcYG2h5o&#10;J6Yj5zishyx0mUVJmqyh2aMQHkZb4jPCoAP/l5IeLclo+LPlXlKiv1sUc1HOZsnDeTObn1e48aeZ&#10;9WmGW4FQjEZKxvA6Zt+PzK5Q9FZlOV4nOcyMVssqHZ5F8vLpPle9Pt7VMwAAAP//AwBQSwMEFAAG&#10;AAgAAAAhAHr5zi3eAAAADAEAAA8AAABkcnMvZG93bnJldi54bWxMj8FOwzAQRO9I/IO1SNyojUWq&#10;JMSpEIgriBaQuLnxNomI11HsNuHv2Z7guJqn2TfVZvGDOOEU+0AGblcKBFITXE+tgffd800OIiZL&#10;zg6B0MAPRtjUlxeVLV2Y6Q1P29QKLqFYWgNdSmMpZWw69DauwojE2SFM3iY+p1a6yc5c7geplVpL&#10;b3viD50d8bHD5nt79AY+Xg5fn3fqtX3y2TiHRUnyhTTm+mp5uAeRcEl/MJz1WR1qdtqHI7koBgO5&#10;VhmjHOQFjzoTqtAaxN5AptcZyLqS/0fUvwAAAP//AwBQSwECLQAUAAYACAAAACEAtoM4kv4AAADh&#10;AQAAEwAAAAAAAAAAAAAAAAAAAAAAW0NvbnRlbnRfVHlwZXNdLnhtbFBLAQItABQABgAIAAAAIQA4&#10;/SH/1gAAAJQBAAALAAAAAAAAAAAAAAAAAC8BAABfcmVscy8ucmVsc1BLAQItABQABgAIAAAAIQDL&#10;WPBJEwIAAAQEAAAOAAAAAAAAAAAAAAAAAC4CAABkcnMvZTJvRG9jLnhtbFBLAQItABQABgAIAAAA&#10;IQB6+c4t3gAAAAwBAAAPAAAAAAAAAAAAAAAAAG0EAABkcnMvZG93bnJldi54bWxQSwUGAAAAAAQA&#10;BADzAAAAeAUAAAAA&#10;" filled="f" stroked="f">
                <v:textbox>
                  <w:txbxContent>
                    <w:p w14:paraId="6B804498" w14:textId="467A0B6F" w:rsidR="00E913EA" w:rsidRPr="004E5048" w:rsidRDefault="00E913EA" w:rsidP="00841551">
                      <w:pPr>
                        <w:pStyle w:val="tekstzboku"/>
                        <w:rPr>
                          <w:bCs w:val="0"/>
                        </w:rPr>
                      </w:pPr>
                      <w:r w:rsidRPr="004E5048">
                        <w:t xml:space="preserve">Najwyższym przeciętnym miesięcznym dochodem rozporządzalnym na 1 osobę dysponowały gospodarstwa domowe z województwa mazowieckiego </w:t>
                      </w:r>
                      <w:r w:rsidRPr="00A60645">
                        <w:t xml:space="preserve">– </w:t>
                      </w:r>
                      <w:r>
                        <w:rPr>
                          <w:spacing w:val="-2"/>
                          <w:szCs w:val="19"/>
                        </w:rPr>
                        <w:t>2241</w:t>
                      </w:r>
                      <w:r w:rsidRPr="00A60645">
                        <w:rPr>
                          <w:spacing w:val="-2"/>
                          <w:szCs w:val="19"/>
                        </w:rPr>
                        <w:t xml:space="preserve"> zł, zaś najniższym gospodarstwa domowe zamieszkujące woj</w:t>
                      </w:r>
                      <w:r>
                        <w:rPr>
                          <w:spacing w:val="-2"/>
                          <w:szCs w:val="19"/>
                        </w:rPr>
                        <w:t xml:space="preserve">ewództwo podkarpackie </w:t>
                      </w:r>
                      <w:r>
                        <w:rPr>
                          <w:spacing w:val="-2"/>
                          <w:szCs w:val="19"/>
                        </w:rPr>
                        <w:br/>
                        <w:t>– 1589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72EA">
        <w:rPr>
          <w:i/>
          <w:noProof/>
          <w:lang w:eastAsia="pl-PL"/>
        </w:rPr>
        <w:drawing>
          <wp:inline distT="0" distB="0" distL="0" distR="0" wp14:anchorId="2E20054A" wp14:editId="6F8AA57A">
            <wp:extent cx="5122544" cy="5313820"/>
            <wp:effectExtent l="0" t="0" r="2540" b="127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oslawj\AppData\Local\Microsoft\Windows\INetCache\Content.Outlook\J5036VGU\mapa 1 2019 granat POL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4" cy="531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8C8CA" w14:textId="77777777" w:rsidR="00764D9C" w:rsidRPr="003B33FE" w:rsidRDefault="00764D9C" w:rsidP="00764D9C">
      <w:pPr>
        <w:rPr>
          <w:i/>
          <w:spacing w:val="-2"/>
          <w:szCs w:val="19"/>
          <w:shd w:val="clear" w:color="auto" w:fill="FFFFFF"/>
        </w:rPr>
      </w:pPr>
    </w:p>
    <w:p w14:paraId="7CEB9338" w14:textId="77777777" w:rsidR="001A5E7C" w:rsidRDefault="001A5E7C" w:rsidP="00764D9C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br w:type="page"/>
      </w:r>
    </w:p>
    <w:p w14:paraId="747BC121" w14:textId="7A7CA0F4" w:rsidR="00764D9C" w:rsidRPr="004E5048" w:rsidRDefault="00AA2E9B" w:rsidP="00764D9C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lastRenderedPageBreak/>
        <w:t>W przypadku wydatków p</w:t>
      </w:r>
      <w:r w:rsidR="00764D9C" w:rsidRPr="00234CD1">
        <w:rPr>
          <w:szCs w:val="19"/>
          <w:shd w:val="clear" w:color="auto" w:fill="FFFFFF"/>
        </w:rPr>
        <w:t>rzeciętne miesięczne w</w:t>
      </w:r>
      <w:r>
        <w:rPr>
          <w:szCs w:val="19"/>
          <w:shd w:val="clear" w:color="auto" w:fill="FFFFFF"/>
        </w:rPr>
        <w:t>artości</w:t>
      </w:r>
      <w:r w:rsidR="00764D9C" w:rsidRPr="00234CD1">
        <w:rPr>
          <w:szCs w:val="19"/>
          <w:shd w:val="clear" w:color="auto" w:fill="FFFFFF"/>
        </w:rPr>
        <w:t xml:space="preserve"> po</w:t>
      </w:r>
      <w:r w:rsidR="00234CD1" w:rsidRPr="00234CD1">
        <w:rPr>
          <w:szCs w:val="19"/>
          <w:shd w:val="clear" w:color="auto" w:fill="FFFFFF"/>
        </w:rPr>
        <w:t>wyżej średniej dla Polski w 20</w:t>
      </w:r>
      <w:r w:rsidR="00771914">
        <w:rPr>
          <w:szCs w:val="19"/>
          <w:shd w:val="clear" w:color="auto" w:fill="FFFFFF"/>
        </w:rPr>
        <w:t>20</w:t>
      </w:r>
      <w:r w:rsidR="00764D9C" w:rsidRPr="00234CD1">
        <w:rPr>
          <w:szCs w:val="19"/>
          <w:shd w:val="clear" w:color="auto" w:fill="FFFFFF"/>
        </w:rPr>
        <w:t xml:space="preserve"> r. odnotowano w województwach: mazowieckim, </w:t>
      </w:r>
      <w:r w:rsidR="00F46F5C" w:rsidRPr="00234CD1">
        <w:rPr>
          <w:szCs w:val="19"/>
          <w:shd w:val="clear" w:color="auto" w:fill="FFFFFF"/>
        </w:rPr>
        <w:t xml:space="preserve">dolnośląskim, </w:t>
      </w:r>
      <w:r w:rsidR="00771914">
        <w:rPr>
          <w:szCs w:val="19"/>
          <w:shd w:val="clear" w:color="auto" w:fill="FFFFFF"/>
        </w:rPr>
        <w:t xml:space="preserve">pomorskim, opolskim, śląskim, </w:t>
      </w:r>
      <w:r w:rsidR="00771914" w:rsidRPr="00234CD1">
        <w:rPr>
          <w:szCs w:val="19"/>
          <w:shd w:val="clear" w:color="auto" w:fill="FFFFFF"/>
        </w:rPr>
        <w:t>zachodniopomorskim</w:t>
      </w:r>
      <w:r w:rsidR="00771914">
        <w:rPr>
          <w:szCs w:val="19"/>
          <w:shd w:val="clear" w:color="auto" w:fill="FFFFFF"/>
        </w:rPr>
        <w:t xml:space="preserve"> i </w:t>
      </w:r>
      <w:r w:rsidR="00527729">
        <w:rPr>
          <w:szCs w:val="19"/>
          <w:shd w:val="clear" w:color="auto" w:fill="FFFFFF"/>
        </w:rPr>
        <w:t>łódzkim</w:t>
      </w:r>
      <w:r w:rsidR="001E3B25">
        <w:rPr>
          <w:szCs w:val="19"/>
          <w:shd w:val="clear" w:color="auto" w:fill="FFFFFF"/>
        </w:rPr>
        <w:t>.</w:t>
      </w:r>
      <w:r w:rsidR="00527729">
        <w:rPr>
          <w:szCs w:val="19"/>
          <w:shd w:val="clear" w:color="auto" w:fill="FFFFFF"/>
        </w:rPr>
        <w:t xml:space="preserve"> </w:t>
      </w:r>
      <w:r w:rsidR="006D0CB7">
        <w:rPr>
          <w:szCs w:val="19"/>
          <w:shd w:val="clear" w:color="auto" w:fill="FFFFFF"/>
        </w:rPr>
        <w:t>Podobnie jak</w:t>
      </w:r>
      <w:r w:rsidR="00F354AD" w:rsidRPr="004E5048">
        <w:rPr>
          <w:szCs w:val="19"/>
          <w:shd w:val="clear" w:color="auto" w:fill="FFFFFF"/>
        </w:rPr>
        <w:t xml:space="preserve"> w roku poprzednim, </w:t>
      </w:r>
      <w:r w:rsidR="000D3903">
        <w:rPr>
          <w:szCs w:val="19"/>
          <w:shd w:val="clear" w:color="auto" w:fill="FFFFFF"/>
        </w:rPr>
        <w:t>najwyższe</w:t>
      </w:r>
      <w:r w:rsidR="00764D9C" w:rsidRPr="004E5048">
        <w:rPr>
          <w:szCs w:val="19"/>
          <w:shd w:val="clear" w:color="auto" w:fill="FFFFFF"/>
        </w:rPr>
        <w:t xml:space="preserve"> przeciętne mi</w:t>
      </w:r>
      <w:r w:rsidR="009D064D" w:rsidRPr="004E5048">
        <w:rPr>
          <w:szCs w:val="19"/>
          <w:shd w:val="clear" w:color="auto" w:fill="FFFFFF"/>
        </w:rPr>
        <w:t xml:space="preserve">esięczne wydatki na osobę </w:t>
      </w:r>
      <w:r w:rsidR="009D064D" w:rsidRPr="00A60645">
        <w:rPr>
          <w:szCs w:val="19"/>
          <w:shd w:val="clear" w:color="auto" w:fill="FFFFFF"/>
        </w:rPr>
        <w:t>(</w:t>
      </w:r>
      <w:r w:rsidR="00334910">
        <w:rPr>
          <w:szCs w:val="19"/>
          <w:shd w:val="clear" w:color="auto" w:fill="FFFFFF"/>
        </w:rPr>
        <w:t>1443</w:t>
      </w:r>
      <w:r w:rsidR="009D064D" w:rsidRPr="00A60645">
        <w:rPr>
          <w:szCs w:val="19"/>
          <w:shd w:val="clear" w:color="auto" w:fill="FFFFFF"/>
        </w:rPr>
        <w:t> </w:t>
      </w:r>
      <w:r w:rsidR="00764D9C" w:rsidRPr="00A60645">
        <w:rPr>
          <w:szCs w:val="19"/>
          <w:shd w:val="clear" w:color="auto" w:fill="FFFFFF"/>
        </w:rPr>
        <w:t xml:space="preserve">zł) </w:t>
      </w:r>
      <w:r w:rsidRPr="00A60645">
        <w:rPr>
          <w:szCs w:val="19"/>
          <w:shd w:val="clear" w:color="auto" w:fill="FFFFFF"/>
        </w:rPr>
        <w:t xml:space="preserve">odnotowano </w:t>
      </w:r>
      <w:r w:rsidR="00764D9C" w:rsidRPr="00A60645">
        <w:rPr>
          <w:szCs w:val="19"/>
          <w:shd w:val="clear" w:color="auto" w:fill="FFFFFF"/>
        </w:rPr>
        <w:t>w województwie mazowieckim</w:t>
      </w:r>
      <w:r w:rsidR="00F354AD" w:rsidRPr="00A60645">
        <w:rPr>
          <w:szCs w:val="19"/>
          <w:shd w:val="clear" w:color="auto" w:fill="FFFFFF"/>
        </w:rPr>
        <w:t xml:space="preserve"> i </w:t>
      </w:r>
      <w:r w:rsidR="00764D9C" w:rsidRPr="00A60645">
        <w:rPr>
          <w:szCs w:val="19"/>
          <w:shd w:val="clear" w:color="auto" w:fill="FFFFFF"/>
        </w:rPr>
        <w:t xml:space="preserve">były one wyższe </w:t>
      </w:r>
      <w:r w:rsidR="00F354AD" w:rsidRPr="00A60645">
        <w:rPr>
          <w:szCs w:val="19"/>
          <w:shd w:val="clear" w:color="auto" w:fill="FFFFFF"/>
        </w:rPr>
        <w:t>od przeciętnej ogólnopolskie</w:t>
      </w:r>
      <w:r w:rsidR="00E53FB8" w:rsidRPr="00A60645">
        <w:rPr>
          <w:szCs w:val="19"/>
          <w:shd w:val="clear" w:color="auto" w:fill="FFFFFF"/>
        </w:rPr>
        <w:t>j</w:t>
      </w:r>
      <w:r w:rsidR="00F354AD" w:rsidRPr="00A60645">
        <w:rPr>
          <w:szCs w:val="19"/>
          <w:shd w:val="clear" w:color="auto" w:fill="FFFFFF"/>
        </w:rPr>
        <w:t xml:space="preserve"> o</w:t>
      </w:r>
      <w:r w:rsidR="00764D9C" w:rsidRPr="00A60645">
        <w:rPr>
          <w:szCs w:val="19"/>
          <w:shd w:val="clear" w:color="auto" w:fill="FFFFFF"/>
        </w:rPr>
        <w:t xml:space="preserve"> </w:t>
      </w:r>
      <w:r w:rsidR="00334910">
        <w:rPr>
          <w:szCs w:val="19"/>
          <w:shd w:val="clear" w:color="auto" w:fill="FFFFFF"/>
        </w:rPr>
        <w:t>19,3</w:t>
      </w:r>
      <w:r w:rsidR="00764D9C" w:rsidRPr="00A60645">
        <w:rPr>
          <w:szCs w:val="19"/>
          <w:shd w:val="clear" w:color="auto" w:fill="FFFFFF"/>
        </w:rPr>
        <w:t>%</w:t>
      </w:r>
      <w:r w:rsidR="000D33DA">
        <w:rPr>
          <w:szCs w:val="19"/>
          <w:shd w:val="clear" w:color="auto" w:fill="FFFFFF"/>
        </w:rPr>
        <w:t xml:space="preserve"> (w tym o 40,9% </w:t>
      </w:r>
      <w:r w:rsidR="001E3B25">
        <w:rPr>
          <w:szCs w:val="19"/>
          <w:shd w:val="clear" w:color="auto" w:fill="FFFFFF"/>
        </w:rPr>
        <w:t xml:space="preserve">wyższe </w:t>
      </w:r>
      <w:r w:rsidR="000D33DA">
        <w:rPr>
          <w:szCs w:val="19"/>
          <w:shd w:val="clear" w:color="auto" w:fill="FFFFFF"/>
        </w:rPr>
        <w:t xml:space="preserve">w </w:t>
      </w:r>
      <w:r w:rsidR="00022F61">
        <w:rPr>
          <w:szCs w:val="19"/>
          <w:shd w:val="clear" w:color="auto" w:fill="FFFFFF"/>
        </w:rPr>
        <w:t>regionie</w:t>
      </w:r>
      <w:r w:rsidR="000D33DA">
        <w:rPr>
          <w:szCs w:val="19"/>
          <w:shd w:val="clear" w:color="auto" w:fill="FFFFFF"/>
        </w:rPr>
        <w:t xml:space="preserve"> warszawskim stołecznym</w:t>
      </w:r>
      <w:r w:rsidR="00F01D0F" w:rsidRPr="00F01D0F">
        <w:rPr>
          <w:szCs w:val="19"/>
          <w:shd w:val="clear" w:color="auto" w:fill="FFFFFF"/>
        </w:rPr>
        <w:t xml:space="preserve"> </w:t>
      </w:r>
      <w:r w:rsidR="00F01D0F">
        <w:rPr>
          <w:szCs w:val="19"/>
          <w:shd w:val="clear" w:color="auto" w:fill="FFFFFF"/>
        </w:rPr>
        <w:t xml:space="preserve">i </w:t>
      </w:r>
      <w:r w:rsidR="001E3B25">
        <w:rPr>
          <w:szCs w:val="19"/>
          <w:shd w:val="clear" w:color="auto" w:fill="FFFFFF"/>
        </w:rPr>
        <w:t>niższe</w:t>
      </w:r>
      <w:r w:rsidR="00F01D0F">
        <w:rPr>
          <w:szCs w:val="19"/>
          <w:shd w:val="clear" w:color="auto" w:fill="FFFFFF"/>
        </w:rPr>
        <w:t xml:space="preserve"> o 11,8% w pozostałej części województwa mazowieckiego</w:t>
      </w:r>
      <w:r w:rsidR="000D33DA">
        <w:rPr>
          <w:szCs w:val="19"/>
          <w:shd w:val="clear" w:color="auto" w:fill="FFFFFF"/>
        </w:rPr>
        <w:t>)</w:t>
      </w:r>
      <w:r w:rsidR="00764D9C" w:rsidRPr="00A60645">
        <w:rPr>
          <w:szCs w:val="19"/>
          <w:shd w:val="clear" w:color="auto" w:fill="FFFFFF"/>
        </w:rPr>
        <w:t xml:space="preserve">. Najniższe przeciętne wydatki na 1 osobę </w:t>
      </w:r>
      <w:r w:rsidRPr="00A60645">
        <w:rPr>
          <w:szCs w:val="19"/>
          <w:shd w:val="clear" w:color="auto" w:fill="FFFFFF"/>
        </w:rPr>
        <w:t xml:space="preserve">wystąpiły </w:t>
      </w:r>
      <w:r w:rsidR="00764D9C" w:rsidRPr="00A60645">
        <w:rPr>
          <w:szCs w:val="19"/>
          <w:shd w:val="clear" w:color="auto" w:fill="FFFFFF"/>
        </w:rPr>
        <w:t xml:space="preserve">w województwie </w:t>
      </w:r>
      <w:r w:rsidR="00334910">
        <w:rPr>
          <w:szCs w:val="19"/>
          <w:shd w:val="clear" w:color="auto" w:fill="FFFFFF"/>
        </w:rPr>
        <w:t>podkarpackim</w:t>
      </w:r>
      <w:r w:rsidR="00764D9C" w:rsidRPr="00A60645">
        <w:rPr>
          <w:szCs w:val="19"/>
          <w:shd w:val="clear" w:color="auto" w:fill="FFFFFF"/>
        </w:rPr>
        <w:t xml:space="preserve"> (</w:t>
      </w:r>
      <w:r w:rsidR="00334910">
        <w:rPr>
          <w:szCs w:val="19"/>
          <w:shd w:val="clear" w:color="auto" w:fill="FFFFFF"/>
        </w:rPr>
        <w:t>931</w:t>
      </w:r>
      <w:r w:rsidR="000D33DA">
        <w:rPr>
          <w:szCs w:val="19"/>
          <w:shd w:val="clear" w:color="auto" w:fill="FFFFFF"/>
        </w:rPr>
        <w:t> </w:t>
      </w:r>
      <w:r w:rsidR="00764D9C" w:rsidRPr="00A60645">
        <w:rPr>
          <w:szCs w:val="19"/>
          <w:shd w:val="clear" w:color="auto" w:fill="FFFFFF"/>
        </w:rPr>
        <w:t xml:space="preserve">zł) </w:t>
      </w:r>
      <w:r w:rsidR="00F354AD" w:rsidRPr="00A60645">
        <w:rPr>
          <w:szCs w:val="19"/>
          <w:shd w:val="clear" w:color="auto" w:fill="FFFFFF"/>
        </w:rPr>
        <w:t xml:space="preserve">i w porównaniu </w:t>
      </w:r>
      <w:r w:rsidR="00090C58">
        <w:rPr>
          <w:szCs w:val="19"/>
          <w:shd w:val="clear" w:color="auto" w:fill="FFFFFF"/>
        </w:rPr>
        <w:t>ze</w:t>
      </w:r>
      <w:r w:rsidR="00F354AD" w:rsidRPr="00A60645">
        <w:rPr>
          <w:szCs w:val="19"/>
          <w:shd w:val="clear" w:color="auto" w:fill="FFFFFF"/>
        </w:rPr>
        <w:t xml:space="preserve"> średni</w:t>
      </w:r>
      <w:r w:rsidR="00090C58">
        <w:rPr>
          <w:szCs w:val="19"/>
          <w:shd w:val="clear" w:color="auto" w:fill="FFFFFF"/>
        </w:rPr>
        <w:t>ą</w:t>
      </w:r>
      <w:r w:rsidR="00F354AD" w:rsidRPr="00A60645">
        <w:rPr>
          <w:szCs w:val="19"/>
          <w:shd w:val="clear" w:color="auto" w:fill="FFFFFF"/>
        </w:rPr>
        <w:t xml:space="preserve"> dla całego kraju były one </w:t>
      </w:r>
      <w:r w:rsidR="0046539D">
        <w:rPr>
          <w:szCs w:val="19"/>
          <w:shd w:val="clear" w:color="auto" w:fill="FFFFFF"/>
        </w:rPr>
        <w:t>niższe</w:t>
      </w:r>
      <w:r w:rsidR="009D064D" w:rsidRPr="004E5048">
        <w:rPr>
          <w:szCs w:val="19"/>
          <w:shd w:val="clear" w:color="auto" w:fill="FFFFFF"/>
        </w:rPr>
        <w:t xml:space="preserve"> o </w:t>
      </w:r>
      <w:r w:rsidR="00334910">
        <w:rPr>
          <w:szCs w:val="19"/>
          <w:shd w:val="clear" w:color="auto" w:fill="FFFFFF"/>
        </w:rPr>
        <w:t>23,0</w:t>
      </w:r>
      <w:r w:rsidR="00F354AD" w:rsidRPr="004E5048">
        <w:rPr>
          <w:szCs w:val="19"/>
          <w:shd w:val="clear" w:color="auto" w:fill="FFFFFF"/>
        </w:rPr>
        <w:t>%</w:t>
      </w:r>
      <w:r w:rsidR="00E65ED8">
        <w:rPr>
          <w:szCs w:val="19"/>
          <w:shd w:val="clear" w:color="auto" w:fill="FFFFFF"/>
        </w:rPr>
        <w:t xml:space="preserve"> oraz świętokrzyskim (niższe o 17,8%).</w:t>
      </w:r>
    </w:p>
    <w:p w14:paraId="69863B11" w14:textId="0D170087" w:rsidR="00D04BE9" w:rsidRDefault="00764D9C" w:rsidP="00764D9C">
      <w:pPr>
        <w:rPr>
          <w:szCs w:val="19"/>
          <w:shd w:val="clear" w:color="auto" w:fill="FFFFFF"/>
        </w:rPr>
      </w:pPr>
      <w:r w:rsidRPr="00187B70">
        <w:rPr>
          <w:szCs w:val="19"/>
          <w:shd w:val="clear" w:color="auto" w:fill="FFFFFF"/>
        </w:rPr>
        <w:t xml:space="preserve">Rozpiętość pomiędzy najwyższymi </w:t>
      </w:r>
      <w:r w:rsidR="00C070F9">
        <w:rPr>
          <w:szCs w:val="19"/>
          <w:shd w:val="clear" w:color="auto" w:fill="FFFFFF"/>
        </w:rPr>
        <w:t>i</w:t>
      </w:r>
      <w:r w:rsidRPr="00187B70">
        <w:rPr>
          <w:szCs w:val="19"/>
          <w:shd w:val="clear" w:color="auto" w:fill="FFFFFF"/>
        </w:rPr>
        <w:t xml:space="preserve"> najniższymi średnimi wydatkami na osobę w województwach </w:t>
      </w:r>
      <w:r w:rsidR="00334910">
        <w:rPr>
          <w:szCs w:val="19"/>
          <w:shd w:val="clear" w:color="auto" w:fill="FFFFFF"/>
        </w:rPr>
        <w:t>zwiększyła</w:t>
      </w:r>
      <w:r w:rsidRPr="00187B70">
        <w:rPr>
          <w:szCs w:val="19"/>
          <w:shd w:val="clear" w:color="auto" w:fill="FFFFFF"/>
        </w:rPr>
        <w:t xml:space="preserve"> się</w:t>
      </w:r>
      <w:r w:rsidR="00187B70" w:rsidRPr="00187B70">
        <w:rPr>
          <w:szCs w:val="19"/>
          <w:shd w:val="clear" w:color="auto" w:fill="FFFFFF"/>
        </w:rPr>
        <w:t xml:space="preserve"> o </w:t>
      </w:r>
      <w:r w:rsidR="00334910">
        <w:rPr>
          <w:szCs w:val="19"/>
          <w:shd w:val="clear" w:color="auto" w:fill="FFFFFF"/>
        </w:rPr>
        <w:t>4,8</w:t>
      </w:r>
      <w:r w:rsidR="00647D55" w:rsidRPr="00187B70">
        <w:rPr>
          <w:szCs w:val="19"/>
          <w:shd w:val="clear" w:color="auto" w:fill="FFFFFF"/>
        </w:rPr>
        <w:t xml:space="preserve"> p. proc.</w:t>
      </w:r>
      <w:r w:rsidRPr="00187B70">
        <w:rPr>
          <w:szCs w:val="19"/>
          <w:shd w:val="clear" w:color="auto" w:fill="FFFFFF"/>
        </w:rPr>
        <w:t xml:space="preserve"> w porównaniu </w:t>
      </w:r>
      <w:r w:rsidR="00090C58">
        <w:rPr>
          <w:szCs w:val="19"/>
          <w:shd w:val="clear" w:color="auto" w:fill="FFFFFF"/>
        </w:rPr>
        <w:t>z</w:t>
      </w:r>
      <w:r w:rsidRPr="00187B70">
        <w:rPr>
          <w:szCs w:val="19"/>
          <w:shd w:val="clear" w:color="auto" w:fill="FFFFFF"/>
        </w:rPr>
        <w:t xml:space="preserve"> </w:t>
      </w:r>
      <w:r w:rsidR="00187B70" w:rsidRPr="00187B70">
        <w:rPr>
          <w:szCs w:val="19"/>
          <w:shd w:val="clear" w:color="auto" w:fill="FFFFFF"/>
        </w:rPr>
        <w:t>201</w:t>
      </w:r>
      <w:r w:rsidR="00334910">
        <w:rPr>
          <w:szCs w:val="19"/>
          <w:shd w:val="clear" w:color="auto" w:fill="FFFFFF"/>
        </w:rPr>
        <w:t>9</w:t>
      </w:r>
      <w:r w:rsidR="00187B70" w:rsidRPr="00187B70">
        <w:rPr>
          <w:szCs w:val="19"/>
          <w:shd w:val="clear" w:color="auto" w:fill="FFFFFF"/>
        </w:rPr>
        <w:t xml:space="preserve"> </w:t>
      </w:r>
      <w:r w:rsidR="0013076E">
        <w:rPr>
          <w:szCs w:val="19"/>
          <w:shd w:val="clear" w:color="auto" w:fill="FFFFFF"/>
        </w:rPr>
        <w:t>r.</w:t>
      </w:r>
      <w:r w:rsidR="00187B70" w:rsidRPr="00187B70">
        <w:rPr>
          <w:szCs w:val="19"/>
          <w:shd w:val="clear" w:color="auto" w:fill="FFFFFF"/>
        </w:rPr>
        <w:t xml:space="preserve"> i wyniosła </w:t>
      </w:r>
      <w:r w:rsidR="00334910">
        <w:rPr>
          <w:szCs w:val="19"/>
          <w:shd w:val="clear" w:color="auto" w:fill="FFFFFF"/>
        </w:rPr>
        <w:t>42,3</w:t>
      </w:r>
      <w:r w:rsidRPr="00187B70">
        <w:rPr>
          <w:szCs w:val="19"/>
          <w:shd w:val="clear" w:color="auto" w:fill="FFFFFF"/>
        </w:rPr>
        <w:t xml:space="preserve"> p. proc. </w:t>
      </w:r>
    </w:p>
    <w:p w14:paraId="3ED42191" w14:textId="77777777" w:rsidR="00771116" w:rsidRPr="003B33FE" w:rsidRDefault="00771116" w:rsidP="00764D9C">
      <w:pPr>
        <w:rPr>
          <w:i/>
          <w:spacing w:val="-2"/>
          <w:szCs w:val="19"/>
          <w:shd w:val="clear" w:color="auto" w:fill="FFFFFF"/>
        </w:rPr>
      </w:pPr>
    </w:p>
    <w:p w14:paraId="5D94E905" w14:textId="467BE095" w:rsidR="00764D9C" w:rsidRPr="003B33FE" w:rsidRDefault="0068241E" w:rsidP="00F46F5C">
      <w:pPr>
        <w:spacing w:before="0" w:line="240" w:lineRule="auto"/>
        <w:rPr>
          <w:i/>
          <w:spacing w:val="-2"/>
          <w:szCs w:val="19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129DF26E" wp14:editId="6FEE6758">
                <wp:simplePos x="0" y="0"/>
                <wp:positionH relativeFrom="column">
                  <wp:posOffset>5210175</wp:posOffset>
                </wp:positionH>
                <wp:positionV relativeFrom="paragraph">
                  <wp:posOffset>1457325</wp:posOffset>
                </wp:positionV>
                <wp:extent cx="1725295" cy="1562100"/>
                <wp:effectExtent l="0" t="0" r="0" b="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212" name="Pole tekstow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6880D" w14:textId="6FAC5BBF" w:rsidR="00E913EA" w:rsidRPr="00F377FA" w:rsidRDefault="00E913EA" w:rsidP="00C070F9">
                            <w:pPr>
                              <w:pStyle w:val="tekstzboku"/>
                              <w:rPr>
                                <w:bCs w:val="0"/>
                                <w:i/>
                              </w:rPr>
                            </w:pPr>
                            <w:r w:rsidRPr="00683DE7">
                              <w:rPr>
                                <w:spacing w:val="-2"/>
                              </w:rPr>
                              <w:t xml:space="preserve">Najwyższe przeciętne miesięczne wydatki na osobę ponosiły gospodarstwa domowe z województwa mazowieckiego – </w:t>
                            </w:r>
                            <w:r>
                              <w:rPr>
                                <w:spacing w:val="-2"/>
                              </w:rPr>
                              <w:t>1443</w:t>
                            </w:r>
                            <w:r w:rsidRPr="00683DE7">
                              <w:rPr>
                                <w:spacing w:val="-2"/>
                              </w:rPr>
                              <w:t xml:space="preserve"> zł, zaś najniższe z</w:t>
                            </w:r>
                            <w:r>
                              <w:rPr>
                                <w:spacing w:val="-2"/>
                              </w:rPr>
                              <w:t> </w:t>
                            </w:r>
                            <w:r w:rsidRPr="00683DE7">
                              <w:rPr>
                                <w:spacing w:val="-2"/>
                              </w:rPr>
                              <w:t xml:space="preserve">województwa </w:t>
                            </w:r>
                            <w:r>
                              <w:rPr>
                                <w:spacing w:val="-2"/>
                              </w:rPr>
                              <w:t>podkarpackiego</w:t>
                            </w:r>
                            <w:r w:rsidRPr="00683DE7">
                              <w:rPr>
                                <w:spacing w:val="-2"/>
                              </w:rPr>
                              <w:t xml:space="preserve"> – </w:t>
                            </w:r>
                            <w:r>
                              <w:rPr>
                                <w:spacing w:val="-2"/>
                              </w:rPr>
                              <w:t>931</w:t>
                            </w:r>
                            <w:r w:rsidRPr="00683DE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F26E" id="Pole tekstowe 212" o:spid="_x0000_s1038" type="#_x0000_t202" style="position:absolute;margin-left:410.25pt;margin-top:114.75pt;width:135.85pt;height:123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DqFAIAAAQEAAAOAAAAZHJzL2Uyb0RvYy54bWysU11v2yAUfZ+0/4B4X/yhuG2sOFXXrtOk&#10;rqvU7QdgjGNU4DIgsbNfvwtO02h7m+YHBL7cc+8597C+nrQie+G8BNPQYpFTIgyHTpptQ398v/9w&#10;RYkPzHRMgRENPQhPrzfv361HW4sSBlCdcARBjK9H29AhBFtnmeeD0MwvwAqDwR6cZgGPbpt1jo2I&#10;rlVW5vlFNoLrrAMuvMe/d3OQbhJ+3wsevvW9F4GohmJvIa0urW1cs82a1VvH7CD5sQ32D11oJg0W&#10;PUHdscDIzsm/oLTkDjz0YcFBZ9D3kovEAdkU+R9sngdmReKC4nh7ksn/P1j+uH9yRHYNLYuSEsM0&#10;DukJlCBBvPgAoyAxgDKN1td4+9ni/TB9hAnHnSh7+wD8xRMDtwMzW3HjHIyDYB22WcTM7Cx1xvER&#10;pB2/QofV2C5AApp6p6OGqApBdBzX4TQiMQXCY8nLsipXFSUcY0V1URZ5GmLG6td063z4LECTuGmo&#10;Qw8keLZ/8CG2w+rXK7GagXupVPKBMmRs6Koqq5RwFtEyoE2V1A29yuM3Gyey/GS6lByYVPMeCyhz&#10;pB2ZzpzD1E5J6Dc5W+gOKISD2Zb4jHAzgPtFyYiWbKj/uWNOUKK+GBRzVSyX0cPpsKwuSzy480h7&#10;HmGGI1RDAyXz9jYk38+cb1D0XiY54nTmTo49o9WSSsdnEb18fk633h7v5jcAAAD//wMAUEsDBBQA&#10;BgAIAAAAIQBuQ5bS3wAAAAwBAAAPAAAAZHJzL2Rvd25yZXYueG1sTI9NT8MwDIbvSPyHyEjcWEK0&#10;wtrVnRCIK4jxIe2WNV5b0ThVk63l35Od4GbLj14/b7mZXS9ONIbOM8LtQoEgrr3tuEH4eH++WYEI&#10;0bA1vWdC+KEAm+ryojSF9RO/0WkbG5FCOBQGoY1xKKQMdUvOhIUfiNPt4EdnYlrHRtrRTCnc9VIr&#10;dSed6Th9aM1Ajy3V39ujQ/h8Oey+luq1eXLZMPlZSXa5RLy+mh/WICLN8Q+Gs35Shyo57f2RbRA9&#10;wkqrLKEIWudpOBMq1xrEHmF5n2Ugq1L+L1H9AgAA//8DAFBLAQItABQABgAIAAAAIQC2gziS/gAA&#10;AOEBAAATAAAAAAAAAAAAAAAAAAAAAABbQ29udGVudF9UeXBlc10ueG1sUEsBAi0AFAAGAAgAAAAh&#10;ADj9If/WAAAAlAEAAAsAAAAAAAAAAAAAAAAALwEAAF9yZWxzLy5yZWxzUEsBAi0AFAAGAAgAAAAh&#10;AFXIoOoUAgAABAQAAA4AAAAAAAAAAAAAAAAALgIAAGRycy9lMm9Eb2MueG1sUEsBAi0AFAAGAAgA&#10;AAAhAG5DltLfAAAADAEAAA8AAAAAAAAAAAAAAAAAbgQAAGRycy9kb3ducmV2LnhtbFBLBQYAAAAA&#10;BAAEAPMAAAB6BQAAAAA=&#10;" filled="f" stroked="f">
                <v:textbox>
                  <w:txbxContent>
                    <w:p w14:paraId="0B36880D" w14:textId="6FAC5BBF" w:rsidR="00E913EA" w:rsidRPr="00F377FA" w:rsidRDefault="00E913EA" w:rsidP="00C070F9">
                      <w:pPr>
                        <w:pStyle w:val="tekstzboku"/>
                        <w:rPr>
                          <w:bCs w:val="0"/>
                          <w:i/>
                        </w:rPr>
                      </w:pPr>
                      <w:r w:rsidRPr="00683DE7">
                        <w:rPr>
                          <w:spacing w:val="-2"/>
                        </w:rPr>
                        <w:t xml:space="preserve">Najwyższe przeciętne miesięczne wydatki na osobę ponosiły gospodarstwa domowe z województwa mazowieckiego – </w:t>
                      </w:r>
                      <w:r>
                        <w:rPr>
                          <w:spacing w:val="-2"/>
                        </w:rPr>
                        <w:t>1443</w:t>
                      </w:r>
                      <w:r w:rsidRPr="00683DE7">
                        <w:rPr>
                          <w:spacing w:val="-2"/>
                        </w:rPr>
                        <w:t xml:space="preserve"> zł, zaś najniższe z</w:t>
                      </w:r>
                      <w:r>
                        <w:rPr>
                          <w:spacing w:val="-2"/>
                        </w:rPr>
                        <w:t> </w:t>
                      </w:r>
                      <w:r w:rsidRPr="00683DE7">
                        <w:rPr>
                          <w:spacing w:val="-2"/>
                        </w:rPr>
                        <w:t xml:space="preserve">województwa </w:t>
                      </w:r>
                      <w:r>
                        <w:rPr>
                          <w:spacing w:val="-2"/>
                        </w:rPr>
                        <w:t>podkarpackiego</w:t>
                      </w:r>
                      <w:r w:rsidRPr="00683DE7">
                        <w:rPr>
                          <w:spacing w:val="-2"/>
                        </w:rPr>
                        <w:t xml:space="preserve"> – </w:t>
                      </w:r>
                      <w:r>
                        <w:rPr>
                          <w:spacing w:val="-2"/>
                        </w:rPr>
                        <w:t>931</w:t>
                      </w:r>
                      <w:r w:rsidRPr="00683DE7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72EA">
        <w:rPr>
          <w:i/>
          <w:noProof/>
          <w:spacing w:val="-2"/>
          <w:szCs w:val="19"/>
          <w:shd w:val="clear" w:color="auto" w:fill="FFFFFF"/>
          <w:lang w:eastAsia="pl-PL"/>
        </w:rPr>
        <w:drawing>
          <wp:inline distT="0" distB="0" distL="0" distR="0" wp14:anchorId="506A2619" wp14:editId="6C1312FA">
            <wp:extent cx="5122544" cy="5420425"/>
            <wp:effectExtent l="0" t="0" r="2540" b="889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oslawj\AppData\Local\Microsoft\Windows\INetCache\Content.Outlook\J5036VGU\mapa 2 2019 zielony PO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4" cy="542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90087" w14:textId="77777777" w:rsidR="00824CBC" w:rsidRDefault="00824CBC" w:rsidP="00C67546">
      <w:pPr>
        <w:spacing w:before="240" w:line="240" w:lineRule="auto"/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  <w:br w:type="page"/>
      </w:r>
    </w:p>
    <w:p w14:paraId="366031D3" w14:textId="15EF8FB6" w:rsidR="00C67546" w:rsidRPr="009B0189" w:rsidRDefault="00117F74" w:rsidP="00C67546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9B0189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0032" behindDoc="1" locked="0" layoutInCell="1" allowOverlap="1" wp14:anchorId="44F61D55" wp14:editId="7AEB5C0C">
                <wp:simplePos x="0" y="0"/>
                <wp:positionH relativeFrom="column">
                  <wp:posOffset>5210175</wp:posOffset>
                </wp:positionH>
                <wp:positionV relativeFrom="paragraph">
                  <wp:posOffset>95250</wp:posOffset>
                </wp:positionV>
                <wp:extent cx="1725295" cy="1618615"/>
                <wp:effectExtent l="0" t="0" r="0" b="635"/>
                <wp:wrapTight wrapText="bothSides">
                  <wp:wrapPolygon edited="0">
                    <wp:start x="477" y="0"/>
                    <wp:lineTo x="477" y="21354"/>
                    <wp:lineTo x="20749" y="21354"/>
                    <wp:lineTo x="20749" y="0"/>
                    <wp:lineTo x="477" y="0"/>
                  </wp:wrapPolygon>
                </wp:wrapTight>
                <wp:docPr id="43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863BD" w14:textId="0B7D743F" w:rsidR="00E913EA" w:rsidRPr="00230699" w:rsidRDefault="00E913EA" w:rsidP="008A720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 2020</w:t>
                            </w:r>
                            <w:r w:rsidRPr="00230699">
                              <w:t xml:space="preserve"> r. </w:t>
                            </w:r>
                            <w:r>
                              <w:t xml:space="preserve">nastąpił wzrost </w:t>
                            </w:r>
                            <w:r w:rsidRPr="00230699">
                              <w:t>spożyci</w:t>
                            </w:r>
                            <w:r>
                              <w:t>a</w:t>
                            </w:r>
                            <w:r w:rsidRPr="00230699">
                              <w:t xml:space="preserve"> </w:t>
                            </w:r>
                            <w:r>
                              <w:t xml:space="preserve">większości </w:t>
                            </w:r>
                            <w:r w:rsidRPr="00230699">
                              <w:t xml:space="preserve">podstawowych produktów żywnościowych takich jak: </w:t>
                            </w:r>
                            <w:r>
                              <w:t>mąka, masło, sery i twarogi, mleko, cukier, makaron i produkty makaronowe, śmietana, oleje i tłuszcze, owoce,</w:t>
                            </w:r>
                            <w:r w:rsidRPr="00230699">
                              <w:t xml:space="preserve"> warzywa, </w:t>
                            </w:r>
                            <w:r>
                              <w:t xml:space="preserve">jaja </w:t>
                            </w:r>
                            <w:r w:rsidRPr="0088655F">
                              <w:t>oraz mięso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D55" id="Pole tekstowe 31" o:spid="_x0000_s1039" type="#_x0000_t202" style="position:absolute;margin-left:410.25pt;margin-top:7.5pt;width:135.85pt;height:127.45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4e/QEAANYDAAAOAAAAZHJzL2Uyb0RvYy54bWysU8tu2zAQvBfoPxC817LkRxLBcpAmSFEg&#10;bQOk/QCKoiQiEpdd0pbcr++Ssl23vRW9ECR3OTs7O9zcjn3H9gqdBlPwdDbnTBkJlTZNwb99fXx3&#10;zZnzwlSiA6MKflCO327fvtkMNlcZtNBVChmBGJcPtuCt9zZPEidb1Qs3A6sMBWvAXng6YpNUKAZC&#10;77skm8/XyQBYWQSpnKPbhynItxG/rpX0X+raKc+6ghM3H1eMaxnWZLsReYPCtloeaYh/YNELbajo&#10;GepBeMF2qP+C6rVEcFD7mYQ+gbrWUsUeqJt0/kc3L62wKvZC4jh7lsn9P1j5ef+MTFcFXy44M6Kn&#10;GT1Dp5hXr87DoNgiDSIN1uWU+2Ip24/vYaRhx4adfQL56piB+1aYRt0hwtAqURHJ+DK5eDrhuABS&#10;Dp+gomJi5yECjTX2QUHShBE6DetwHpAaPZOh5FW2ym5WnEmKpev0ep2uArtE5KfnFp3/oKBnYVNw&#10;JAdEeLF/cn5KPaWEagYedddFF3TmtwvCDDeRfmA8cfdjOUa50sVJlhKqAzWEMJmLPgNtWsAfnA1k&#10;rIK77zuBirPuoyFRbtLlMjgxHparq4wOeBkpLyPCSIIquOds2t77yb07i7ppqdI0BgN3JGStY4tB&#10;8YnVkT+ZJ4p0NHpw5+U5Zv36jtufAAAA//8DAFBLAwQUAAYACAAAACEAIAmgkt0AAAALAQAADwAA&#10;AGRycy9kb3ducmV2LnhtbEyPwU7DMBBE70j8g7VI3KiNRaomjVMhEFcQLSBxc+NtEjVeR7HbhL9n&#10;e4Ljap5m35Sb2ffijGPsAhm4XygQSHVwHTUGPnYvdysQMVlytg+EBn4wwqa6vipt4cJE73jepkZw&#10;CcXCGmhTGgopY92it3ERBiTODmH0NvE5NtKNduJy30ut1FJ62xF/aO2ATy3Wx+3JG/h8PXx/Pai3&#10;5tlnwxRmJcnn0pjbm/lxDSLhnP5guOizOlTstA8nclH0BlZaZYxykPGmC6ByrUHsDehlnoOsSvl/&#10;Q/ULAAD//wMAUEsBAi0AFAAGAAgAAAAhALaDOJL+AAAA4QEAABMAAAAAAAAAAAAAAAAAAAAAAFtD&#10;b250ZW50X1R5cGVzXS54bWxQSwECLQAUAAYACAAAACEAOP0h/9YAAACUAQAACwAAAAAAAAAAAAAA&#10;AAAvAQAAX3JlbHMvLnJlbHNQSwECLQAUAAYACAAAACEAuVCuHv0BAADWAwAADgAAAAAAAAAAAAAA&#10;AAAuAgAAZHJzL2Uyb0RvYy54bWxQSwECLQAUAAYACAAAACEAIAmgkt0AAAALAQAADwAAAAAAAAAA&#10;AAAAAABXBAAAZHJzL2Rvd25yZXYueG1sUEsFBgAAAAAEAAQA8wAAAGEFAAAAAA==&#10;" filled="f" stroked="f">
                <v:textbox>
                  <w:txbxContent>
                    <w:p w14:paraId="223863BD" w14:textId="0B7D743F" w:rsidR="00E913EA" w:rsidRPr="00230699" w:rsidRDefault="00E913EA" w:rsidP="008A720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W 2020</w:t>
                      </w:r>
                      <w:r w:rsidRPr="00230699">
                        <w:t xml:space="preserve"> r. </w:t>
                      </w:r>
                      <w:r>
                        <w:t xml:space="preserve">nastąpił wzrost </w:t>
                      </w:r>
                      <w:r w:rsidRPr="00230699">
                        <w:t>spożyci</w:t>
                      </w:r>
                      <w:r>
                        <w:t>a</w:t>
                      </w:r>
                      <w:r w:rsidRPr="00230699">
                        <w:t xml:space="preserve"> </w:t>
                      </w:r>
                      <w:r>
                        <w:t xml:space="preserve">większości </w:t>
                      </w:r>
                      <w:r w:rsidRPr="00230699">
                        <w:t xml:space="preserve">podstawowych produktów żywnościowych takich jak: </w:t>
                      </w:r>
                      <w:r>
                        <w:t>mąka, masło, sery i twarogi, mleko, cukier, makaron i produkty makaronowe, śmietana, oleje i tłuszcze, owoce,</w:t>
                      </w:r>
                      <w:r w:rsidRPr="00230699">
                        <w:t xml:space="preserve"> warzywa, </w:t>
                      </w:r>
                      <w:r>
                        <w:t xml:space="preserve">jaja </w:t>
                      </w:r>
                      <w:r w:rsidRPr="0088655F">
                        <w:t>oraz mięso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7546" w:rsidRPr="009B0189">
        <w:rPr>
          <w:rFonts w:ascii="Fira Sans SemiBold" w:hAnsi="Fira Sans SemiBold"/>
          <w:color w:val="001D77"/>
          <w:szCs w:val="19"/>
          <w:shd w:val="clear" w:color="auto" w:fill="FFFFFF"/>
        </w:rPr>
        <w:t>Spożycie ilościowe żywności</w:t>
      </w:r>
    </w:p>
    <w:p w14:paraId="23642AD2" w14:textId="758A443F" w:rsidR="009A64A7" w:rsidRDefault="008B657E" w:rsidP="00C67546">
      <w:pPr>
        <w:rPr>
          <w:spacing w:val="-3"/>
          <w:szCs w:val="19"/>
          <w:shd w:val="clear" w:color="auto" w:fill="FFFFFF"/>
        </w:rPr>
      </w:pPr>
      <w:r w:rsidRPr="009A64A7">
        <w:rPr>
          <w:spacing w:val="-3"/>
          <w:szCs w:val="19"/>
          <w:shd w:val="clear" w:color="auto" w:fill="FFFFFF"/>
        </w:rPr>
        <w:t xml:space="preserve">W </w:t>
      </w:r>
      <w:r w:rsidRPr="009A64A7">
        <w:rPr>
          <w:szCs w:val="19"/>
          <w:shd w:val="clear" w:color="auto" w:fill="FFFFFF"/>
        </w:rPr>
        <w:t>20</w:t>
      </w:r>
      <w:r w:rsidR="006B4BF3" w:rsidRPr="009A64A7">
        <w:rPr>
          <w:szCs w:val="19"/>
          <w:shd w:val="clear" w:color="auto" w:fill="FFFFFF"/>
        </w:rPr>
        <w:t>20</w:t>
      </w:r>
      <w:r w:rsidR="00171D09" w:rsidRPr="009A64A7">
        <w:rPr>
          <w:szCs w:val="19"/>
          <w:shd w:val="clear" w:color="auto" w:fill="FFFFFF"/>
        </w:rPr>
        <w:t xml:space="preserve"> r.</w:t>
      </w:r>
      <w:r w:rsidR="00C67546" w:rsidRPr="009A64A7">
        <w:rPr>
          <w:szCs w:val="19"/>
          <w:shd w:val="clear" w:color="auto" w:fill="FFFFFF"/>
        </w:rPr>
        <w:t xml:space="preserve"> </w:t>
      </w:r>
      <w:r w:rsidR="009A64A7" w:rsidRPr="009A64A7">
        <w:rPr>
          <w:szCs w:val="19"/>
          <w:shd w:val="clear" w:color="auto" w:fill="FFFFFF"/>
        </w:rPr>
        <w:t>nastąpił wzrost</w:t>
      </w:r>
      <w:r w:rsidR="00C67546" w:rsidRPr="009A64A7">
        <w:rPr>
          <w:szCs w:val="19"/>
          <w:shd w:val="clear" w:color="auto" w:fill="FFFFFF"/>
        </w:rPr>
        <w:t xml:space="preserve"> spożycia </w:t>
      </w:r>
      <w:r w:rsidR="009A64A7">
        <w:rPr>
          <w:szCs w:val="19"/>
          <w:shd w:val="clear" w:color="auto" w:fill="FFFFFF"/>
        </w:rPr>
        <w:t>większości</w:t>
      </w:r>
      <w:r w:rsidR="00C67546" w:rsidRPr="009A64A7">
        <w:rPr>
          <w:szCs w:val="19"/>
          <w:shd w:val="clear" w:color="auto" w:fill="FFFFFF"/>
        </w:rPr>
        <w:t xml:space="preserve"> podstawowych artykułów żywnościowych. </w:t>
      </w:r>
      <w:r w:rsidR="009A64A7" w:rsidRPr="009A64A7">
        <w:rPr>
          <w:szCs w:val="19"/>
          <w:shd w:val="clear" w:color="auto" w:fill="FFFFFF"/>
        </w:rPr>
        <w:t>Naj</w:t>
      </w:r>
      <w:r w:rsidR="009A64A7">
        <w:rPr>
          <w:szCs w:val="19"/>
          <w:shd w:val="clear" w:color="auto" w:fill="FFFFFF"/>
        </w:rPr>
        <w:t>wyższy wzrost</w:t>
      </w:r>
      <w:r w:rsidR="00C67546" w:rsidRPr="0034014F">
        <w:rPr>
          <w:szCs w:val="19"/>
          <w:shd w:val="clear" w:color="auto" w:fill="FFFFFF"/>
        </w:rPr>
        <w:t xml:space="preserve"> dot</w:t>
      </w:r>
      <w:r w:rsidR="00BF2F0A" w:rsidRPr="0034014F">
        <w:rPr>
          <w:szCs w:val="19"/>
          <w:shd w:val="clear" w:color="auto" w:fill="FFFFFF"/>
        </w:rPr>
        <w:t>yczył</w:t>
      </w:r>
      <w:r w:rsidR="005A420C">
        <w:rPr>
          <w:szCs w:val="19"/>
          <w:shd w:val="clear" w:color="auto" w:fill="FFFFFF"/>
        </w:rPr>
        <w:t>:</w:t>
      </w:r>
      <w:r w:rsidR="00BF2F0A" w:rsidRPr="0034014F">
        <w:rPr>
          <w:szCs w:val="19"/>
          <w:shd w:val="clear" w:color="auto" w:fill="FFFFFF"/>
        </w:rPr>
        <w:t xml:space="preserve"> </w:t>
      </w:r>
      <w:r w:rsidR="009A64A7">
        <w:rPr>
          <w:szCs w:val="19"/>
          <w:shd w:val="clear" w:color="auto" w:fill="FFFFFF"/>
        </w:rPr>
        <w:t xml:space="preserve">mąki </w:t>
      </w:r>
      <w:r w:rsidR="00C67546" w:rsidRPr="0034014F">
        <w:rPr>
          <w:szCs w:val="19"/>
          <w:shd w:val="clear" w:color="auto" w:fill="FFFFFF"/>
        </w:rPr>
        <w:t xml:space="preserve">(o </w:t>
      </w:r>
      <w:r w:rsidR="009A64A7">
        <w:rPr>
          <w:szCs w:val="19"/>
          <w:shd w:val="clear" w:color="auto" w:fill="FFFFFF"/>
        </w:rPr>
        <w:t>18,6</w:t>
      </w:r>
      <w:r w:rsidR="00C67546" w:rsidRPr="0034014F">
        <w:rPr>
          <w:szCs w:val="19"/>
          <w:shd w:val="clear" w:color="auto" w:fill="FFFFFF"/>
        </w:rPr>
        <w:t xml:space="preserve">%), </w:t>
      </w:r>
      <w:r w:rsidR="00874735" w:rsidRPr="00874735">
        <w:rPr>
          <w:szCs w:val="19"/>
          <w:shd w:val="clear" w:color="auto" w:fill="FFFFFF"/>
        </w:rPr>
        <w:t>masła (</w:t>
      </w:r>
      <w:r w:rsidR="00B174C8">
        <w:rPr>
          <w:szCs w:val="19"/>
          <w:shd w:val="clear" w:color="auto" w:fill="FFFFFF"/>
        </w:rPr>
        <w:t>o</w:t>
      </w:r>
      <w:r w:rsidR="00874735" w:rsidRPr="00874735">
        <w:rPr>
          <w:szCs w:val="19"/>
          <w:shd w:val="clear" w:color="auto" w:fill="FFFFFF"/>
        </w:rPr>
        <w:t xml:space="preserve"> 14,1%), </w:t>
      </w:r>
      <w:r w:rsidR="009A64A7">
        <w:rPr>
          <w:szCs w:val="19"/>
          <w:shd w:val="clear" w:color="auto" w:fill="FFFFFF"/>
        </w:rPr>
        <w:t>serów i twarogów</w:t>
      </w:r>
      <w:r w:rsidR="00324B9F" w:rsidRPr="0034014F">
        <w:rPr>
          <w:szCs w:val="19"/>
          <w:shd w:val="clear" w:color="auto" w:fill="FFFFFF"/>
        </w:rPr>
        <w:t xml:space="preserve"> (o </w:t>
      </w:r>
      <w:r w:rsidR="009A64A7">
        <w:rPr>
          <w:szCs w:val="19"/>
          <w:shd w:val="clear" w:color="auto" w:fill="FFFFFF"/>
        </w:rPr>
        <w:t>6,7</w:t>
      </w:r>
      <w:r w:rsidR="00324B9F" w:rsidRPr="0034014F">
        <w:rPr>
          <w:szCs w:val="19"/>
          <w:shd w:val="clear" w:color="auto" w:fill="FFFFFF"/>
        </w:rPr>
        <w:t>%), mleka (o </w:t>
      </w:r>
      <w:r w:rsidR="009A64A7">
        <w:rPr>
          <w:szCs w:val="19"/>
          <w:shd w:val="clear" w:color="auto" w:fill="FFFFFF"/>
        </w:rPr>
        <w:t>6,6</w:t>
      </w:r>
      <w:r w:rsidR="00324B9F" w:rsidRPr="0034014F">
        <w:rPr>
          <w:szCs w:val="19"/>
          <w:shd w:val="clear" w:color="auto" w:fill="FFFFFF"/>
        </w:rPr>
        <w:t xml:space="preserve">%), </w:t>
      </w:r>
      <w:r w:rsidR="009A64A7">
        <w:rPr>
          <w:szCs w:val="19"/>
          <w:shd w:val="clear" w:color="auto" w:fill="FFFFFF"/>
        </w:rPr>
        <w:t>cukru</w:t>
      </w:r>
      <w:r w:rsidR="00324B9F" w:rsidRPr="0034014F">
        <w:rPr>
          <w:szCs w:val="19"/>
          <w:shd w:val="clear" w:color="auto" w:fill="FFFFFF"/>
        </w:rPr>
        <w:t xml:space="preserve"> </w:t>
      </w:r>
      <w:r w:rsidR="009A64A7">
        <w:rPr>
          <w:szCs w:val="19"/>
          <w:shd w:val="clear" w:color="auto" w:fill="FFFFFF"/>
        </w:rPr>
        <w:t xml:space="preserve">oraz makaronu i produktów makaronowych </w:t>
      </w:r>
      <w:r w:rsidR="00324B9F" w:rsidRPr="0034014F">
        <w:rPr>
          <w:szCs w:val="19"/>
          <w:shd w:val="clear" w:color="auto" w:fill="FFFFFF"/>
        </w:rPr>
        <w:t>(</w:t>
      </w:r>
      <w:r w:rsidR="009A64A7">
        <w:rPr>
          <w:szCs w:val="19"/>
          <w:shd w:val="clear" w:color="auto" w:fill="FFFFFF"/>
        </w:rPr>
        <w:t>p</w:t>
      </w:r>
      <w:r w:rsidR="00324B9F" w:rsidRPr="0034014F">
        <w:rPr>
          <w:szCs w:val="19"/>
          <w:shd w:val="clear" w:color="auto" w:fill="FFFFFF"/>
        </w:rPr>
        <w:t xml:space="preserve">o </w:t>
      </w:r>
      <w:r w:rsidR="009A64A7">
        <w:rPr>
          <w:szCs w:val="19"/>
          <w:shd w:val="clear" w:color="auto" w:fill="FFFFFF"/>
        </w:rPr>
        <w:t>5,0</w:t>
      </w:r>
      <w:r w:rsidR="00324B9F" w:rsidRPr="0034014F">
        <w:rPr>
          <w:szCs w:val="19"/>
          <w:shd w:val="clear" w:color="auto" w:fill="FFFFFF"/>
        </w:rPr>
        <w:t>%)</w:t>
      </w:r>
      <w:r w:rsidR="00C67546" w:rsidRPr="0034014F">
        <w:rPr>
          <w:szCs w:val="19"/>
          <w:shd w:val="clear" w:color="auto" w:fill="FFFFFF"/>
        </w:rPr>
        <w:t xml:space="preserve">, </w:t>
      </w:r>
      <w:r w:rsidR="009A64A7">
        <w:rPr>
          <w:szCs w:val="19"/>
          <w:shd w:val="clear" w:color="auto" w:fill="FFFFFF"/>
        </w:rPr>
        <w:t xml:space="preserve">śmietany oraz </w:t>
      </w:r>
      <w:r w:rsidR="00324B9F" w:rsidRPr="0034014F">
        <w:rPr>
          <w:szCs w:val="19"/>
          <w:shd w:val="clear" w:color="auto" w:fill="FFFFFF"/>
        </w:rPr>
        <w:t>olejów i</w:t>
      </w:r>
      <w:r w:rsidR="00CF7C9E">
        <w:rPr>
          <w:szCs w:val="19"/>
          <w:shd w:val="clear" w:color="auto" w:fill="FFFFFF"/>
        </w:rPr>
        <w:t> </w:t>
      </w:r>
      <w:r w:rsidR="00324B9F" w:rsidRPr="0034014F">
        <w:rPr>
          <w:szCs w:val="19"/>
          <w:shd w:val="clear" w:color="auto" w:fill="FFFFFF"/>
        </w:rPr>
        <w:t>tłuszczów (</w:t>
      </w:r>
      <w:r w:rsidR="009A64A7">
        <w:rPr>
          <w:szCs w:val="19"/>
          <w:shd w:val="clear" w:color="auto" w:fill="FFFFFF"/>
        </w:rPr>
        <w:t>p</w:t>
      </w:r>
      <w:r w:rsidR="00324B9F" w:rsidRPr="0034014F">
        <w:rPr>
          <w:szCs w:val="19"/>
          <w:shd w:val="clear" w:color="auto" w:fill="FFFFFF"/>
        </w:rPr>
        <w:t xml:space="preserve">o </w:t>
      </w:r>
      <w:r w:rsidR="009A64A7">
        <w:rPr>
          <w:szCs w:val="19"/>
          <w:shd w:val="clear" w:color="auto" w:fill="FFFFFF"/>
        </w:rPr>
        <w:t>2</w:t>
      </w:r>
      <w:r w:rsidR="00324B9F" w:rsidRPr="0034014F">
        <w:rPr>
          <w:szCs w:val="19"/>
          <w:shd w:val="clear" w:color="auto" w:fill="FFFFFF"/>
        </w:rPr>
        <w:t>,9%)</w:t>
      </w:r>
      <w:r w:rsidR="00334BBC">
        <w:rPr>
          <w:szCs w:val="19"/>
          <w:shd w:val="clear" w:color="auto" w:fill="FFFFFF"/>
        </w:rPr>
        <w:t>, owoców (o 1,8%), warzyw (o 1,4%</w:t>
      </w:r>
      <w:r w:rsidR="00874735">
        <w:rPr>
          <w:szCs w:val="19"/>
          <w:shd w:val="clear" w:color="auto" w:fill="FFFFFF"/>
        </w:rPr>
        <w:t xml:space="preserve">, </w:t>
      </w:r>
      <w:r w:rsidR="00874735" w:rsidRPr="00874735">
        <w:rPr>
          <w:szCs w:val="19"/>
          <w:shd w:val="clear" w:color="auto" w:fill="FFFFFF"/>
        </w:rPr>
        <w:t>przy jednoczesnym spadku spożycia ziemniaków o 2,5%</w:t>
      </w:r>
      <w:r w:rsidR="00334BBC">
        <w:rPr>
          <w:szCs w:val="19"/>
          <w:shd w:val="clear" w:color="auto" w:fill="FFFFFF"/>
        </w:rPr>
        <w:t>), jaj (o 0,5%) oraz mięsa (o 0,2%).</w:t>
      </w:r>
      <w:r w:rsidR="00171D09" w:rsidRPr="0034014F">
        <w:rPr>
          <w:szCs w:val="19"/>
          <w:shd w:val="clear" w:color="auto" w:fill="FFFFFF"/>
        </w:rPr>
        <w:t xml:space="preserve"> </w:t>
      </w:r>
      <w:r w:rsidR="00334BBC">
        <w:rPr>
          <w:szCs w:val="19"/>
          <w:shd w:val="clear" w:color="auto" w:fill="FFFFFF"/>
        </w:rPr>
        <w:t>Spożycie ryb i owoców morza pozostało na niezmienionym poziomie</w:t>
      </w:r>
      <w:r w:rsidR="00632CC4">
        <w:rPr>
          <w:szCs w:val="19"/>
          <w:shd w:val="clear" w:color="auto" w:fill="FFFFFF"/>
        </w:rPr>
        <w:t>,</w:t>
      </w:r>
      <w:r w:rsidR="00334BBC">
        <w:rPr>
          <w:szCs w:val="19"/>
          <w:shd w:val="clear" w:color="auto" w:fill="FFFFFF"/>
        </w:rPr>
        <w:t xml:space="preserve"> natomiast spadek odnotowano w przypadku </w:t>
      </w:r>
      <w:r w:rsidR="008A7200" w:rsidRPr="0034014F">
        <w:rPr>
          <w:szCs w:val="19"/>
          <w:shd w:val="clear" w:color="auto" w:fill="FFFFFF"/>
        </w:rPr>
        <w:t xml:space="preserve">pieczywa i produktów zbożowych (o </w:t>
      </w:r>
      <w:r w:rsidR="008A7200">
        <w:rPr>
          <w:szCs w:val="19"/>
          <w:shd w:val="clear" w:color="auto" w:fill="FFFFFF"/>
        </w:rPr>
        <w:t>0,9</w:t>
      </w:r>
      <w:r w:rsidR="008A7200" w:rsidRPr="0034014F">
        <w:rPr>
          <w:szCs w:val="19"/>
          <w:shd w:val="clear" w:color="auto" w:fill="FFFFFF"/>
        </w:rPr>
        <w:t xml:space="preserve">%, w tym pieczywa o </w:t>
      </w:r>
      <w:r w:rsidR="008A7200">
        <w:rPr>
          <w:szCs w:val="19"/>
          <w:shd w:val="clear" w:color="auto" w:fill="FFFFFF"/>
        </w:rPr>
        <w:t>7,7</w:t>
      </w:r>
      <w:r w:rsidR="008A7200" w:rsidRPr="0034014F">
        <w:rPr>
          <w:szCs w:val="19"/>
          <w:shd w:val="clear" w:color="auto" w:fill="FFFFFF"/>
        </w:rPr>
        <w:t>%)</w:t>
      </w:r>
      <w:r w:rsidR="008A7200">
        <w:rPr>
          <w:szCs w:val="19"/>
          <w:shd w:val="clear" w:color="auto" w:fill="FFFFFF"/>
        </w:rPr>
        <w:t xml:space="preserve"> </w:t>
      </w:r>
      <w:r w:rsidR="00334BBC">
        <w:rPr>
          <w:szCs w:val="19"/>
          <w:shd w:val="clear" w:color="auto" w:fill="FFFFFF"/>
        </w:rPr>
        <w:t xml:space="preserve">oraz wędlin (o 0,5%). </w:t>
      </w:r>
      <w:r w:rsidR="00841551">
        <w:rPr>
          <w:szCs w:val="19"/>
          <w:shd w:val="clear" w:color="auto" w:fill="FFFFFF"/>
        </w:rPr>
        <w:t>N</w:t>
      </w:r>
      <w:r w:rsidR="0088655F">
        <w:rPr>
          <w:szCs w:val="19"/>
          <w:shd w:val="clear" w:color="auto" w:fill="FFFFFF"/>
        </w:rPr>
        <w:t xml:space="preserve">a </w:t>
      </w:r>
      <w:r w:rsidR="008A7200">
        <w:rPr>
          <w:szCs w:val="19"/>
          <w:shd w:val="clear" w:color="auto" w:fill="FFFFFF"/>
        </w:rPr>
        <w:t>wzrost</w:t>
      </w:r>
      <w:r w:rsidR="00A752B2" w:rsidRPr="0034014F">
        <w:rPr>
          <w:szCs w:val="19"/>
          <w:shd w:val="clear" w:color="auto" w:fill="FFFFFF"/>
        </w:rPr>
        <w:t xml:space="preserve"> </w:t>
      </w:r>
      <w:r w:rsidR="00E62583" w:rsidRPr="0034014F">
        <w:rPr>
          <w:szCs w:val="19"/>
          <w:shd w:val="clear" w:color="auto" w:fill="FFFFFF"/>
        </w:rPr>
        <w:t>poziom</w:t>
      </w:r>
      <w:r w:rsidR="00A752B2" w:rsidRPr="0034014F">
        <w:rPr>
          <w:szCs w:val="19"/>
          <w:shd w:val="clear" w:color="auto" w:fill="FFFFFF"/>
        </w:rPr>
        <w:t>u</w:t>
      </w:r>
      <w:r w:rsidR="00E62583" w:rsidRPr="0034014F">
        <w:rPr>
          <w:szCs w:val="19"/>
          <w:shd w:val="clear" w:color="auto" w:fill="FFFFFF"/>
        </w:rPr>
        <w:t xml:space="preserve"> spożycia</w:t>
      </w:r>
      <w:r w:rsidR="0088655F">
        <w:rPr>
          <w:szCs w:val="19"/>
          <w:shd w:val="clear" w:color="auto" w:fill="FFFFFF"/>
        </w:rPr>
        <w:t xml:space="preserve"> </w:t>
      </w:r>
      <w:r w:rsidR="00841551">
        <w:rPr>
          <w:szCs w:val="19"/>
          <w:shd w:val="clear" w:color="auto" w:fill="FFFFFF"/>
        </w:rPr>
        <w:t>większości</w:t>
      </w:r>
      <w:r w:rsidR="00841551" w:rsidRPr="009A64A7">
        <w:rPr>
          <w:szCs w:val="19"/>
          <w:shd w:val="clear" w:color="auto" w:fill="FFFFFF"/>
        </w:rPr>
        <w:t xml:space="preserve"> podstawowych artykułów żywnościowych</w:t>
      </w:r>
      <w:r w:rsidR="00841551">
        <w:rPr>
          <w:szCs w:val="19"/>
          <w:shd w:val="clear" w:color="auto" w:fill="FFFFFF"/>
        </w:rPr>
        <w:t xml:space="preserve"> </w:t>
      </w:r>
      <w:r w:rsidR="0088655F">
        <w:rPr>
          <w:szCs w:val="19"/>
          <w:shd w:val="clear" w:color="auto" w:fill="FFFFFF"/>
        </w:rPr>
        <w:t>i</w:t>
      </w:r>
      <w:r w:rsidR="00E62583" w:rsidRPr="0034014F">
        <w:rPr>
          <w:szCs w:val="19"/>
          <w:shd w:val="clear" w:color="auto" w:fill="FFFFFF"/>
        </w:rPr>
        <w:t xml:space="preserve"> </w:t>
      </w:r>
      <w:r w:rsidR="008A7200">
        <w:rPr>
          <w:szCs w:val="19"/>
          <w:shd w:val="clear" w:color="auto" w:fill="FFFFFF"/>
        </w:rPr>
        <w:t>spadek</w:t>
      </w:r>
      <w:r w:rsidR="00E62583" w:rsidRPr="0034014F">
        <w:rPr>
          <w:szCs w:val="19"/>
          <w:shd w:val="clear" w:color="auto" w:fill="FFFFFF"/>
        </w:rPr>
        <w:t xml:space="preserve"> </w:t>
      </w:r>
      <w:r w:rsidR="003E2ACB" w:rsidRPr="003E2ACB">
        <w:rPr>
          <w:szCs w:val="19"/>
          <w:shd w:val="clear" w:color="auto" w:fill="FFFFFF"/>
        </w:rPr>
        <w:t xml:space="preserve">o 26,7% </w:t>
      </w:r>
      <w:r w:rsidR="00E62583" w:rsidRPr="0034014F">
        <w:rPr>
          <w:szCs w:val="19"/>
          <w:shd w:val="clear" w:color="auto" w:fill="FFFFFF"/>
        </w:rPr>
        <w:t>wydatków na gastronomię</w:t>
      </w:r>
      <w:r w:rsidR="00841551" w:rsidRPr="00841551">
        <w:rPr>
          <w:szCs w:val="19"/>
          <w:shd w:val="clear" w:color="auto" w:fill="FFFFFF"/>
        </w:rPr>
        <w:t xml:space="preserve"> </w:t>
      </w:r>
      <w:r w:rsidR="00841551">
        <w:rPr>
          <w:szCs w:val="19"/>
          <w:shd w:val="clear" w:color="auto" w:fill="FFFFFF"/>
        </w:rPr>
        <w:t>miało wpływ</w:t>
      </w:r>
      <w:r w:rsidR="00841551" w:rsidRPr="00841551">
        <w:rPr>
          <w:szCs w:val="19"/>
          <w:shd w:val="clear" w:color="auto" w:fill="FFFFFF"/>
        </w:rPr>
        <w:t xml:space="preserve"> </w:t>
      </w:r>
      <w:r w:rsidR="00841551">
        <w:rPr>
          <w:szCs w:val="19"/>
          <w:shd w:val="clear" w:color="auto" w:fill="FFFFFF"/>
        </w:rPr>
        <w:t>zamknięcie w 2020 r. restauracji</w:t>
      </w:r>
      <w:r w:rsidR="00E65ED8">
        <w:rPr>
          <w:szCs w:val="19"/>
          <w:shd w:val="clear" w:color="auto" w:fill="FFFFFF"/>
        </w:rPr>
        <w:t xml:space="preserve"> przez znaczną część roku oraz zmiany w zakresie częstotliwości, wielkości i struktury dokonywanych zakupów w związku z pandemią COVID-19</w:t>
      </w:r>
      <w:r w:rsidR="00E65ED8" w:rsidRPr="0034014F">
        <w:rPr>
          <w:szCs w:val="19"/>
          <w:shd w:val="clear" w:color="auto" w:fill="FFFFFF"/>
        </w:rPr>
        <w:t>.</w:t>
      </w:r>
      <w:r w:rsidR="00E65ED8">
        <w:rPr>
          <w:szCs w:val="19"/>
          <w:shd w:val="clear" w:color="auto" w:fill="FFFFFF"/>
        </w:rPr>
        <w:t xml:space="preserve"> Zmiany te przełożyły się na istotny wzrost udziału wydatków na żywność i napoje bezalkoholowe w 2020 r.</w:t>
      </w:r>
    </w:p>
    <w:p w14:paraId="54CB727C" w14:textId="44A66E6D" w:rsidR="00C67546" w:rsidRDefault="00C67546" w:rsidP="00C67546">
      <w:pPr>
        <w:rPr>
          <w:spacing w:val="-2"/>
          <w:szCs w:val="19"/>
          <w:shd w:val="clear" w:color="auto" w:fill="FFFFFF"/>
        </w:rPr>
      </w:pPr>
      <w:r w:rsidRPr="00017628">
        <w:rPr>
          <w:spacing w:val="-2"/>
          <w:szCs w:val="19"/>
          <w:shd w:val="clear" w:color="auto" w:fill="FFFFFF"/>
        </w:rPr>
        <w:t xml:space="preserve">Poziom spożycia artykułów żywnościowych zależy w dużym stopniu od dochodów </w:t>
      </w:r>
      <w:r w:rsidR="00283981" w:rsidRPr="00017628">
        <w:rPr>
          <w:spacing w:val="-2"/>
          <w:szCs w:val="19"/>
          <w:shd w:val="clear" w:color="auto" w:fill="FFFFFF"/>
        </w:rPr>
        <w:t>osiąganych przez gospodarstwa domowe</w:t>
      </w:r>
      <w:r w:rsidRPr="00017628">
        <w:rPr>
          <w:spacing w:val="-2"/>
          <w:szCs w:val="19"/>
          <w:shd w:val="clear" w:color="auto" w:fill="FFFFFF"/>
        </w:rPr>
        <w:t xml:space="preserve">. Wraz ze wzrostem </w:t>
      </w:r>
      <w:r w:rsidR="00283981" w:rsidRPr="00017628">
        <w:rPr>
          <w:spacing w:val="-2"/>
          <w:szCs w:val="19"/>
          <w:shd w:val="clear" w:color="auto" w:fill="FFFFFF"/>
        </w:rPr>
        <w:t xml:space="preserve">ich </w:t>
      </w:r>
      <w:r w:rsidRPr="00017628">
        <w:rPr>
          <w:spacing w:val="-2"/>
          <w:szCs w:val="19"/>
          <w:shd w:val="clear" w:color="auto" w:fill="FFFFFF"/>
        </w:rPr>
        <w:t>zamożności</w:t>
      </w:r>
      <w:r w:rsidR="00283981" w:rsidRPr="00017628">
        <w:rPr>
          <w:spacing w:val="-2"/>
          <w:szCs w:val="19"/>
          <w:shd w:val="clear" w:color="auto" w:fill="FFFFFF"/>
        </w:rPr>
        <w:t>,</w:t>
      </w:r>
      <w:r w:rsidRPr="00017628">
        <w:rPr>
          <w:spacing w:val="-2"/>
          <w:szCs w:val="19"/>
          <w:shd w:val="clear" w:color="auto" w:fill="FFFFFF"/>
        </w:rPr>
        <w:t xml:space="preserve"> </w:t>
      </w:r>
      <w:r w:rsidR="001F4E44" w:rsidRPr="00017628">
        <w:rPr>
          <w:spacing w:val="-2"/>
          <w:szCs w:val="19"/>
          <w:shd w:val="clear" w:color="auto" w:fill="FFFFFF"/>
        </w:rPr>
        <w:t xml:space="preserve">wyższy był </w:t>
      </w:r>
      <w:r w:rsidRPr="00017628">
        <w:rPr>
          <w:spacing w:val="-2"/>
          <w:szCs w:val="19"/>
          <w:shd w:val="clear" w:color="auto" w:fill="FFFFFF"/>
        </w:rPr>
        <w:t>poziom spożycia niektórych artykułów żywnościowych takich jak pieczywo i produkty zbożowe</w:t>
      </w:r>
      <w:r w:rsidR="00471D75" w:rsidRPr="00017628">
        <w:rPr>
          <w:spacing w:val="-2"/>
          <w:szCs w:val="19"/>
          <w:shd w:val="clear" w:color="auto" w:fill="FFFFFF"/>
        </w:rPr>
        <w:t>, mięso, warzywa, owoce, sery i </w:t>
      </w:r>
      <w:r w:rsidRPr="00017628">
        <w:rPr>
          <w:spacing w:val="-2"/>
          <w:szCs w:val="19"/>
          <w:shd w:val="clear" w:color="auto" w:fill="FFFFFF"/>
        </w:rPr>
        <w:t>twarogi</w:t>
      </w:r>
      <w:r w:rsidR="00973C01" w:rsidRPr="00017628">
        <w:rPr>
          <w:spacing w:val="-2"/>
          <w:szCs w:val="19"/>
          <w:shd w:val="clear" w:color="auto" w:fill="FFFFFF"/>
        </w:rPr>
        <w:t xml:space="preserve"> </w:t>
      </w:r>
      <w:r w:rsidR="00C1268F" w:rsidRPr="00017628">
        <w:rPr>
          <w:spacing w:val="-2"/>
          <w:szCs w:val="19"/>
          <w:shd w:val="clear" w:color="auto" w:fill="FFFFFF"/>
        </w:rPr>
        <w:t>oraz</w:t>
      </w:r>
      <w:r w:rsidR="00973C01" w:rsidRPr="00017628">
        <w:rPr>
          <w:spacing w:val="-2"/>
          <w:szCs w:val="19"/>
          <w:shd w:val="clear" w:color="auto" w:fill="FFFFFF"/>
        </w:rPr>
        <w:t xml:space="preserve"> wody mineralne i źródlane.</w:t>
      </w:r>
      <w:r w:rsidRPr="00017628">
        <w:rPr>
          <w:spacing w:val="-2"/>
          <w:szCs w:val="19"/>
          <w:shd w:val="clear" w:color="auto" w:fill="FFFFFF"/>
        </w:rPr>
        <w:t xml:space="preserve"> </w:t>
      </w:r>
    </w:p>
    <w:p w14:paraId="3FE727FC" w14:textId="18250CE1" w:rsidR="005E4CC8" w:rsidRPr="00017628" w:rsidRDefault="005E4CC8" w:rsidP="00C67546">
      <w:pPr>
        <w:rPr>
          <w:spacing w:val="-2"/>
          <w:szCs w:val="19"/>
          <w:shd w:val="clear" w:color="auto" w:fill="FFFFFF"/>
        </w:rPr>
      </w:pPr>
    </w:p>
    <w:p w14:paraId="76277EE0" w14:textId="1D78CEE8" w:rsidR="00C67546" w:rsidRPr="00230699" w:rsidRDefault="005120CB" w:rsidP="002F3918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3EA66C8E" wp14:editId="1046E4D6">
            <wp:extent cx="5122545" cy="2592000"/>
            <wp:effectExtent l="0" t="0" r="1905" b="0"/>
            <wp:docPr id="28" name="Wykres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43B3D33" w14:textId="12AD5D8B" w:rsidR="00EF3520" w:rsidRDefault="00EF3520" w:rsidP="00C67546">
      <w:pPr>
        <w:rPr>
          <w:spacing w:val="-2"/>
          <w:szCs w:val="19"/>
          <w:shd w:val="clear" w:color="auto" w:fill="FFFFFF"/>
        </w:rPr>
      </w:pPr>
    </w:p>
    <w:p w14:paraId="4FA7C809" w14:textId="4EB90059" w:rsidR="00C67546" w:rsidRDefault="005120CB" w:rsidP="00C67546">
      <w:pPr>
        <w:rPr>
          <w:spacing w:val="-2"/>
          <w:szCs w:val="19"/>
          <w:shd w:val="clear" w:color="auto" w:fill="FFFFFF"/>
        </w:rPr>
      </w:pPr>
      <w:r w:rsidRPr="005120CB">
        <w:rPr>
          <w:spacing w:val="-2"/>
          <w:szCs w:val="19"/>
          <w:shd w:val="clear" w:color="auto" w:fill="FFFFFF"/>
        </w:rPr>
        <w:t>Na poziom spożycia żywności wpływają także nawyki żywieniowe, ceny produktów żywnościowych oraz miejsc</w:t>
      </w:r>
      <w:r>
        <w:rPr>
          <w:spacing w:val="-2"/>
          <w:szCs w:val="19"/>
          <w:shd w:val="clear" w:color="auto" w:fill="FFFFFF"/>
        </w:rPr>
        <w:t>e</w:t>
      </w:r>
      <w:r w:rsidRPr="005120CB">
        <w:rPr>
          <w:spacing w:val="-2"/>
          <w:szCs w:val="19"/>
          <w:shd w:val="clear" w:color="auto" w:fill="FFFFFF"/>
        </w:rPr>
        <w:t xml:space="preserve"> zamieszkania. Gospodarstwa domowe zamieszkujące tereny wiejskie charakteryzują się nieco innym modelem żywienia niż gospodarstwa domowe zamieszkujące miasta.</w:t>
      </w:r>
    </w:p>
    <w:p w14:paraId="676EE779" w14:textId="7024EB32" w:rsidR="0088655F" w:rsidRPr="0088655F" w:rsidRDefault="0088655F" w:rsidP="0088655F">
      <w:pPr>
        <w:spacing w:line="240" w:lineRule="auto"/>
        <w:rPr>
          <w:spacing w:val="-2"/>
          <w:szCs w:val="19"/>
          <w:shd w:val="clear" w:color="auto" w:fill="FFFFFF"/>
        </w:rPr>
      </w:pPr>
      <w:r w:rsidRPr="0088655F">
        <w:rPr>
          <w:spacing w:val="-2"/>
          <w:szCs w:val="19"/>
          <w:shd w:val="clear" w:color="auto" w:fill="FFFFFF"/>
        </w:rPr>
        <w:t xml:space="preserve">Pozytywnym zjawiskiem jest wzrost </w:t>
      </w:r>
      <w:r w:rsidR="00E65ED8">
        <w:rPr>
          <w:spacing w:val="-2"/>
          <w:szCs w:val="19"/>
          <w:shd w:val="clear" w:color="auto" w:fill="FFFFFF"/>
        </w:rPr>
        <w:t xml:space="preserve">wartości miesięcznego </w:t>
      </w:r>
      <w:r w:rsidRPr="0088655F">
        <w:rPr>
          <w:spacing w:val="-2"/>
          <w:szCs w:val="19"/>
          <w:shd w:val="clear" w:color="auto" w:fill="FFFFFF"/>
        </w:rPr>
        <w:t xml:space="preserve">spożycia </w:t>
      </w:r>
      <w:r w:rsidR="00353DE2" w:rsidRPr="0088655F">
        <w:rPr>
          <w:spacing w:val="-2"/>
          <w:szCs w:val="19"/>
          <w:shd w:val="clear" w:color="auto" w:fill="FFFFFF"/>
        </w:rPr>
        <w:t>na osobę</w:t>
      </w:r>
      <w:r w:rsidR="00353DE2" w:rsidRPr="00E65ED8">
        <w:rPr>
          <w:spacing w:val="-2"/>
          <w:szCs w:val="19"/>
          <w:shd w:val="clear" w:color="auto" w:fill="FFFFFF"/>
        </w:rPr>
        <w:t xml:space="preserve"> </w:t>
      </w:r>
      <w:r w:rsidRPr="0088655F">
        <w:rPr>
          <w:spacing w:val="-2"/>
          <w:szCs w:val="19"/>
          <w:shd w:val="clear" w:color="auto" w:fill="FFFFFF"/>
        </w:rPr>
        <w:t xml:space="preserve">warzyw </w:t>
      </w:r>
      <w:r w:rsidR="00E65ED8">
        <w:rPr>
          <w:spacing w:val="-2"/>
          <w:szCs w:val="19"/>
          <w:shd w:val="clear" w:color="auto" w:fill="FFFFFF"/>
        </w:rPr>
        <w:t>(</w:t>
      </w:r>
      <w:r w:rsidR="00E65ED8" w:rsidRPr="0088655F">
        <w:rPr>
          <w:spacing w:val="-2"/>
          <w:szCs w:val="19"/>
          <w:shd w:val="clear" w:color="auto" w:fill="FFFFFF"/>
        </w:rPr>
        <w:t>o 0,4 kg</w:t>
      </w:r>
      <w:r w:rsidR="00E65ED8">
        <w:rPr>
          <w:spacing w:val="-2"/>
          <w:szCs w:val="19"/>
          <w:shd w:val="clear" w:color="auto" w:fill="FFFFFF"/>
        </w:rPr>
        <w:t xml:space="preserve">) </w:t>
      </w:r>
      <w:r w:rsidRPr="0088655F">
        <w:rPr>
          <w:spacing w:val="-2"/>
          <w:szCs w:val="19"/>
          <w:shd w:val="clear" w:color="auto" w:fill="FFFFFF"/>
        </w:rPr>
        <w:t xml:space="preserve">i owoców </w:t>
      </w:r>
      <w:r w:rsidR="00E65ED8">
        <w:rPr>
          <w:spacing w:val="-2"/>
          <w:szCs w:val="19"/>
          <w:shd w:val="clear" w:color="auto" w:fill="FFFFFF"/>
        </w:rPr>
        <w:t xml:space="preserve">(o </w:t>
      </w:r>
      <w:r w:rsidR="00E65ED8" w:rsidRPr="0088655F">
        <w:rPr>
          <w:spacing w:val="-2"/>
          <w:szCs w:val="19"/>
          <w:shd w:val="clear" w:color="auto" w:fill="FFFFFF"/>
        </w:rPr>
        <w:t>0,2 kg</w:t>
      </w:r>
      <w:r w:rsidR="00E65ED8">
        <w:rPr>
          <w:spacing w:val="-2"/>
          <w:szCs w:val="19"/>
          <w:shd w:val="clear" w:color="auto" w:fill="FFFFFF"/>
        </w:rPr>
        <w:t xml:space="preserve">) </w:t>
      </w:r>
      <w:r w:rsidR="00E65ED8" w:rsidRPr="0088655F">
        <w:rPr>
          <w:spacing w:val="-2"/>
          <w:szCs w:val="19"/>
          <w:shd w:val="clear" w:color="auto" w:fill="FFFFFF"/>
        </w:rPr>
        <w:t>w miastach</w:t>
      </w:r>
      <w:r w:rsidRPr="0088655F">
        <w:rPr>
          <w:spacing w:val="-2"/>
          <w:szCs w:val="19"/>
          <w:shd w:val="clear" w:color="auto" w:fill="FFFFFF"/>
        </w:rPr>
        <w:t>.</w:t>
      </w:r>
    </w:p>
    <w:p w14:paraId="72B1DA6E" w14:textId="77777777" w:rsidR="00FB701C" w:rsidRDefault="00FB701C" w:rsidP="00C67546">
      <w:pPr>
        <w:rPr>
          <w:spacing w:val="-2"/>
          <w:szCs w:val="19"/>
          <w:shd w:val="clear" w:color="auto" w:fill="FFFFFF"/>
        </w:rPr>
      </w:pPr>
    </w:p>
    <w:p w14:paraId="2C15B402" w14:textId="02020B6D" w:rsidR="002F3918" w:rsidRDefault="005120CB" w:rsidP="002F3918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37D115E" wp14:editId="2BBA561F">
            <wp:extent cx="5122545" cy="2592000"/>
            <wp:effectExtent l="0" t="0" r="1905" b="0"/>
            <wp:docPr id="27" name="Wykres 2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F1348DB" w14:textId="30A3B1D2" w:rsidR="0088655F" w:rsidRDefault="0088655F" w:rsidP="002F3918">
      <w:pPr>
        <w:spacing w:line="240" w:lineRule="auto"/>
        <w:rPr>
          <w:spacing w:val="-2"/>
          <w:szCs w:val="19"/>
          <w:shd w:val="clear" w:color="auto" w:fill="FFFFFF"/>
        </w:rPr>
      </w:pPr>
    </w:p>
    <w:p w14:paraId="513C7131" w14:textId="170988DD" w:rsidR="00C67546" w:rsidRPr="00824CBC" w:rsidRDefault="00A50C9D" w:rsidP="00E65ED8">
      <w:pPr>
        <w:spacing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824CB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 wp14:anchorId="65D6FB99" wp14:editId="63894EAF">
                <wp:simplePos x="0" y="0"/>
                <wp:positionH relativeFrom="column">
                  <wp:posOffset>5212715</wp:posOffset>
                </wp:positionH>
                <wp:positionV relativeFrom="paragraph">
                  <wp:posOffset>89065</wp:posOffset>
                </wp:positionV>
                <wp:extent cx="1791970" cy="2196465"/>
                <wp:effectExtent l="0" t="0" r="0" b="0"/>
                <wp:wrapTight wrapText="bothSides">
                  <wp:wrapPolygon edited="0">
                    <wp:start x="459" y="0"/>
                    <wp:lineTo x="459" y="21356"/>
                    <wp:lineTo x="20896" y="21356"/>
                    <wp:lineTo x="20896" y="0"/>
                    <wp:lineTo x="459" y="0"/>
                  </wp:wrapPolygon>
                </wp:wrapTight>
                <wp:docPr id="42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219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B4E2D" w14:textId="502982E1" w:rsidR="00E913EA" w:rsidRPr="00230699" w:rsidRDefault="00E913EA" w:rsidP="0088655F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8655F">
                              <w:t>W 2020 r. w związku z pandemią COVID-19, a co za tym idzie przejściem na pracę i nauczanie w trybie zdalnym</w:t>
                            </w:r>
                            <w:r>
                              <w:t xml:space="preserve"> (dotyczy to również pozostałych kontaktów międzyludzkich)</w:t>
                            </w:r>
                            <w:r w:rsidRPr="0088655F">
                              <w:t>, wystąpił wzrost poziomu wyposażenia gospodarstw domowych między innymi w następujące dobra: drukarka, urządzenie z dostępem do</w:t>
                            </w:r>
                            <w:r>
                              <w:t xml:space="preserve"> </w:t>
                            </w:r>
                            <w:r w:rsidRPr="0088655F">
                              <w:t>I</w:t>
                            </w:r>
                            <w:r>
                              <w:t>nternetu (w tym komputer osobisty i </w:t>
                            </w:r>
                            <w:r w:rsidRPr="0088655F">
                              <w:t>smartfon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FB99" id="Pole tekstowe 30" o:spid="_x0000_s1040" type="#_x0000_t202" style="position:absolute;margin-left:410.45pt;margin-top:7pt;width:141.1pt;height:172.95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RS/gEAANYDAAAOAAAAZHJzL2Uyb0RvYy54bWysU8Fu2zAMvQ/YPwi6L449N1mMOEXXosOA&#10;rivQ9QNkWY6F2qJGKbGzrx8lp2m23YpdBEmkHt8jn9aXY9+xvUKnwZQ8nc05U0ZCrc225E8/bj98&#10;4sx5YWrRgVElPyjHLzfv360HW6gMWuhqhYxAjCsGW/LWe1skiZOt6oWbgVWGgg1gLzwdcZvUKAZC&#10;77skm88XyQBYWwSpnKPbmynINxG/aZT035vGKc+6khM3H1eMaxXWZLMWxRaFbbU80hBvYNELbajo&#10;CepGeMF2qP+B6rVEcND4mYQ+gabRUkUNpCad/6XmsRVWRS3UHGdPbXL/D1be7x+Q6brkecaZET3N&#10;6AE6xbx6dh4GxT7GJg3WFZT7aCnbj59hpGFHwc7egXx2zMB1K8xWXSHC0CpRE8k0tDc5exrG4goX&#10;QKrhG9RUTOw8RKCxwT50kHrCCJ2GdTgNSI2eyVByuUpXSwpJimXpapEvLmINUbw8t+j8FwU9C5uS&#10;Izkgwov9nfOBjiheUkI1A7e666ILOvPHBSWGm0g/MJ64+7EaY7vSPBQOciqoDyQIYTIXfQbatIC/&#10;OBvIWCV3P3cCFWfdV0NNWaV5HpwYD/nFMqMDnkeq84gwkqBK7jmbttd+cu/Oot62VGkag4EramSj&#10;o8RXVkf+ZJ6o/Gj04M7zc8x6/Y6b3wAAAP//AwBQSwMEFAAGAAgAAAAhAGaXzrffAAAACwEAAA8A&#10;AABkcnMvZG93bnJldi54bWxMj8tOwzAQRfdI/QdrkLqjdvpATYhTVaBuQRRaiZ0bT5OIeBzFbhP+&#10;nukKlqN7dOfcfDO6VlyxD40nDclMgUAqvW2o0vD5sXtYgwjRkDWtJ9TwgwE2xeQuN5n1A73jdR8r&#10;wSUUMqOhjrHLpAxljc6Eme+QODv73pnIZ19J25uBy10r50o9Smca4g+16fC5xvJ7f3EaDq/nr+NS&#10;vVUvbtUNflSSXCq1nt6P2ycQEcf4B8NNn9WhYKeTv5ANotWwnquUUQ6WvOkGJGqRgDhpWKzSFGSR&#10;y/8bil8AAAD//wMAUEsBAi0AFAAGAAgAAAAhALaDOJL+AAAA4QEAABMAAAAAAAAAAAAAAAAAAAAA&#10;AFtDb250ZW50X1R5cGVzXS54bWxQSwECLQAUAAYACAAAACEAOP0h/9YAAACUAQAACwAAAAAAAAAA&#10;AAAAAAAvAQAAX3JlbHMvLnJlbHNQSwECLQAUAAYACAAAACEAvnL0Uv4BAADWAwAADgAAAAAAAAAA&#10;AAAAAAAuAgAAZHJzL2Uyb0RvYy54bWxQSwECLQAUAAYACAAAACEAZpfOt98AAAALAQAADwAAAAAA&#10;AAAAAAAAAABYBAAAZHJzL2Rvd25yZXYueG1sUEsFBgAAAAAEAAQA8wAAAGQFAAAAAA==&#10;" filled="f" stroked="f">
                <v:textbox>
                  <w:txbxContent>
                    <w:p w14:paraId="6B0B4E2D" w14:textId="502982E1" w:rsidR="00E913EA" w:rsidRPr="00230699" w:rsidRDefault="00E913EA" w:rsidP="0088655F">
                      <w:pPr>
                        <w:pStyle w:val="tekstzboku"/>
                        <w:rPr>
                          <w:bCs w:val="0"/>
                        </w:rPr>
                      </w:pPr>
                      <w:r w:rsidRPr="0088655F">
                        <w:t>W 2020 r. w związku z pandemią COVID-19, a co za tym idzie przejściem na pracę i nauczanie w trybie zdalnym</w:t>
                      </w:r>
                      <w:r>
                        <w:t xml:space="preserve"> (dotyczy to również pozostałych kontaktów międzyludzkich)</w:t>
                      </w:r>
                      <w:r w:rsidRPr="0088655F">
                        <w:t>, wystąpił wzrost poziomu wyposażenia gospodarstw domowych między innymi w następujące dobra: drukarka, urządzenie z dostępem do</w:t>
                      </w:r>
                      <w:r>
                        <w:t xml:space="preserve"> </w:t>
                      </w:r>
                      <w:r w:rsidRPr="0088655F">
                        <w:t>I</w:t>
                      </w:r>
                      <w:r>
                        <w:t>nternetu (w tym komputer osobisty i </w:t>
                      </w:r>
                      <w:r w:rsidRPr="0088655F">
                        <w:t>smartfon</w:t>
                      </w:r>
                      <w: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7546" w:rsidRPr="00824CBC">
        <w:rPr>
          <w:rFonts w:ascii="Fira Sans SemiBold" w:hAnsi="Fira Sans SemiBold"/>
          <w:color w:val="001D77"/>
          <w:szCs w:val="19"/>
          <w:shd w:val="clear" w:color="auto" w:fill="FFFFFF"/>
        </w:rPr>
        <w:t>Wyposażenie w przedmioty trwałego użytkowania</w:t>
      </w:r>
    </w:p>
    <w:p w14:paraId="16CF4C21" w14:textId="12033637" w:rsidR="00C67546" w:rsidRPr="002318CF" w:rsidRDefault="00EF3520" w:rsidP="00C67546">
      <w:pPr>
        <w:rPr>
          <w:szCs w:val="19"/>
          <w:shd w:val="clear" w:color="auto" w:fill="FFFFFF"/>
        </w:rPr>
      </w:pPr>
      <w:r w:rsidRPr="002318CF">
        <w:rPr>
          <w:szCs w:val="19"/>
          <w:shd w:val="clear" w:color="auto" w:fill="FFFFFF"/>
        </w:rPr>
        <w:t>W 20</w:t>
      </w:r>
      <w:r w:rsidR="0091214B" w:rsidRPr="002318CF">
        <w:rPr>
          <w:szCs w:val="19"/>
          <w:shd w:val="clear" w:color="auto" w:fill="FFFFFF"/>
        </w:rPr>
        <w:t>20</w:t>
      </w:r>
      <w:r w:rsidR="00C67546" w:rsidRPr="002318CF">
        <w:rPr>
          <w:szCs w:val="19"/>
          <w:shd w:val="clear" w:color="auto" w:fill="FFFFFF"/>
        </w:rPr>
        <w:t xml:space="preserve"> </w:t>
      </w:r>
      <w:r w:rsidR="00632CC4" w:rsidRPr="002318CF">
        <w:rPr>
          <w:szCs w:val="19"/>
          <w:shd w:val="clear" w:color="auto" w:fill="FFFFFF"/>
        </w:rPr>
        <w:t xml:space="preserve">r. </w:t>
      </w:r>
      <w:r w:rsidR="001931C9" w:rsidRPr="002318CF">
        <w:rPr>
          <w:szCs w:val="19"/>
          <w:shd w:val="clear" w:color="auto" w:fill="FFFFFF"/>
        </w:rPr>
        <w:t>wy</w:t>
      </w:r>
      <w:r w:rsidR="00C67546" w:rsidRPr="002318CF">
        <w:rPr>
          <w:szCs w:val="19"/>
          <w:shd w:val="clear" w:color="auto" w:fill="FFFFFF"/>
        </w:rPr>
        <w:t>stąpił wzrost poziomu wyposażenia gospodarstw dom</w:t>
      </w:r>
      <w:r w:rsidR="0090252D" w:rsidRPr="002318CF">
        <w:rPr>
          <w:szCs w:val="19"/>
          <w:shd w:val="clear" w:color="auto" w:fill="FFFFFF"/>
        </w:rPr>
        <w:t xml:space="preserve">owych w </w:t>
      </w:r>
      <w:r w:rsidR="00D67E76" w:rsidRPr="002318CF">
        <w:rPr>
          <w:szCs w:val="19"/>
          <w:shd w:val="clear" w:color="auto" w:fill="FFFFFF"/>
        </w:rPr>
        <w:t xml:space="preserve">drukarkę </w:t>
      </w:r>
      <w:r w:rsidR="003123D0" w:rsidRPr="002318CF">
        <w:rPr>
          <w:szCs w:val="19"/>
          <w:shd w:val="clear" w:color="auto" w:fill="FFFFFF"/>
        </w:rPr>
        <w:t>(</w:t>
      </w:r>
      <w:r w:rsidR="00632CC4" w:rsidRPr="002318CF">
        <w:rPr>
          <w:szCs w:val="19"/>
          <w:shd w:val="clear" w:color="auto" w:fill="FFFFFF"/>
        </w:rPr>
        <w:t>o </w:t>
      </w:r>
      <w:r w:rsidR="003123D0" w:rsidRPr="002318CF">
        <w:rPr>
          <w:szCs w:val="19"/>
          <w:shd w:val="clear" w:color="auto" w:fill="FFFFFF"/>
        </w:rPr>
        <w:t xml:space="preserve">17,1%), </w:t>
      </w:r>
      <w:r w:rsidR="00A56EB5" w:rsidRPr="002318CF">
        <w:rPr>
          <w:szCs w:val="19"/>
          <w:shd w:val="clear" w:color="auto" w:fill="FFFFFF"/>
        </w:rPr>
        <w:t>zmywarkę do naczyń (o</w:t>
      </w:r>
      <w:r w:rsidR="007325B4" w:rsidRPr="002318CF">
        <w:rPr>
          <w:szCs w:val="19"/>
          <w:shd w:val="clear" w:color="auto" w:fill="FFFFFF"/>
        </w:rPr>
        <w:t> </w:t>
      </w:r>
      <w:r w:rsidR="0091214B" w:rsidRPr="002318CF">
        <w:rPr>
          <w:szCs w:val="19"/>
          <w:shd w:val="clear" w:color="auto" w:fill="FFFFFF"/>
        </w:rPr>
        <w:t>14,0</w:t>
      </w:r>
      <w:r w:rsidR="00F35E1A" w:rsidRPr="002318CF">
        <w:rPr>
          <w:szCs w:val="19"/>
          <w:shd w:val="clear" w:color="auto" w:fill="FFFFFF"/>
        </w:rPr>
        <w:t>%)</w:t>
      </w:r>
      <w:r w:rsidR="004462D1" w:rsidRPr="002318CF">
        <w:rPr>
          <w:szCs w:val="19"/>
          <w:shd w:val="clear" w:color="auto" w:fill="FFFFFF"/>
        </w:rPr>
        <w:t>,</w:t>
      </w:r>
      <w:r w:rsidR="00F35E1A" w:rsidRPr="002318CF">
        <w:rPr>
          <w:szCs w:val="19"/>
          <w:shd w:val="clear" w:color="auto" w:fill="FFFFFF"/>
        </w:rPr>
        <w:t xml:space="preserve"> </w:t>
      </w:r>
      <w:r w:rsidR="0091214B" w:rsidRPr="002318CF">
        <w:rPr>
          <w:szCs w:val="19"/>
          <w:shd w:val="clear" w:color="auto" w:fill="FFFFFF"/>
        </w:rPr>
        <w:t>smartfon (o 9,6%)</w:t>
      </w:r>
      <w:r w:rsidR="004462D1" w:rsidRPr="002318CF">
        <w:rPr>
          <w:szCs w:val="19"/>
          <w:shd w:val="clear" w:color="auto" w:fill="FFFFFF"/>
        </w:rPr>
        <w:t>, urządzenie z dostępem do Internetu (o</w:t>
      </w:r>
      <w:r w:rsidR="007325B4" w:rsidRPr="002318CF">
        <w:rPr>
          <w:szCs w:val="19"/>
          <w:shd w:val="clear" w:color="auto" w:fill="FFFFFF"/>
        </w:rPr>
        <w:t> </w:t>
      </w:r>
      <w:r w:rsidR="004462D1" w:rsidRPr="002318CF">
        <w:rPr>
          <w:szCs w:val="19"/>
          <w:shd w:val="clear" w:color="auto" w:fill="FFFFFF"/>
        </w:rPr>
        <w:t>6,1%), samochód osobowy(o</w:t>
      </w:r>
      <w:r w:rsidR="007325B4" w:rsidRPr="002318CF">
        <w:rPr>
          <w:szCs w:val="19"/>
          <w:shd w:val="clear" w:color="auto" w:fill="FFFFFF"/>
        </w:rPr>
        <w:t> </w:t>
      </w:r>
      <w:r w:rsidR="004462D1" w:rsidRPr="002318CF">
        <w:rPr>
          <w:szCs w:val="19"/>
          <w:shd w:val="clear" w:color="auto" w:fill="FFFFFF"/>
        </w:rPr>
        <w:t>5,3%) oraz komputer osobisty (o</w:t>
      </w:r>
      <w:r w:rsidR="007325B4" w:rsidRPr="002318CF">
        <w:rPr>
          <w:szCs w:val="19"/>
          <w:shd w:val="clear" w:color="auto" w:fill="FFFFFF"/>
        </w:rPr>
        <w:t> </w:t>
      </w:r>
      <w:r w:rsidR="004462D1" w:rsidRPr="002318CF">
        <w:rPr>
          <w:szCs w:val="19"/>
          <w:shd w:val="clear" w:color="auto" w:fill="FFFFFF"/>
        </w:rPr>
        <w:t>5,2%)</w:t>
      </w:r>
      <w:r w:rsidR="006A45AE" w:rsidRPr="002318CF">
        <w:rPr>
          <w:szCs w:val="19"/>
          <w:shd w:val="clear" w:color="auto" w:fill="FFFFFF"/>
        </w:rPr>
        <w:t>.</w:t>
      </w:r>
      <w:r w:rsidR="00F35E1A" w:rsidRPr="002318CF">
        <w:rPr>
          <w:szCs w:val="19"/>
          <w:shd w:val="clear" w:color="auto" w:fill="FFFFFF"/>
        </w:rPr>
        <w:t xml:space="preserve"> </w:t>
      </w:r>
      <w:r w:rsidR="001648F5" w:rsidRPr="002318CF">
        <w:rPr>
          <w:szCs w:val="19"/>
          <w:shd w:val="clear" w:color="auto" w:fill="FFFFFF"/>
        </w:rPr>
        <w:t>W porównaniu z</w:t>
      </w:r>
      <w:r w:rsidR="00CF7C9E" w:rsidRPr="002318CF">
        <w:rPr>
          <w:szCs w:val="19"/>
          <w:shd w:val="clear" w:color="auto" w:fill="FFFFFF"/>
        </w:rPr>
        <w:t> </w:t>
      </w:r>
      <w:r w:rsidR="001648F5" w:rsidRPr="002318CF">
        <w:rPr>
          <w:szCs w:val="19"/>
          <w:shd w:val="clear" w:color="auto" w:fill="FFFFFF"/>
        </w:rPr>
        <w:t>2019 r. dynamika ta była wyższa (za wyjątkiem urządzenia z dostępem do Internetu</w:t>
      </w:r>
      <w:r w:rsidR="00E65ED8" w:rsidRPr="002318CF">
        <w:rPr>
          <w:szCs w:val="19"/>
          <w:shd w:val="clear" w:color="auto" w:fill="FFFFFF"/>
        </w:rPr>
        <w:t>, gdzie</w:t>
      </w:r>
      <w:r w:rsidR="001648F5" w:rsidRPr="002318CF">
        <w:rPr>
          <w:szCs w:val="19"/>
          <w:shd w:val="clear" w:color="auto" w:fill="FFFFFF"/>
        </w:rPr>
        <w:t xml:space="preserve"> dynamika pozostała na poziomie z 2019 r.). Dla </w:t>
      </w:r>
      <w:r w:rsidR="00F35E1A" w:rsidRPr="002318CF">
        <w:rPr>
          <w:szCs w:val="19"/>
          <w:shd w:val="clear" w:color="auto" w:fill="FFFFFF"/>
        </w:rPr>
        <w:t>części dóbr kierunek zmian odwróc</w:t>
      </w:r>
      <w:r w:rsidR="00E65ED8" w:rsidRPr="002318CF">
        <w:rPr>
          <w:szCs w:val="19"/>
          <w:shd w:val="clear" w:color="auto" w:fill="FFFFFF"/>
        </w:rPr>
        <w:t>ił się</w:t>
      </w:r>
      <w:r w:rsidR="00F35E1A" w:rsidRPr="002318CF">
        <w:rPr>
          <w:szCs w:val="19"/>
          <w:shd w:val="clear" w:color="auto" w:fill="FFFFFF"/>
        </w:rPr>
        <w:t xml:space="preserve">, skutkując spadkiem poziomu wyposażenia gospodarstw domowych w </w:t>
      </w:r>
      <w:r w:rsidR="003123D0" w:rsidRPr="002318CF">
        <w:rPr>
          <w:szCs w:val="19"/>
          <w:shd w:val="clear" w:color="auto" w:fill="FFFFFF"/>
        </w:rPr>
        <w:t>motocykl, skuter, motorower</w:t>
      </w:r>
      <w:r w:rsidR="00EA3A97" w:rsidRPr="002318CF">
        <w:rPr>
          <w:szCs w:val="19"/>
          <w:shd w:val="clear" w:color="auto" w:fill="FFFFFF"/>
        </w:rPr>
        <w:t xml:space="preserve"> (</w:t>
      </w:r>
      <w:r w:rsidR="005E6676" w:rsidRPr="002318CF">
        <w:rPr>
          <w:szCs w:val="19"/>
          <w:shd w:val="clear" w:color="auto" w:fill="FFFFFF"/>
        </w:rPr>
        <w:t>spa</w:t>
      </w:r>
      <w:r w:rsidR="000E17FE" w:rsidRPr="002318CF">
        <w:rPr>
          <w:szCs w:val="19"/>
          <w:shd w:val="clear" w:color="auto" w:fill="FFFFFF"/>
        </w:rPr>
        <w:t>dek o </w:t>
      </w:r>
      <w:r w:rsidR="003123D0" w:rsidRPr="002318CF">
        <w:rPr>
          <w:szCs w:val="19"/>
          <w:shd w:val="clear" w:color="auto" w:fill="FFFFFF"/>
        </w:rPr>
        <w:t>25,0</w:t>
      </w:r>
      <w:r w:rsidR="005F2B8E" w:rsidRPr="002318CF">
        <w:rPr>
          <w:szCs w:val="19"/>
          <w:shd w:val="clear" w:color="auto" w:fill="FFFFFF"/>
        </w:rPr>
        <w:t>%</w:t>
      </w:r>
      <w:r w:rsidR="00E65ED8" w:rsidRPr="002318CF">
        <w:rPr>
          <w:szCs w:val="19"/>
          <w:shd w:val="clear" w:color="auto" w:fill="FFFFFF"/>
        </w:rPr>
        <w:t xml:space="preserve"> liczby gospodarstw je posiadających</w:t>
      </w:r>
      <w:r w:rsidR="00EA3A97" w:rsidRPr="002318CF">
        <w:rPr>
          <w:szCs w:val="19"/>
          <w:shd w:val="clear" w:color="auto" w:fill="FFFFFF"/>
        </w:rPr>
        <w:t xml:space="preserve">), </w:t>
      </w:r>
      <w:r w:rsidR="003123D0" w:rsidRPr="002318CF">
        <w:rPr>
          <w:szCs w:val="19"/>
          <w:shd w:val="clear" w:color="auto" w:fill="FFFFFF"/>
        </w:rPr>
        <w:t>konsolę do gier</w:t>
      </w:r>
      <w:r w:rsidR="00F35E1A" w:rsidRPr="002318CF">
        <w:rPr>
          <w:szCs w:val="19"/>
          <w:shd w:val="clear" w:color="auto" w:fill="FFFFFF"/>
        </w:rPr>
        <w:t xml:space="preserve"> (</w:t>
      </w:r>
      <w:r w:rsidR="000E17FE" w:rsidRPr="002318CF">
        <w:rPr>
          <w:szCs w:val="19"/>
          <w:shd w:val="clear" w:color="auto" w:fill="FFFFFF"/>
        </w:rPr>
        <w:t xml:space="preserve">spadek </w:t>
      </w:r>
      <w:r w:rsidR="005F2B8E" w:rsidRPr="002318CF">
        <w:rPr>
          <w:szCs w:val="19"/>
          <w:shd w:val="clear" w:color="auto" w:fill="FFFFFF"/>
        </w:rPr>
        <w:t>o</w:t>
      </w:r>
      <w:r w:rsidR="007325B4" w:rsidRPr="002318CF">
        <w:rPr>
          <w:szCs w:val="19"/>
          <w:shd w:val="clear" w:color="auto" w:fill="FFFFFF"/>
        </w:rPr>
        <w:t> </w:t>
      </w:r>
      <w:r w:rsidR="003123D0" w:rsidRPr="002318CF">
        <w:rPr>
          <w:szCs w:val="19"/>
          <w:shd w:val="clear" w:color="auto" w:fill="FFFFFF"/>
        </w:rPr>
        <w:t>4,2</w:t>
      </w:r>
      <w:r w:rsidR="000E17FE" w:rsidRPr="002318CF">
        <w:rPr>
          <w:szCs w:val="19"/>
          <w:shd w:val="clear" w:color="auto" w:fill="FFFFFF"/>
        </w:rPr>
        <w:t>%</w:t>
      </w:r>
      <w:r w:rsidR="00EA3A97" w:rsidRPr="002318CF">
        <w:rPr>
          <w:szCs w:val="19"/>
          <w:shd w:val="clear" w:color="auto" w:fill="FFFFFF"/>
        </w:rPr>
        <w:t>).</w:t>
      </w:r>
      <w:r w:rsidR="009445C3" w:rsidRPr="002318CF">
        <w:rPr>
          <w:szCs w:val="19"/>
          <w:shd w:val="clear" w:color="auto" w:fill="FFFFFF"/>
        </w:rPr>
        <w:t xml:space="preserve"> Należy zwrócić uwagę na fakt, iż </w:t>
      </w:r>
      <w:r w:rsidR="00553690" w:rsidRPr="002318CF">
        <w:rPr>
          <w:szCs w:val="19"/>
          <w:shd w:val="clear" w:color="auto" w:fill="FFFFFF"/>
        </w:rPr>
        <w:t>w</w:t>
      </w:r>
      <w:r w:rsidR="00D010B3" w:rsidRPr="002318CF">
        <w:rPr>
          <w:szCs w:val="19"/>
          <w:shd w:val="clear" w:color="auto" w:fill="FFFFFF"/>
        </w:rPr>
        <w:t> </w:t>
      </w:r>
      <w:r w:rsidR="00553690" w:rsidRPr="002318CF">
        <w:rPr>
          <w:szCs w:val="19"/>
          <w:shd w:val="clear" w:color="auto" w:fill="FFFFFF"/>
        </w:rPr>
        <w:t>przypadku urządzeń z dostępem do Internetu największy wzrost w stosunku do 2019</w:t>
      </w:r>
      <w:r w:rsidR="0088655F" w:rsidRPr="002318CF">
        <w:rPr>
          <w:szCs w:val="19"/>
          <w:shd w:val="clear" w:color="auto" w:fill="FFFFFF"/>
        </w:rPr>
        <w:t> </w:t>
      </w:r>
      <w:r w:rsidR="00553690" w:rsidRPr="002318CF">
        <w:rPr>
          <w:szCs w:val="19"/>
          <w:shd w:val="clear" w:color="auto" w:fill="FFFFFF"/>
        </w:rPr>
        <w:t>r. odnotowano w grupie emerytów i</w:t>
      </w:r>
      <w:r w:rsidR="00204FA6">
        <w:rPr>
          <w:szCs w:val="19"/>
          <w:shd w:val="clear" w:color="auto" w:fill="FFFFFF"/>
        </w:rPr>
        <w:t> </w:t>
      </w:r>
      <w:r w:rsidR="00553690" w:rsidRPr="002318CF">
        <w:rPr>
          <w:szCs w:val="19"/>
          <w:shd w:val="clear" w:color="auto" w:fill="FFFFFF"/>
        </w:rPr>
        <w:t xml:space="preserve">rencistów (o 18,8%), </w:t>
      </w:r>
      <w:r w:rsidR="00CA67DB" w:rsidRPr="002318CF">
        <w:rPr>
          <w:szCs w:val="19"/>
          <w:shd w:val="clear" w:color="auto" w:fill="FFFFFF"/>
        </w:rPr>
        <w:t xml:space="preserve">a szczególne znaczenie miał tu wzrost wyposażenia w </w:t>
      </w:r>
      <w:r w:rsidR="00553690" w:rsidRPr="002318CF">
        <w:rPr>
          <w:szCs w:val="19"/>
          <w:shd w:val="clear" w:color="auto" w:fill="FFFFFF"/>
        </w:rPr>
        <w:t>smartfony</w:t>
      </w:r>
      <w:r w:rsidR="00CA65A7">
        <w:rPr>
          <w:szCs w:val="19"/>
          <w:shd w:val="clear" w:color="auto" w:fill="FFFFFF"/>
        </w:rPr>
        <w:t xml:space="preserve"> (o </w:t>
      </w:r>
      <w:r w:rsidR="001648F5" w:rsidRPr="002318CF">
        <w:rPr>
          <w:szCs w:val="19"/>
          <w:shd w:val="clear" w:color="auto" w:fill="FFFFFF"/>
        </w:rPr>
        <w:t>27,9%).</w:t>
      </w:r>
    </w:p>
    <w:p w14:paraId="39AA43F6" w14:textId="0F1F77A5" w:rsidR="00C67546" w:rsidRPr="00017628" w:rsidRDefault="00C67546" w:rsidP="00C67546">
      <w:pPr>
        <w:rPr>
          <w:szCs w:val="19"/>
          <w:shd w:val="clear" w:color="auto" w:fill="FFFFFF"/>
        </w:rPr>
      </w:pPr>
      <w:r w:rsidRPr="00017628">
        <w:rPr>
          <w:szCs w:val="19"/>
          <w:shd w:val="clear" w:color="auto" w:fill="FFFFFF"/>
        </w:rPr>
        <w:t xml:space="preserve">Poziom wyposażenia gospodarstw domowych w przedmioty trwałego użytkowania </w:t>
      </w:r>
      <w:r w:rsidR="00155632" w:rsidRPr="00017628">
        <w:rPr>
          <w:szCs w:val="19"/>
          <w:shd w:val="clear" w:color="auto" w:fill="FFFFFF"/>
        </w:rPr>
        <w:t xml:space="preserve">zależy </w:t>
      </w:r>
      <w:r w:rsidRPr="00017628">
        <w:rPr>
          <w:szCs w:val="19"/>
          <w:shd w:val="clear" w:color="auto" w:fill="FFFFFF"/>
        </w:rPr>
        <w:t>w dużym stopniu od ich sytuacji materialnej.</w:t>
      </w:r>
    </w:p>
    <w:p w14:paraId="53FDF94D" w14:textId="7A564FE0" w:rsidR="00C67546" w:rsidRPr="003D4CB5" w:rsidRDefault="00F31B85" w:rsidP="00C67546">
      <w:pPr>
        <w:rPr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 xml:space="preserve">Gospodarstwa najbogatsze (V grupa </w:t>
      </w:r>
      <w:proofErr w:type="spellStart"/>
      <w:r>
        <w:rPr>
          <w:spacing w:val="-2"/>
          <w:szCs w:val="19"/>
          <w:shd w:val="clear" w:color="auto" w:fill="FFFFFF"/>
        </w:rPr>
        <w:t>kwintylowa</w:t>
      </w:r>
      <w:proofErr w:type="spellEnd"/>
      <w:r>
        <w:rPr>
          <w:spacing w:val="-2"/>
          <w:szCs w:val="19"/>
          <w:shd w:val="clear" w:color="auto" w:fill="FFFFFF"/>
        </w:rPr>
        <w:t xml:space="preserve">) były znacznie lepiej wyposażone niż gospodarstwa najuboższe (I grupa </w:t>
      </w:r>
      <w:proofErr w:type="spellStart"/>
      <w:r>
        <w:rPr>
          <w:spacing w:val="-2"/>
          <w:szCs w:val="19"/>
          <w:shd w:val="clear" w:color="auto" w:fill="FFFFFF"/>
        </w:rPr>
        <w:t>kwintylowa</w:t>
      </w:r>
      <w:proofErr w:type="spellEnd"/>
      <w:r>
        <w:rPr>
          <w:spacing w:val="-2"/>
          <w:szCs w:val="19"/>
          <w:shd w:val="clear" w:color="auto" w:fill="FFFFFF"/>
        </w:rPr>
        <w:t xml:space="preserve">). Podkreślić należy jednak, że różnice w stopniu wyposażenia pomiędzy V i </w:t>
      </w:r>
      <w:proofErr w:type="spellStart"/>
      <w:r>
        <w:rPr>
          <w:spacing w:val="-2"/>
          <w:szCs w:val="19"/>
          <w:shd w:val="clear" w:color="auto" w:fill="FFFFFF"/>
        </w:rPr>
        <w:t>I</w:t>
      </w:r>
      <w:proofErr w:type="spellEnd"/>
      <w:r>
        <w:rPr>
          <w:spacing w:val="-2"/>
          <w:szCs w:val="19"/>
          <w:shd w:val="clear" w:color="auto" w:fill="FFFFFF"/>
        </w:rPr>
        <w:t xml:space="preserve"> grupą </w:t>
      </w:r>
      <w:proofErr w:type="spellStart"/>
      <w:r>
        <w:rPr>
          <w:spacing w:val="-2"/>
          <w:szCs w:val="19"/>
          <w:shd w:val="clear" w:color="auto" w:fill="FFFFFF"/>
        </w:rPr>
        <w:t>kwintylową</w:t>
      </w:r>
      <w:proofErr w:type="spellEnd"/>
      <w:r>
        <w:rPr>
          <w:spacing w:val="-2"/>
          <w:szCs w:val="19"/>
          <w:shd w:val="clear" w:color="auto" w:fill="FFFFFF"/>
        </w:rPr>
        <w:t xml:space="preserve"> zmniejszyły się w stosunku do 2019 r., najbardziej – o 5,7</w:t>
      </w:r>
      <w:r w:rsidR="00012126">
        <w:rPr>
          <w:spacing w:val="-2"/>
          <w:szCs w:val="19"/>
          <w:shd w:val="clear" w:color="auto" w:fill="FFFFFF"/>
        </w:rPr>
        <w:t> </w:t>
      </w:r>
      <w:r>
        <w:rPr>
          <w:spacing w:val="-2"/>
          <w:szCs w:val="19"/>
          <w:shd w:val="clear" w:color="auto" w:fill="FFFFFF"/>
        </w:rPr>
        <w:t>p.</w:t>
      </w:r>
      <w:r w:rsidR="00012126">
        <w:rPr>
          <w:spacing w:val="-2"/>
          <w:szCs w:val="19"/>
          <w:shd w:val="clear" w:color="auto" w:fill="FFFFFF"/>
        </w:rPr>
        <w:t> </w:t>
      </w:r>
      <w:r>
        <w:rPr>
          <w:spacing w:val="-2"/>
          <w:szCs w:val="19"/>
          <w:shd w:val="clear" w:color="auto" w:fill="FFFFFF"/>
        </w:rPr>
        <w:t xml:space="preserve">proc. – w przypadku samochodu osobowego i </w:t>
      </w:r>
      <w:r w:rsidR="00F05C7A">
        <w:rPr>
          <w:spacing w:val="-2"/>
          <w:szCs w:val="19"/>
          <w:shd w:val="clear" w:color="auto" w:fill="FFFFFF"/>
        </w:rPr>
        <w:t xml:space="preserve">– </w:t>
      </w:r>
      <w:r w:rsidR="00C45227">
        <w:rPr>
          <w:spacing w:val="-2"/>
          <w:szCs w:val="19"/>
          <w:shd w:val="clear" w:color="auto" w:fill="FFFFFF"/>
        </w:rPr>
        <w:t xml:space="preserve">o </w:t>
      </w:r>
      <w:r>
        <w:rPr>
          <w:spacing w:val="-2"/>
          <w:szCs w:val="19"/>
          <w:shd w:val="clear" w:color="auto" w:fill="FFFFFF"/>
        </w:rPr>
        <w:t>5,</w:t>
      </w:r>
      <w:r w:rsidR="001648F5">
        <w:rPr>
          <w:spacing w:val="-2"/>
          <w:szCs w:val="19"/>
          <w:shd w:val="clear" w:color="auto" w:fill="FFFFFF"/>
        </w:rPr>
        <w:t>1</w:t>
      </w:r>
      <w:r>
        <w:rPr>
          <w:spacing w:val="-2"/>
          <w:szCs w:val="19"/>
          <w:shd w:val="clear" w:color="auto" w:fill="FFFFFF"/>
        </w:rPr>
        <w:t xml:space="preserve"> p. proc. – zmywarki do naczyń. Dla pozostałych dóbr zmiany były nieznaczne.</w:t>
      </w:r>
    </w:p>
    <w:p w14:paraId="5151DD02" w14:textId="77777777" w:rsidR="0090252D" w:rsidRPr="00903E49" w:rsidRDefault="0090252D" w:rsidP="00C67546">
      <w:pPr>
        <w:rPr>
          <w:szCs w:val="19"/>
          <w:shd w:val="clear" w:color="auto" w:fill="FFFFFF"/>
        </w:rPr>
      </w:pPr>
    </w:p>
    <w:p w14:paraId="4C986DFE" w14:textId="77777777" w:rsidR="002F3918" w:rsidRDefault="00E65F46" w:rsidP="002F3918">
      <w:pPr>
        <w:spacing w:line="240" w:lineRule="auto"/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037EF7C6" wp14:editId="109FFCB7">
            <wp:extent cx="5122545" cy="2698750"/>
            <wp:effectExtent l="0" t="0" r="1905" b="6350"/>
            <wp:docPr id="31" name="Wykres 3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EC08211" w14:textId="77777777" w:rsidR="0090252D" w:rsidRPr="00230699" w:rsidRDefault="0090252D" w:rsidP="002F3918">
      <w:pPr>
        <w:spacing w:line="240" w:lineRule="auto"/>
        <w:rPr>
          <w:szCs w:val="19"/>
          <w:shd w:val="clear" w:color="auto" w:fill="FFFFFF"/>
        </w:rPr>
      </w:pPr>
    </w:p>
    <w:p w14:paraId="0A4A8305" w14:textId="3CF84259" w:rsidR="00C67546" w:rsidRPr="00E16FA5" w:rsidRDefault="00C67546" w:rsidP="00C67546">
      <w:pPr>
        <w:rPr>
          <w:szCs w:val="19"/>
          <w:shd w:val="clear" w:color="auto" w:fill="FFFFFF"/>
        </w:rPr>
      </w:pPr>
      <w:r w:rsidRPr="00E16FA5">
        <w:rPr>
          <w:szCs w:val="19"/>
          <w:shd w:val="clear" w:color="auto" w:fill="FFFFFF"/>
        </w:rPr>
        <w:t>Pod względem wyposażenia w sprzęt nowej generacji</w:t>
      </w:r>
      <w:r w:rsidR="00D609A6">
        <w:rPr>
          <w:szCs w:val="19"/>
          <w:shd w:val="clear" w:color="auto" w:fill="FFFFFF"/>
        </w:rPr>
        <w:t>,</w:t>
      </w:r>
      <w:r w:rsidRPr="00E16FA5">
        <w:rPr>
          <w:szCs w:val="19"/>
          <w:shd w:val="clear" w:color="auto" w:fill="FFFFFF"/>
        </w:rPr>
        <w:t xml:space="preserve"> taki jak urządzenie z dostępem do Internetu</w:t>
      </w:r>
      <w:r w:rsidR="009C1A80" w:rsidRPr="00E16FA5">
        <w:rPr>
          <w:rStyle w:val="Odwoanieprzypisudolnego"/>
          <w:szCs w:val="19"/>
          <w:shd w:val="clear" w:color="auto" w:fill="FFFFFF"/>
        </w:rPr>
        <w:footnoteReference w:id="8"/>
      </w:r>
      <w:r w:rsidR="00353DE2">
        <w:rPr>
          <w:szCs w:val="19"/>
          <w:shd w:val="clear" w:color="auto" w:fill="FFFFFF"/>
        </w:rPr>
        <w:t>, w tym</w:t>
      </w:r>
      <w:r w:rsidRPr="00E16FA5">
        <w:rPr>
          <w:szCs w:val="19"/>
          <w:shd w:val="clear" w:color="auto" w:fill="FFFFFF"/>
        </w:rPr>
        <w:t xml:space="preserve"> smartfon</w:t>
      </w:r>
      <w:r w:rsidR="006C3C6D" w:rsidRPr="00E16FA5">
        <w:rPr>
          <w:rStyle w:val="Odwoanieprzypisudolnego"/>
          <w:szCs w:val="19"/>
          <w:shd w:val="clear" w:color="auto" w:fill="FFFFFF"/>
        </w:rPr>
        <w:footnoteReference w:id="9"/>
      </w:r>
      <w:r w:rsidR="00353DE2">
        <w:rPr>
          <w:szCs w:val="19"/>
          <w:shd w:val="clear" w:color="auto" w:fill="FFFFFF"/>
        </w:rPr>
        <w:t xml:space="preserve">, </w:t>
      </w:r>
      <w:r w:rsidR="0088655F">
        <w:rPr>
          <w:szCs w:val="19"/>
          <w:shd w:val="clear" w:color="auto" w:fill="FFFFFF"/>
        </w:rPr>
        <w:t xml:space="preserve">w lepszej sytuacji </w:t>
      </w:r>
      <w:r w:rsidR="00353DE2">
        <w:rPr>
          <w:szCs w:val="19"/>
          <w:shd w:val="clear" w:color="auto" w:fill="FFFFFF"/>
        </w:rPr>
        <w:t>były</w:t>
      </w:r>
      <w:r w:rsidRPr="00E16FA5">
        <w:rPr>
          <w:szCs w:val="19"/>
          <w:shd w:val="clear" w:color="auto" w:fill="FFFFFF"/>
        </w:rPr>
        <w:t xml:space="preserve"> gospodarstwa domowe zamieszkujące miasta niż gospodarstwa domowe </w:t>
      </w:r>
      <w:r w:rsidR="00636FBD" w:rsidRPr="00E16FA5">
        <w:rPr>
          <w:szCs w:val="19"/>
          <w:shd w:val="clear" w:color="auto" w:fill="FFFFFF"/>
        </w:rPr>
        <w:t xml:space="preserve">mieszkające </w:t>
      </w:r>
      <w:r w:rsidRPr="00E16FA5">
        <w:rPr>
          <w:szCs w:val="19"/>
          <w:shd w:val="clear" w:color="auto" w:fill="FFFFFF"/>
        </w:rPr>
        <w:t xml:space="preserve">na wsi. W przypadku </w:t>
      </w:r>
      <w:r w:rsidR="00E16FA5">
        <w:rPr>
          <w:szCs w:val="19"/>
          <w:shd w:val="clear" w:color="auto" w:fill="FFFFFF"/>
        </w:rPr>
        <w:t>telewizora plazmowego lub LCD i </w:t>
      </w:r>
      <w:r w:rsidRPr="00E16FA5">
        <w:rPr>
          <w:szCs w:val="19"/>
          <w:shd w:val="clear" w:color="auto" w:fill="FFFFFF"/>
        </w:rPr>
        <w:t xml:space="preserve">zmywarki do naczyń </w:t>
      </w:r>
      <w:r w:rsidR="00636FBD" w:rsidRPr="00E16FA5">
        <w:rPr>
          <w:szCs w:val="19"/>
          <w:shd w:val="clear" w:color="auto" w:fill="FFFFFF"/>
        </w:rPr>
        <w:t>wystąpiły niewielkie różnice</w:t>
      </w:r>
      <w:r w:rsidRPr="00E16FA5">
        <w:rPr>
          <w:szCs w:val="19"/>
          <w:shd w:val="clear" w:color="auto" w:fill="FFFFFF"/>
        </w:rPr>
        <w:t>, natomiast zdecydowanie większy odsetek go</w:t>
      </w:r>
      <w:r w:rsidR="005260D6" w:rsidRPr="00E16FA5">
        <w:rPr>
          <w:szCs w:val="19"/>
          <w:shd w:val="clear" w:color="auto" w:fill="FFFFFF"/>
        </w:rPr>
        <w:t>spodarstw domowych na wsi niż w </w:t>
      </w:r>
      <w:r w:rsidRPr="00E16FA5">
        <w:rPr>
          <w:szCs w:val="19"/>
          <w:shd w:val="clear" w:color="auto" w:fill="FFFFFF"/>
        </w:rPr>
        <w:t xml:space="preserve">mieście posiadał </w:t>
      </w:r>
      <w:r w:rsidR="00C45227">
        <w:rPr>
          <w:szCs w:val="19"/>
          <w:shd w:val="clear" w:color="auto" w:fill="FFFFFF"/>
        </w:rPr>
        <w:t xml:space="preserve">rower (o 25,0 p. proc.), </w:t>
      </w:r>
      <w:r w:rsidRPr="00E16FA5">
        <w:rPr>
          <w:szCs w:val="19"/>
          <w:shd w:val="clear" w:color="auto" w:fill="FFFFFF"/>
        </w:rPr>
        <w:t>samochód osobowy</w:t>
      </w:r>
      <w:r w:rsidR="002318CF">
        <w:rPr>
          <w:szCs w:val="19"/>
          <w:shd w:val="clear" w:color="auto" w:fill="FFFFFF"/>
        </w:rPr>
        <w:t xml:space="preserve"> (o 14,1 p. proc.)</w:t>
      </w:r>
      <w:r w:rsidR="00C45227">
        <w:rPr>
          <w:szCs w:val="19"/>
          <w:shd w:val="clear" w:color="auto" w:fill="FFFFFF"/>
        </w:rPr>
        <w:t xml:space="preserve"> lub</w:t>
      </w:r>
      <w:r w:rsidRPr="00E16FA5">
        <w:rPr>
          <w:szCs w:val="19"/>
          <w:shd w:val="clear" w:color="auto" w:fill="FFFFFF"/>
        </w:rPr>
        <w:t xml:space="preserve"> motocykl, skuter, motorower </w:t>
      </w:r>
      <w:r w:rsidR="00C45227">
        <w:rPr>
          <w:szCs w:val="19"/>
          <w:shd w:val="clear" w:color="auto" w:fill="FFFFFF"/>
        </w:rPr>
        <w:t>(o 5,4 p. proc.)</w:t>
      </w:r>
      <w:r w:rsidRPr="00E16FA5">
        <w:rPr>
          <w:szCs w:val="19"/>
          <w:shd w:val="clear" w:color="auto" w:fill="FFFFFF"/>
        </w:rPr>
        <w:t>.</w:t>
      </w:r>
      <w:r w:rsidR="000C4C55" w:rsidRPr="00E16FA5">
        <w:rPr>
          <w:szCs w:val="19"/>
          <w:shd w:val="clear" w:color="auto" w:fill="FFFFFF"/>
        </w:rPr>
        <w:t xml:space="preserve"> </w:t>
      </w:r>
      <w:r w:rsidR="002412B5" w:rsidRPr="00E16FA5">
        <w:rPr>
          <w:szCs w:val="19"/>
          <w:shd w:val="clear" w:color="auto" w:fill="FFFFFF"/>
        </w:rPr>
        <w:t>W porównaniu z 201</w:t>
      </w:r>
      <w:r w:rsidR="008C6D2A">
        <w:rPr>
          <w:szCs w:val="19"/>
          <w:shd w:val="clear" w:color="auto" w:fill="FFFFFF"/>
        </w:rPr>
        <w:t>9</w:t>
      </w:r>
      <w:r w:rsidR="002412B5" w:rsidRPr="00E16FA5">
        <w:rPr>
          <w:szCs w:val="19"/>
          <w:shd w:val="clear" w:color="auto" w:fill="FFFFFF"/>
        </w:rPr>
        <w:t xml:space="preserve"> r</w:t>
      </w:r>
      <w:r w:rsidR="007325B4">
        <w:rPr>
          <w:szCs w:val="19"/>
          <w:shd w:val="clear" w:color="auto" w:fill="FFFFFF"/>
        </w:rPr>
        <w:t>.</w:t>
      </w:r>
      <w:r w:rsidR="002412B5" w:rsidRPr="00E16FA5">
        <w:rPr>
          <w:szCs w:val="19"/>
          <w:shd w:val="clear" w:color="auto" w:fill="FFFFFF"/>
        </w:rPr>
        <w:t xml:space="preserve"> różnice</w:t>
      </w:r>
      <w:r w:rsidR="00353DE2">
        <w:rPr>
          <w:szCs w:val="19"/>
          <w:shd w:val="clear" w:color="auto" w:fill="FFFFFF"/>
        </w:rPr>
        <w:t xml:space="preserve"> między miastem a wsią</w:t>
      </w:r>
      <w:r w:rsidR="000C4C55" w:rsidRPr="00E16FA5">
        <w:rPr>
          <w:szCs w:val="19"/>
          <w:shd w:val="clear" w:color="auto" w:fill="FFFFFF"/>
        </w:rPr>
        <w:t xml:space="preserve"> w stopniu wyposażenia </w:t>
      </w:r>
      <w:r w:rsidR="001648F5">
        <w:rPr>
          <w:szCs w:val="19"/>
          <w:shd w:val="clear" w:color="auto" w:fill="FFFFFF"/>
        </w:rPr>
        <w:t xml:space="preserve">w sprzęt nowej generacji </w:t>
      </w:r>
      <w:r w:rsidR="000C4C55" w:rsidRPr="00E16FA5">
        <w:rPr>
          <w:szCs w:val="19"/>
          <w:shd w:val="clear" w:color="auto" w:fill="FFFFFF"/>
        </w:rPr>
        <w:t>zmniejszyły</w:t>
      </w:r>
      <w:r w:rsidR="00591BA7" w:rsidRPr="00E16FA5">
        <w:rPr>
          <w:szCs w:val="19"/>
          <w:shd w:val="clear" w:color="auto" w:fill="FFFFFF"/>
        </w:rPr>
        <w:t xml:space="preserve"> się nieznacznie na korzyść wsi.</w:t>
      </w:r>
    </w:p>
    <w:p w14:paraId="45191054" w14:textId="36631DAF" w:rsidR="002F3918" w:rsidRDefault="00117F74" w:rsidP="002F3918">
      <w:pPr>
        <w:spacing w:line="240" w:lineRule="auto"/>
        <w:rPr>
          <w:spacing w:val="-4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07F935B5" wp14:editId="287E80D4">
                <wp:simplePos x="0" y="0"/>
                <wp:positionH relativeFrom="column">
                  <wp:posOffset>5210175</wp:posOffset>
                </wp:positionH>
                <wp:positionV relativeFrom="paragraph">
                  <wp:posOffset>581025</wp:posOffset>
                </wp:positionV>
                <wp:extent cx="1781175" cy="1485900"/>
                <wp:effectExtent l="0" t="0" r="0" b="0"/>
                <wp:wrapTight wrapText="bothSides">
                  <wp:wrapPolygon edited="0">
                    <wp:start x="462" y="0"/>
                    <wp:lineTo x="462" y="21323"/>
                    <wp:lineTo x="20791" y="21323"/>
                    <wp:lineTo x="20791" y="0"/>
                    <wp:lineTo x="462" y="0"/>
                  </wp:wrapPolygon>
                </wp:wrapTight>
                <wp:docPr id="41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D1F0F" w14:textId="49D8266E" w:rsidR="00E913EA" w:rsidRPr="00230699" w:rsidRDefault="00E913EA" w:rsidP="00C67546">
                            <w:pPr>
                              <w:pStyle w:val="tekstzboku"/>
                            </w:pPr>
                            <w:r w:rsidRPr="00230699">
                              <w:t>Na wsi większy odsetek gospodarstw domowych posiada</w:t>
                            </w:r>
                            <w:r>
                              <w:t>ł</w:t>
                            </w:r>
                            <w:r w:rsidRPr="00230699">
                              <w:t xml:space="preserve"> rower</w:t>
                            </w:r>
                            <w:r>
                              <w:t>,</w:t>
                            </w:r>
                            <w:r w:rsidRPr="00230699">
                              <w:t xml:space="preserve"> samochód osobowy lub motocykl, skuter, motorower, natomiast gospodarstwa domowe w miastach </w:t>
                            </w:r>
                            <w:r>
                              <w:t>były</w:t>
                            </w:r>
                            <w:r w:rsidRPr="00230699">
                              <w:t xml:space="preserve"> lepiej wypo</w:t>
                            </w:r>
                            <w:r>
                              <w:t>sażone w sprzęt nowej generacji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35B5" id="Pole tekstowe 28" o:spid="_x0000_s1041" type="#_x0000_t202" style="position:absolute;margin-left:410.25pt;margin-top:45.75pt;width:140.25pt;height:117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xd/QEAANYDAAAOAAAAZHJzL2Uyb0RvYy54bWysU8Fu2zAMvQ/YPwi6L46DZEmNOEXXosOA&#10;bi3Q7QMYWY6F2qJGKbG7rx8lJ1m23YZdBEmkHh8fn9bXQ9eKgyZv0JYyn0yl0FZhZeyulN++3r9b&#10;SeED2ApatLqUr9rL683bN+veFXqGDbaVJsEg1he9K2UTgiuyzKtGd+An6LTlYI3UQeAj7bKKoGf0&#10;rs1m0+n7rEeqHKHS3vPt3RiUm4Rf11qFx7r2Ooi2lMwtpJXSuo1rtllDsSNwjVFHGvAPLDowloue&#10;oe4ggNiT+QuqM4rQYx0mCrsM69oonXrgbvLpH908N+B06oXF8e4sk/9/sOrL4YmEqUo5z6Ww0PGM&#10;nrDVIugXH7DXYraKIvXOF5z77Dg7DB9w4GGnhr17QPXihcXbBuxO3xBh32iomGQeX2YXT0ccH0G2&#10;/WesuBjsAyagoaYuKsiaCEbnYb2eB6SHIFQsuVzl+XIhheJYPl8trqZphBkUp+eOfPiosRNxU0pi&#10;ByR4ODz4EOlAcUqJ1Szem7ZNLmjtbxecGG8S/ch45B6G7ZDkyhcnWbZYvXJDhKO5+DPwpkH6IUXP&#10;xiql/74H0lK0nyyLcpXP59GJ6TBfLGd8oMvI9jICVjFUKYMU4/Y2jO7dOzK7hiuNY7B4w0LWJrUY&#10;FR9ZHfmzeVLnR6NHd16eU9av77j5CQAA//8DAFBLAwQUAAYACAAAACEA6mkCRd8AAAALAQAADwAA&#10;AGRycy9kb3ducmV2LnhtbEyPTU/DMAyG70j8h8hI3FjSQtHW1Z0QiCuI8SHtlrVeW9E4VZOt5d/j&#10;neBkWX70+nmLzex6daIxdJ4RkoUBRVz5uuMG4eP9+WYJKkTLte09E8IPBdiUlxeFzWs/8RudtrFR&#10;EsIhtwhtjEOudahacjYs/EAst4MfnY2yjo2uRztJuOt1asy9drZj+dDagR5bqr63R4fw+XLYfd2Z&#10;1+bJZcPkZ6PZrTTi9dX8sAYVaY5/MJz1RR1Kcdr7I9dB9QjL1GSCIqwSmWcgMYm02yPcplkGuiz0&#10;/w7lLwAAAP//AwBQSwECLQAUAAYACAAAACEAtoM4kv4AAADhAQAAEwAAAAAAAAAAAAAAAAAAAAAA&#10;W0NvbnRlbnRfVHlwZXNdLnhtbFBLAQItABQABgAIAAAAIQA4/SH/1gAAAJQBAAALAAAAAAAAAAAA&#10;AAAAAC8BAABfcmVscy8ucmVsc1BLAQItABQABgAIAAAAIQAdtaxd/QEAANYDAAAOAAAAAAAAAAAA&#10;AAAAAC4CAABkcnMvZTJvRG9jLnhtbFBLAQItABQABgAIAAAAIQDqaQJF3wAAAAsBAAAPAAAAAAAA&#10;AAAAAAAAAFcEAABkcnMvZG93bnJldi54bWxQSwUGAAAAAAQABADzAAAAYwUAAAAA&#10;" filled="f" stroked="f">
                <v:textbox>
                  <w:txbxContent>
                    <w:p w14:paraId="727D1F0F" w14:textId="49D8266E" w:rsidR="00E913EA" w:rsidRPr="00230699" w:rsidRDefault="00E913EA" w:rsidP="00C67546">
                      <w:pPr>
                        <w:pStyle w:val="tekstzboku"/>
                      </w:pPr>
                      <w:r w:rsidRPr="00230699">
                        <w:t>Na wsi większy odsetek gospodarstw domowych posiada</w:t>
                      </w:r>
                      <w:r>
                        <w:t>ł</w:t>
                      </w:r>
                      <w:r w:rsidRPr="00230699">
                        <w:t xml:space="preserve"> rower</w:t>
                      </w:r>
                      <w:r>
                        <w:t>,</w:t>
                      </w:r>
                      <w:r w:rsidRPr="00230699">
                        <w:t xml:space="preserve"> samochód osobowy lub motocykl, skuter, motorower, natomiast gospodarstwa domowe w miastach </w:t>
                      </w:r>
                      <w:r>
                        <w:t>były</w:t>
                      </w:r>
                      <w:r w:rsidRPr="00230699">
                        <w:t xml:space="preserve"> lepiej wypo</w:t>
                      </w:r>
                      <w:r>
                        <w:t>sażone w sprzęt nowej generacji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E6A9C">
        <w:rPr>
          <w:noProof/>
          <w:lang w:eastAsia="pl-PL"/>
        </w:rPr>
        <w:drawing>
          <wp:inline distT="0" distB="0" distL="0" distR="0" wp14:anchorId="7E8E0F5B" wp14:editId="1A7DD965">
            <wp:extent cx="5122545" cy="2590800"/>
            <wp:effectExtent l="0" t="0" r="1905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37689D6" w14:textId="77777777" w:rsidR="005E4CC8" w:rsidRDefault="005E4CC8" w:rsidP="002F3918">
      <w:pPr>
        <w:spacing w:line="240" w:lineRule="auto"/>
        <w:rPr>
          <w:spacing w:val="-4"/>
          <w:szCs w:val="19"/>
          <w:shd w:val="clear" w:color="auto" w:fill="FFFFFF"/>
        </w:rPr>
      </w:pPr>
    </w:p>
    <w:p w14:paraId="6D943D35" w14:textId="72AA511D" w:rsidR="00C67546" w:rsidRPr="009B0189" w:rsidRDefault="00117F74" w:rsidP="0090252D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9B018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57761B61" wp14:editId="738D7E5F">
                <wp:simplePos x="0" y="0"/>
                <wp:positionH relativeFrom="column">
                  <wp:posOffset>5210175</wp:posOffset>
                </wp:positionH>
                <wp:positionV relativeFrom="paragraph">
                  <wp:posOffset>160119</wp:posOffset>
                </wp:positionV>
                <wp:extent cx="1725295" cy="1714500"/>
                <wp:effectExtent l="0" t="0" r="0" b="0"/>
                <wp:wrapTight wrapText="bothSides">
                  <wp:wrapPolygon edited="0">
                    <wp:start x="477" y="0"/>
                    <wp:lineTo x="477" y="21360"/>
                    <wp:lineTo x="20749" y="21360"/>
                    <wp:lineTo x="20749" y="0"/>
                    <wp:lineTo x="477" y="0"/>
                  </wp:wrapPolygon>
                </wp:wrapTight>
                <wp:docPr id="40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F1564" w14:textId="3DFDB7C4" w:rsidR="00E913EA" w:rsidRPr="00230699" w:rsidRDefault="00E913EA" w:rsidP="00C675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2020</w:t>
                            </w:r>
                            <w:r w:rsidRPr="002306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Pr="002306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sytuacja mieszkaniowa gospodarstw domowych nieznacznie się poprawiła. Przeciętne gospodarstwo domowe zajmo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wało mieszkanie o powierzchni 81,9</w:t>
                            </w:r>
                            <w:r w:rsidRPr="002306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</w:t>
                            </w:r>
                            <w:r w:rsidRPr="002306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składające się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z 3 pokoi. Systematyczny wzrost przeciętnej wielkości mieszkania trwa od 2013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1B61" id="Pole tekstowe 26" o:spid="_x0000_s1042" type="#_x0000_t202" style="position:absolute;margin-left:410.25pt;margin-top:12.6pt;width:135.85pt;height:135pt;z-index:-25149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xm+wEAANYDAAAOAAAAZHJzL2Uyb0RvYy54bWysU8Fu2zAMvQ/YPwi6L46NpFmNOEXXosOA&#10;bi3Q7QMYWY6F2qJGKbG7rx8lp1m23YZdBEmkHh8fn9ZXY9+JgyZv0FYyn82l0FZhbeyukt++3r17&#10;L4UPYGvo0OpKvmgvrzZv36wHV+oCW+xqTYJBrC8HV8k2BFdmmVet7sHP0GnLwQaph8BH2mU1wcDo&#10;fZcV8/lFNiDVjlBp7/n2dgrKTcJvGq3CQ9N4HURXSeYW0kpp3cY126yh3BG41qgjDfgHFj0Yy0VP&#10;ULcQQOzJ/AXVG0XosQkzhX2GTWOUTj1wN/n8j26eWnA69cLieHeSyf8/WPXl8EjC1JVcsDwWep7R&#10;I3ZaBP3sAw5aFBdRpMH5knOfHGeH8QOOPOzUsHf3qJ69sHjTgt3payIcWg01k8zjy+zs6YTjI8h2&#10;+Iw1F4N9wAQ0NtRHBVkTwejM5uU0ID0GoWLJVbEsLpdSKI7lq3yxnKcRZlC+Pnfkw0eNvYibShI7&#10;IMHD4d6HSAfK15RYzeKd6brkgs7+dsGJ8SbRj4wn7mHcjkmu/CTLFusXbohwMhd/Bt60SD+kGNhY&#10;lfTf90Baiu6TZVEu80WUOqTDYrkq+EDnke15BKxiqEoGKabtTZjcu3dkdi1XmsZg8ZqFbExqMSo+&#10;sTryZ/Okzo9Gj+48P6esX99x8xMAAP//AwBQSwMEFAAGAAgAAAAhAMRtqE3dAAAACwEAAA8AAABk&#10;cnMvZG93bnJldi54bWxMj81OwzAQhO9IfQdrK/VGbawGNSFOhUBcQZQfiZsbb5OIeB3FbhPenu0J&#10;brszo9lvy93se3HGMXaBDNysFQikOriOGgPvb0/XWxAxWXK2D4QGfjDCrlpclbZwYaJXPO9TI7iE&#10;YmENtCkNhZSxbtHbuA4DEnvHMHqbeB0b6UY7cbnvpVbqVnrbEV9o7YAPLdbf+5M38PF8/PrcqJfm&#10;0WfDFGYlyefSmNVyvr8DkXBOf2G44DM6VMx0CCdyUfQGtlplHDWgMw3iElC55unASs6SrEr5/4fq&#10;FwAA//8DAFBLAQItABQABgAIAAAAIQC2gziS/gAAAOEBAAATAAAAAAAAAAAAAAAAAAAAAABbQ29u&#10;dGVudF9UeXBlc10ueG1sUEsBAi0AFAAGAAgAAAAhADj9If/WAAAAlAEAAAsAAAAAAAAAAAAAAAAA&#10;LwEAAF9yZWxzLy5yZWxzUEsBAi0AFAAGAAgAAAAhAKk3XGb7AQAA1gMAAA4AAAAAAAAAAAAAAAAA&#10;LgIAAGRycy9lMm9Eb2MueG1sUEsBAi0AFAAGAAgAAAAhAMRtqE3dAAAACwEAAA8AAAAAAAAAAAAA&#10;AAAAVQQAAGRycy9kb3ducmV2LnhtbFBLBQYAAAAABAAEAPMAAABfBQAAAAA=&#10;" filled="f" stroked="f">
                <v:textbox>
                  <w:txbxContent>
                    <w:p w14:paraId="151F1564" w14:textId="3DFDB7C4" w:rsidR="00E913EA" w:rsidRPr="00230699" w:rsidRDefault="00E913EA" w:rsidP="00C675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2020</w:t>
                      </w:r>
                      <w:r w:rsidRPr="002306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Pr="002306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sytuacja mieszkaniowa gospodarstw domowych nieznacznie się poprawiła. Przeciętne gospodarstwo domowe zajmo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wało mieszkanie o powierzchni 81,9</w:t>
                      </w:r>
                      <w:r w:rsidRPr="002306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</w:t>
                      </w:r>
                      <w:r w:rsidRPr="002306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składające się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z 3 pokoi. Systematyczny wzrost przeciętnej wielkości mieszkania trwa od 2013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7546" w:rsidRPr="009B0189">
        <w:rPr>
          <w:rFonts w:ascii="Fira Sans SemiBold" w:hAnsi="Fira Sans SemiBold"/>
          <w:color w:val="001D77"/>
          <w:szCs w:val="19"/>
          <w:shd w:val="clear" w:color="auto" w:fill="FFFFFF"/>
        </w:rPr>
        <w:t>Warunki mieszkaniowe</w:t>
      </w:r>
    </w:p>
    <w:p w14:paraId="6AFCFA29" w14:textId="77777777" w:rsidR="00C67546" w:rsidRPr="00017628" w:rsidRDefault="00C67546" w:rsidP="00C67546">
      <w:pPr>
        <w:rPr>
          <w:spacing w:val="-2"/>
          <w:szCs w:val="19"/>
          <w:shd w:val="clear" w:color="auto" w:fill="FFFFFF"/>
        </w:rPr>
      </w:pPr>
      <w:r w:rsidRPr="00017628">
        <w:rPr>
          <w:spacing w:val="-2"/>
          <w:szCs w:val="19"/>
          <w:shd w:val="clear" w:color="auto" w:fill="FFFFFF"/>
        </w:rPr>
        <w:t xml:space="preserve">Przeciętne </w:t>
      </w:r>
      <w:r w:rsidR="007C0412" w:rsidRPr="00017628">
        <w:rPr>
          <w:spacing w:val="-2"/>
          <w:szCs w:val="19"/>
          <w:shd w:val="clear" w:color="auto" w:fill="FFFFFF"/>
        </w:rPr>
        <w:t>gospodarstwo domowe w 20</w:t>
      </w:r>
      <w:r w:rsidR="00327F5B">
        <w:rPr>
          <w:spacing w:val="-2"/>
          <w:szCs w:val="19"/>
          <w:shd w:val="clear" w:color="auto" w:fill="FFFFFF"/>
        </w:rPr>
        <w:t>20</w:t>
      </w:r>
      <w:r w:rsidRPr="00017628">
        <w:rPr>
          <w:spacing w:val="-2"/>
          <w:szCs w:val="19"/>
          <w:shd w:val="clear" w:color="auto" w:fill="FFFFFF"/>
        </w:rPr>
        <w:t xml:space="preserve"> r</w:t>
      </w:r>
      <w:r w:rsidR="007325B4">
        <w:rPr>
          <w:spacing w:val="-2"/>
          <w:szCs w:val="19"/>
          <w:shd w:val="clear" w:color="auto" w:fill="FFFFFF"/>
        </w:rPr>
        <w:t>.</w:t>
      </w:r>
      <w:r w:rsidRPr="00017628">
        <w:rPr>
          <w:spacing w:val="-2"/>
          <w:szCs w:val="19"/>
          <w:shd w:val="clear" w:color="auto" w:fill="FFFFFF"/>
        </w:rPr>
        <w:t xml:space="preserve"> zajmo</w:t>
      </w:r>
      <w:r w:rsidR="007C0412" w:rsidRPr="00017628">
        <w:rPr>
          <w:spacing w:val="-2"/>
          <w:szCs w:val="19"/>
          <w:shd w:val="clear" w:color="auto" w:fill="FFFFFF"/>
        </w:rPr>
        <w:t xml:space="preserve">wało mieszkanie o powierzchni </w:t>
      </w:r>
      <w:r w:rsidR="00327F5B">
        <w:rPr>
          <w:spacing w:val="-2"/>
          <w:szCs w:val="19"/>
          <w:shd w:val="clear" w:color="auto" w:fill="FFFFFF"/>
        </w:rPr>
        <w:t>81,9</w:t>
      </w:r>
      <w:r w:rsidRPr="00017628">
        <w:rPr>
          <w:spacing w:val="-2"/>
          <w:szCs w:val="19"/>
          <w:shd w:val="clear" w:color="auto" w:fill="FFFFFF"/>
        </w:rPr>
        <w:t xml:space="preserve"> m</w:t>
      </w:r>
      <w:r w:rsidRPr="00017628">
        <w:rPr>
          <w:spacing w:val="-2"/>
          <w:szCs w:val="19"/>
          <w:shd w:val="clear" w:color="auto" w:fill="FFFFFF"/>
          <w:vertAlign w:val="superscript"/>
        </w:rPr>
        <w:t>2</w:t>
      </w:r>
      <w:r w:rsidR="007C0412" w:rsidRPr="00017628">
        <w:rPr>
          <w:spacing w:val="-2"/>
          <w:szCs w:val="19"/>
          <w:shd w:val="clear" w:color="auto" w:fill="FFFFFF"/>
        </w:rPr>
        <w:t xml:space="preserve"> (w 201</w:t>
      </w:r>
      <w:r w:rsidR="0074000C">
        <w:rPr>
          <w:spacing w:val="-2"/>
          <w:szCs w:val="19"/>
          <w:shd w:val="clear" w:color="auto" w:fill="FFFFFF"/>
        </w:rPr>
        <w:t>9</w:t>
      </w:r>
      <w:r w:rsidR="007C0412" w:rsidRPr="00017628">
        <w:rPr>
          <w:spacing w:val="-2"/>
          <w:szCs w:val="19"/>
          <w:shd w:val="clear" w:color="auto" w:fill="FFFFFF"/>
        </w:rPr>
        <w:t xml:space="preserve"> r. </w:t>
      </w:r>
      <w:r w:rsidR="0074000C">
        <w:rPr>
          <w:spacing w:val="-2"/>
          <w:szCs w:val="19"/>
          <w:shd w:val="clear" w:color="auto" w:fill="FFFFFF"/>
        </w:rPr>
        <w:t>80</w:t>
      </w:r>
      <w:r w:rsidR="007C0412" w:rsidRPr="00017628">
        <w:rPr>
          <w:spacing w:val="-2"/>
          <w:szCs w:val="19"/>
          <w:shd w:val="clear" w:color="auto" w:fill="FFFFFF"/>
        </w:rPr>
        <w:t>,4</w:t>
      </w:r>
      <w:r w:rsidRPr="00017628">
        <w:rPr>
          <w:spacing w:val="-2"/>
          <w:szCs w:val="19"/>
          <w:shd w:val="clear" w:color="auto" w:fill="FFFFFF"/>
        </w:rPr>
        <w:t xml:space="preserve"> m</w:t>
      </w:r>
      <w:r w:rsidRPr="00017628">
        <w:rPr>
          <w:spacing w:val="-2"/>
          <w:szCs w:val="19"/>
          <w:shd w:val="clear" w:color="auto" w:fill="FFFFFF"/>
          <w:vertAlign w:val="superscript"/>
        </w:rPr>
        <w:t>2</w:t>
      </w:r>
      <w:r w:rsidRPr="00017628">
        <w:rPr>
          <w:spacing w:val="-2"/>
          <w:szCs w:val="19"/>
          <w:shd w:val="clear" w:color="auto" w:fill="FFFFFF"/>
        </w:rPr>
        <w:t>), składające się z 3 pokoi. Na jedną osobę w gospo</w:t>
      </w:r>
      <w:r w:rsidR="007C0412" w:rsidRPr="00017628">
        <w:rPr>
          <w:spacing w:val="-2"/>
          <w:szCs w:val="19"/>
          <w:shd w:val="clear" w:color="auto" w:fill="FFFFFF"/>
        </w:rPr>
        <w:t xml:space="preserve">darstwie przypadało średnio </w:t>
      </w:r>
      <w:r w:rsidR="00327F5B">
        <w:rPr>
          <w:spacing w:val="-2"/>
          <w:szCs w:val="19"/>
          <w:shd w:val="clear" w:color="auto" w:fill="FFFFFF"/>
        </w:rPr>
        <w:t>29,2</w:t>
      </w:r>
      <w:r w:rsidRPr="00017628">
        <w:rPr>
          <w:spacing w:val="-2"/>
          <w:szCs w:val="19"/>
          <w:shd w:val="clear" w:color="auto" w:fill="FFFFFF"/>
        </w:rPr>
        <w:t xml:space="preserve"> m</w:t>
      </w:r>
      <w:r w:rsidRPr="00017628">
        <w:rPr>
          <w:spacing w:val="-2"/>
          <w:szCs w:val="19"/>
          <w:shd w:val="clear" w:color="auto" w:fill="FFFFFF"/>
          <w:vertAlign w:val="superscript"/>
        </w:rPr>
        <w:t>2</w:t>
      </w:r>
      <w:r w:rsidRPr="00017628">
        <w:rPr>
          <w:spacing w:val="-2"/>
          <w:szCs w:val="19"/>
          <w:shd w:val="clear" w:color="auto" w:fill="FFFFFF"/>
        </w:rPr>
        <w:t xml:space="preserve"> powierzchni użytko</w:t>
      </w:r>
      <w:r w:rsidR="007C0412" w:rsidRPr="00017628">
        <w:rPr>
          <w:spacing w:val="-2"/>
          <w:szCs w:val="19"/>
          <w:shd w:val="clear" w:color="auto" w:fill="FFFFFF"/>
        </w:rPr>
        <w:t>wej oraz 1 pokój (w 201</w:t>
      </w:r>
      <w:r w:rsidR="00327F5B">
        <w:rPr>
          <w:spacing w:val="-2"/>
          <w:szCs w:val="19"/>
          <w:shd w:val="clear" w:color="auto" w:fill="FFFFFF"/>
        </w:rPr>
        <w:t>9</w:t>
      </w:r>
      <w:r w:rsidR="007C0412" w:rsidRPr="00017628">
        <w:rPr>
          <w:spacing w:val="-2"/>
          <w:szCs w:val="19"/>
          <w:shd w:val="clear" w:color="auto" w:fill="FFFFFF"/>
        </w:rPr>
        <w:t xml:space="preserve"> r. – 28,</w:t>
      </w:r>
      <w:r w:rsidR="00327F5B">
        <w:rPr>
          <w:spacing w:val="-2"/>
          <w:szCs w:val="19"/>
          <w:shd w:val="clear" w:color="auto" w:fill="FFFFFF"/>
        </w:rPr>
        <w:t>7</w:t>
      </w:r>
      <w:r w:rsidRPr="00017628">
        <w:rPr>
          <w:spacing w:val="-2"/>
          <w:szCs w:val="19"/>
          <w:shd w:val="clear" w:color="auto" w:fill="FFFFFF"/>
        </w:rPr>
        <w:t xml:space="preserve"> m</w:t>
      </w:r>
      <w:r w:rsidRPr="00017628">
        <w:rPr>
          <w:spacing w:val="-2"/>
          <w:szCs w:val="19"/>
          <w:shd w:val="clear" w:color="auto" w:fill="FFFFFF"/>
          <w:vertAlign w:val="superscript"/>
        </w:rPr>
        <w:t>2</w:t>
      </w:r>
      <w:r w:rsidRPr="003D42E1">
        <w:rPr>
          <w:spacing w:val="-2"/>
          <w:szCs w:val="19"/>
          <w:shd w:val="clear" w:color="auto" w:fill="FFFFFF"/>
        </w:rPr>
        <w:t xml:space="preserve"> </w:t>
      </w:r>
      <w:r w:rsidRPr="00017628">
        <w:rPr>
          <w:spacing w:val="-2"/>
          <w:szCs w:val="19"/>
          <w:shd w:val="clear" w:color="auto" w:fill="FFFFFF"/>
        </w:rPr>
        <w:t xml:space="preserve">oraz 1 pokój). </w:t>
      </w:r>
    </w:p>
    <w:p w14:paraId="0615E3EB" w14:textId="6489DCA5" w:rsidR="006135D3" w:rsidRPr="00017628" w:rsidRDefault="00C67546" w:rsidP="00C67546">
      <w:pPr>
        <w:rPr>
          <w:szCs w:val="19"/>
          <w:shd w:val="clear" w:color="auto" w:fill="FFFFFF"/>
        </w:rPr>
      </w:pPr>
      <w:r w:rsidRPr="00017628">
        <w:rPr>
          <w:szCs w:val="19"/>
          <w:shd w:val="clear" w:color="auto" w:fill="FFFFFF"/>
        </w:rPr>
        <w:t>Największą przeciętną powierzchnią użytkową mieszkań dysponowały go</w:t>
      </w:r>
      <w:r w:rsidR="007C0412" w:rsidRPr="00017628">
        <w:rPr>
          <w:szCs w:val="19"/>
          <w:shd w:val="clear" w:color="auto" w:fill="FFFFFF"/>
        </w:rPr>
        <w:t xml:space="preserve">spodarstwa domowe rolników – </w:t>
      </w:r>
      <w:r w:rsidR="00327F5B">
        <w:rPr>
          <w:szCs w:val="19"/>
          <w:shd w:val="clear" w:color="auto" w:fill="FFFFFF"/>
        </w:rPr>
        <w:t>132,0</w:t>
      </w:r>
      <w:r w:rsidRPr="00017628">
        <w:rPr>
          <w:szCs w:val="19"/>
          <w:shd w:val="clear" w:color="auto" w:fill="FFFFFF"/>
        </w:rPr>
        <w:t xml:space="preserve"> m</w:t>
      </w:r>
      <w:r w:rsidRPr="00017628">
        <w:rPr>
          <w:szCs w:val="19"/>
          <w:shd w:val="clear" w:color="auto" w:fill="FFFFFF"/>
          <w:vertAlign w:val="superscript"/>
        </w:rPr>
        <w:t>2</w:t>
      </w:r>
      <w:r w:rsidR="006D3D65" w:rsidRPr="00017628">
        <w:rPr>
          <w:szCs w:val="19"/>
          <w:shd w:val="clear" w:color="auto" w:fill="FFFFFF"/>
        </w:rPr>
        <w:t>, zaś najmniejszą go</w:t>
      </w:r>
      <w:r w:rsidR="007C0412" w:rsidRPr="00017628">
        <w:rPr>
          <w:szCs w:val="19"/>
          <w:shd w:val="clear" w:color="auto" w:fill="FFFFFF"/>
        </w:rPr>
        <w:t xml:space="preserve">spodarstwa domowe rencistów – </w:t>
      </w:r>
      <w:r w:rsidR="007A668D">
        <w:rPr>
          <w:szCs w:val="19"/>
          <w:shd w:val="clear" w:color="auto" w:fill="FFFFFF"/>
        </w:rPr>
        <w:t>66,2</w:t>
      </w:r>
      <w:r w:rsidR="006D3D65" w:rsidRPr="00017628">
        <w:rPr>
          <w:szCs w:val="19"/>
          <w:shd w:val="clear" w:color="auto" w:fill="FFFFFF"/>
        </w:rPr>
        <w:t xml:space="preserve"> m</w:t>
      </w:r>
      <w:r w:rsidR="006D3D65" w:rsidRPr="00017628">
        <w:rPr>
          <w:szCs w:val="19"/>
          <w:shd w:val="clear" w:color="auto" w:fill="FFFFFF"/>
          <w:vertAlign w:val="superscript"/>
        </w:rPr>
        <w:t>2</w:t>
      </w:r>
      <w:r w:rsidR="006D3D65" w:rsidRPr="00017628">
        <w:rPr>
          <w:szCs w:val="19"/>
          <w:shd w:val="clear" w:color="auto" w:fill="FFFFFF"/>
        </w:rPr>
        <w:t>.</w:t>
      </w:r>
      <w:r w:rsidRPr="00017628">
        <w:rPr>
          <w:szCs w:val="19"/>
          <w:shd w:val="clear" w:color="auto" w:fill="FFFFFF"/>
        </w:rPr>
        <w:t xml:space="preserve"> </w:t>
      </w:r>
      <w:r w:rsidR="007C0412" w:rsidRPr="00017628">
        <w:rPr>
          <w:szCs w:val="19"/>
          <w:shd w:val="clear" w:color="auto" w:fill="FFFFFF"/>
        </w:rPr>
        <w:t xml:space="preserve">W porównaniu </w:t>
      </w:r>
      <w:r w:rsidR="007325B4">
        <w:rPr>
          <w:szCs w:val="19"/>
          <w:shd w:val="clear" w:color="auto" w:fill="FFFFFF"/>
        </w:rPr>
        <w:t xml:space="preserve">z </w:t>
      </w:r>
      <w:r w:rsidR="007C0412" w:rsidRPr="00017628">
        <w:rPr>
          <w:szCs w:val="19"/>
          <w:shd w:val="clear" w:color="auto" w:fill="FFFFFF"/>
        </w:rPr>
        <w:t>201</w:t>
      </w:r>
      <w:r w:rsidR="007A668D">
        <w:rPr>
          <w:szCs w:val="19"/>
          <w:shd w:val="clear" w:color="auto" w:fill="FFFFFF"/>
        </w:rPr>
        <w:t>9</w:t>
      </w:r>
      <w:r w:rsidR="006D3D65" w:rsidRPr="00017628">
        <w:rPr>
          <w:szCs w:val="19"/>
          <w:shd w:val="clear" w:color="auto" w:fill="FFFFFF"/>
        </w:rPr>
        <w:t xml:space="preserve"> </w:t>
      </w:r>
      <w:r w:rsidR="007325B4">
        <w:rPr>
          <w:szCs w:val="19"/>
          <w:shd w:val="clear" w:color="auto" w:fill="FFFFFF"/>
        </w:rPr>
        <w:t xml:space="preserve">r. </w:t>
      </w:r>
      <w:r w:rsidR="006F413B">
        <w:rPr>
          <w:szCs w:val="19"/>
          <w:shd w:val="clear" w:color="auto" w:fill="FFFFFF"/>
        </w:rPr>
        <w:t xml:space="preserve">największy </w:t>
      </w:r>
      <w:r w:rsidR="006D3D65" w:rsidRPr="00017628">
        <w:rPr>
          <w:szCs w:val="19"/>
          <w:shd w:val="clear" w:color="auto" w:fill="FFFFFF"/>
        </w:rPr>
        <w:t>wzrost powierzchni użytkowanego mieszkania</w:t>
      </w:r>
      <w:r w:rsidR="00C32F5B" w:rsidRPr="00017628">
        <w:rPr>
          <w:szCs w:val="19"/>
          <w:shd w:val="clear" w:color="auto" w:fill="FFFFFF"/>
        </w:rPr>
        <w:t xml:space="preserve"> </w:t>
      </w:r>
      <w:r w:rsidR="006F413B" w:rsidRPr="00017628">
        <w:rPr>
          <w:szCs w:val="19"/>
          <w:shd w:val="clear" w:color="auto" w:fill="FFFFFF"/>
        </w:rPr>
        <w:t xml:space="preserve">wystąpił </w:t>
      </w:r>
      <w:r w:rsidR="007C0412" w:rsidRPr="00017628">
        <w:rPr>
          <w:szCs w:val="19"/>
          <w:shd w:val="clear" w:color="auto" w:fill="FFFFFF"/>
        </w:rPr>
        <w:t>w gospodarstwach domowych pracowników</w:t>
      </w:r>
      <w:r w:rsidR="006F413B">
        <w:rPr>
          <w:szCs w:val="19"/>
          <w:shd w:val="clear" w:color="auto" w:fill="FFFFFF"/>
        </w:rPr>
        <w:t xml:space="preserve"> (o 2,3 </w:t>
      </w:r>
      <w:r w:rsidR="00E32350" w:rsidRPr="00017628">
        <w:rPr>
          <w:spacing w:val="-2"/>
          <w:szCs w:val="19"/>
          <w:shd w:val="clear" w:color="auto" w:fill="FFFFFF"/>
        </w:rPr>
        <w:t>m</w:t>
      </w:r>
      <w:r w:rsidR="00E32350" w:rsidRPr="00017628">
        <w:rPr>
          <w:spacing w:val="-2"/>
          <w:szCs w:val="19"/>
          <w:shd w:val="clear" w:color="auto" w:fill="FFFFFF"/>
          <w:vertAlign w:val="superscript"/>
        </w:rPr>
        <w:t>2</w:t>
      </w:r>
      <w:r w:rsidR="006F413B">
        <w:rPr>
          <w:szCs w:val="19"/>
          <w:shd w:val="clear" w:color="auto" w:fill="FFFFFF"/>
        </w:rPr>
        <w:t>)</w:t>
      </w:r>
      <w:r w:rsidR="007C0412" w:rsidRPr="00017628">
        <w:rPr>
          <w:szCs w:val="19"/>
          <w:shd w:val="clear" w:color="auto" w:fill="FFFFFF"/>
        </w:rPr>
        <w:t xml:space="preserve">, natomiast </w:t>
      </w:r>
      <w:r w:rsidR="006F413B">
        <w:rPr>
          <w:szCs w:val="19"/>
          <w:shd w:val="clear" w:color="auto" w:fill="FFFFFF"/>
        </w:rPr>
        <w:t>największy</w:t>
      </w:r>
      <w:r w:rsidR="007C0412" w:rsidRPr="00017628">
        <w:rPr>
          <w:szCs w:val="19"/>
          <w:shd w:val="clear" w:color="auto" w:fill="FFFFFF"/>
        </w:rPr>
        <w:t xml:space="preserve"> spadek </w:t>
      </w:r>
      <w:r w:rsidR="006F413B">
        <w:rPr>
          <w:szCs w:val="19"/>
          <w:shd w:val="clear" w:color="auto" w:fill="FFFFFF"/>
        </w:rPr>
        <w:t xml:space="preserve">– </w:t>
      </w:r>
      <w:r w:rsidR="007C0412" w:rsidRPr="00017628">
        <w:rPr>
          <w:szCs w:val="19"/>
          <w:shd w:val="clear" w:color="auto" w:fill="FFFFFF"/>
        </w:rPr>
        <w:t>w gospodarstwach domowych</w:t>
      </w:r>
      <w:r w:rsidR="007A668D">
        <w:rPr>
          <w:szCs w:val="19"/>
          <w:shd w:val="clear" w:color="auto" w:fill="FFFFFF"/>
        </w:rPr>
        <w:t xml:space="preserve"> rolników </w:t>
      </w:r>
      <w:r w:rsidR="006F413B">
        <w:rPr>
          <w:szCs w:val="19"/>
          <w:shd w:val="clear" w:color="auto" w:fill="FFFFFF"/>
        </w:rPr>
        <w:t xml:space="preserve">(o 2,6 </w:t>
      </w:r>
      <w:r w:rsidR="00E32350" w:rsidRPr="00017628">
        <w:rPr>
          <w:spacing w:val="-2"/>
          <w:szCs w:val="19"/>
          <w:shd w:val="clear" w:color="auto" w:fill="FFFFFF"/>
        </w:rPr>
        <w:t>m</w:t>
      </w:r>
      <w:r w:rsidR="00E32350" w:rsidRPr="00017628">
        <w:rPr>
          <w:spacing w:val="-2"/>
          <w:szCs w:val="19"/>
          <w:shd w:val="clear" w:color="auto" w:fill="FFFFFF"/>
          <w:vertAlign w:val="superscript"/>
        </w:rPr>
        <w:t>2</w:t>
      </w:r>
      <w:r w:rsidR="006F413B">
        <w:rPr>
          <w:szCs w:val="19"/>
          <w:shd w:val="clear" w:color="auto" w:fill="FFFFFF"/>
        </w:rPr>
        <w:t>)</w:t>
      </w:r>
      <w:r w:rsidR="002841EC">
        <w:rPr>
          <w:szCs w:val="19"/>
          <w:shd w:val="clear" w:color="auto" w:fill="FFFFFF"/>
        </w:rPr>
        <w:t>.</w:t>
      </w:r>
    </w:p>
    <w:p w14:paraId="10D56CF0" w14:textId="77777777" w:rsidR="00C67546" w:rsidRPr="00017628" w:rsidRDefault="00C67546" w:rsidP="00C67546">
      <w:pPr>
        <w:rPr>
          <w:szCs w:val="19"/>
          <w:shd w:val="clear" w:color="auto" w:fill="FFFFFF"/>
        </w:rPr>
      </w:pPr>
      <w:r w:rsidRPr="00017628">
        <w:rPr>
          <w:szCs w:val="19"/>
          <w:shd w:val="clear" w:color="auto" w:fill="FFFFFF"/>
        </w:rPr>
        <w:t>Największą powierzchnię użytkową na 1 osobę posiadały gos</w:t>
      </w:r>
      <w:r w:rsidR="007C0412" w:rsidRPr="00017628">
        <w:rPr>
          <w:szCs w:val="19"/>
          <w:shd w:val="clear" w:color="auto" w:fill="FFFFFF"/>
        </w:rPr>
        <w:t xml:space="preserve">podarstwa domowe </w:t>
      </w:r>
      <w:r w:rsidR="007A668D">
        <w:rPr>
          <w:szCs w:val="19"/>
          <w:shd w:val="clear" w:color="auto" w:fill="FFFFFF"/>
        </w:rPr>
        <w:t>emerytów i</w:t>
      </w:r>
      <w:r w:rsidR="007325B4">
        <w:rPr>
          <w:szCs w:val="19"/>
          <w:shd w:val="clear" w:color="auto" w:fill="FFFFFF"/>
        </w:rPr>
        <w:t> </w:t>
      </w:r>
      <w:r w:rsidR="007C0412" w:rsidRPr="00017628">
        <w:rPr>
          <w:szCs w:val="19"/>
          <w:shd w:val="clear" w:color="auto" w:fill="FFFFFF"/>
        </w:rPr>
        <w:t>rencistów (</w:t>
      </w:r>
      <w:r w:rsidR="007A668D">
        <w:rPr>
          <w:szCs w:val="19"/>
          <w:shd w:val="clear" w:color="auto" w:fill="FFFFFF"/>
        </w:rPr>
        <w:t xml:space="preserve">po </w:t>
      </w:r>
      <w:r w:rsidR="007C0412" w:rsidRPr="00017628">
        <w:rPr>
          <w:szCs w:val="19"/>
          <w:shd w:val="clear" w:color="auto" w:fill="FFFFFF"/>
        </w:rPr>
        <w:t>40,3</w:t>
      </w:r>
      <w:r w:rsidRPr="00017628">
        <w:rPr>
          <w:szCs w:val="19"/>
          <w:shd w:val="clear" w:color="auto" w:fill="FFFFFF"/>
        </w:rPr>
        <w:t xml:space="preserve"> m</w:t>
      </w:r>
      <w:r w:rsidRPr="00017628">
        <w:rPr>
          <w:szCs w:val="19"/>
          <w:shd w:val="clear" w:color="auto" w:fill="FFFFFF"/>
          <w:vertAlign w:val="superscript"/>
        </w:rPr>
        <w:t>2</w:t>
      </w:r>
      <w:r w:rsidR="00A84095" w:rsidRPr="00017628">
        <w:rPr>
          <w:szCs w:val="19"/>
          <w:shd w:val="clear" w:color="auto" w:fill="FFFFFF"/>
        </w:rPr>
        <w:t>)</w:t>
      </w:r>
      <w:r w:rsidRPr="00017628">
        <w:rPr>
          <w:szCs w:val="19"/>
          <w:shd w:val="clear" w:color="auto" w:fill="FFFFFF"/>
        </w:rPr>
        <w:t>, co wiąże się z mniejszą liczbą osób w gospodarstwie domowym, zaś najmniejszą – gospodarstwa domowe pracowników (</w:t>
      </w:r>
      <w:r w:rsidR="007A668D">
        <w:rPr>
          <w:szCs w:val="19"/>
          <w:shd w:val="clear" w:color="auto" w:fill="FFFFFF"/>
        </w:rPr>
        <w:t>25,4</w:t>
      </w:r>
      <w:r w:rsidRPr="00017628">
        <w:rPr>
          <w:szCs w:val="19"/>
          <w:shd w:val="clear" w:color="auto" w:fill="FFFFFF"/>
        </w:rPr>
        <w:t xml:space="preserve"> m</w:t>
      </w:r>
      <w:r w:rsidRPr="00017628">
        <w:rPr>
          <w:szCs w:val="19"/>
          <w:shd w:val="clear" w:color="auto" w:fill="FFFFFF"/>
          <w:vertAlign w:val="superscript"/>
        </w:rPr>
        <w:t>2</w:t>
      </w:r>
      <w:r w:rsidRPr="00017628">
        <w:rPr>
          <w:szCs w:val="19"/>
          <w:shd w:val="clear" w:color="auto" w:fill="FFFFFF"/>
        </w:rPr>
        <w:t xml:space="preserve">). </w:t>
      </w:r>
    </w:p>
    <w:p w14:paraId="66C1005D" w14:textId="6F51CA6E" w:rsidR="00C67546" w:rsidRPr="00017628" w:rsidRDefault="00C67546" w:rsidP="00C67546">
      <w:pPr>
        <w:rPr>
          <w:szCs w:val="19"/>
          <w:shd w:val="clear" w:color="auto" w:fill="FFFFFF"/>
        </w:rPr>
      </w:pPr>
      <w:r w:rsidRPr="00017628">
        <w:rPr>
          <w:szCs w:val="19"/>
          <w:shd w:val="clear" w:color="auto" w:fill="FFFFFF"/>
        </w:rPr>
        <w:t xml:space="preserve">Wielkość mieszkań użytkowanych przez gospodarstwa domowe była też zróżnicowana ze względu na poziom dochodów gospodarstwa. W przypadku gospodarstw domowych o najwyższych dochodach (V grupa </w:t>
      </w:r>
      <w:proofErr w:type="spellStart"/>
      <w:r w:rsidRPr="00017628">
        <w:rPr>
          <w:szCs w:val="19"/>
          <w:shd w:val="clear" w:color="auto" w:fill="FFFFFF"/>
        </w:rPr>
        <w:t>kwintylowa</w:t>
      </w:r>
      <w:proofErr w:type="spellEnd"/>
      <w:r w:rsidRPr="00017628">
        <w:rPr>
          <w:szCs w:val="19"/>
          <w:shd w:val="clear" w:color="auto" w:fill="FFFFFF"/>
        </w:rPr>
        <w:t>), zajmowana powierzchn</w:t>
      </w:r>
      <w:r w:rsidR="00A84095" w:rsidRPr="00017628">
        <w:rPr>
          <w:szCs w:val="19"/>
          <w:shd w:val="clear" w:color="auto" w:fill="FFFFFF"/>
        </w:rPr>
        <w:t>ia była nieznacznie mniejsza (</w:t>
      </w:r>
      <w:r w:rsidR="00564DBF">
        <w:rPr>
          <w:szCs w:val="19"/>
          <w:shd w:val="clear" w:color="auto" w:fill="FFFFFF"/>
        </w:rPr>
        <w:t>80,3</w:t>
      </w:r>
      <w:r w:rsidRPr="00017628">
        <w:rPr>
          <w:szCs w:val="19"/>
          <w:shd w:val="clear" w:color="auto" w:fill="FFFFFF"/>
        </w:rPr>
        <w:t xml:space="preserve"> m</w:t>
      </w:r>
      <w:r w:rsidRPr="00017628">
        <w:rPr>
          <w:szCs w:val="19"/>
          <w:shd w:val="clear" w:color="auto" w:fill="FFFFFF"/>
          <w:vertAlign w:val="superscript"/>
        </w:rPr>
        <w:t>2</w:t>
      </w:r>
      <w:r w:rsidRPr="00017628">
        <w:rPr>
          <w:szCs w:val="19"/>
          <w:shd w:val="clear" w:color="auto" w:fill="FFFFFF"/>
        </w:rPr>
        <w:t>) niż w gospodarstwach o najniższych docho</w:t>
      </w:r>
      <w:r w:rsidR="00A84095" w:rsidRPr="00017628">
        <w:rPr>
          <w:szCs w:val="19"/>
          <w:shd w:val="clear" w:color="auto" w:fill="FFFFFF"/>
        </w:rPr>
        <w:t xml:space="preserve">dach (I grupa </w:t>
      </w:r>
      <w:proofErr w:type="spellStart"/>
      <w:r w:rsidR="00A84095" w:rsidRPr="00017628">
        <w:rPr>
          <w:szCs w:val="19"/>
          <w:shd w:val="clear" w:color="auto" w:fill="FFFFFF"/>
        </w:rPr>
        <w:t>kwintylowa</w:t>
      </w:r>
      <w:proofErr w:type="spellEnd"/>
      <w:r w:rsidR="00A84095" w:rsidRPr="00017628">
        <w:rPr>
          <w:szCs w:val="19"/>
          <w:shd w:val="clear" w:color="auto" w:fill="FFFFFF"/>
        </w:rPr>
        <w:t xml:space="preserve">) – </w:t>
      </w:r>
      <w:r w:rsidR="00066CA6">
        <w:rPr>
          <w:szCs w:val="19"/>
          <w:shd w:val="clear" w:color="auto" w:fill="FFFFFF"/>
        </w:rPr>
        <w:t>86,6</w:t>
      </w:r>
      <w:r w:rsidRPr="00017628">
        <w:rPr>
          <w:szCs w:val="19"/>
          <w:shd w:val="clear" w:color="auto" w:fill="FFFFFF"/>
        </w:rPr>
        <w:t xml:space="preserve"> m</w:t>
      </w:r>
      <w:r w:rsidRPr="00017628">
        <w:rPr>
          <w:szCs w:val="19"/>
          <w:shd w:val="clear" w:color="auto" w:fill="FFFFFF"/>
          <w:vertAlign w:val="superscript"/>
        </w:rPr>
        <w:t>2</w:t>
      </w:r>
      <w:r w:rsidRPr="00017628">
        <w:rPr>
          <w:szCs w:val="19"/>
          <w:shd w:val="clear" w:color="auto" w:fill="FFFFFF"/>
        </w:rPr>
        <w:t>, jednak ich członkowie dysponowali dużo większą powierzchnią przypadając</w:t>
      </w:r>
      <w:r w:rsidR="009B0189">
        <w:rPr>
          <w:szCs w:val="19"/>
          <w:shd w:val="clear" w:color="auto" w:fill="FFFFFF"/>
        </w:rPr>
        <w:t>ą na 1 osobę (od</w:t>
      </w:r>
      <w:r w:rsidR="00A84095" w:rsidRPr="00017628">
        <w:rPr>
          <w:szCs w:val="19"/>
          <w:shd w:val="clear" w:color="auto" w:fill="FFFFFF"/>
        </w:rPr>
        <w:t>powiednio 37,</w:t>
      </w:r>
      <w:r w:rsidR="00066CA6">
        <w:rPr>
          <w:szCs w:val="19"/>
          <w:shd w:val="clear" w:color="auto" w:fill="FFFFFF"/>
        </w:rPr>
        <w:t>5</w:t>
      </w:r>
      <w:r w:rsidRPr="00017628">
        <w:rPr>
          <w:szCs w:val="19"/>
          <w:shd w:val="clear" w:color="auto" w:fill="FFFFFF"/>
        </w:rPr>
        <w:t> m</w:t>
      </w:r>
      <w:r w:rsidRPr="00017628">
        <w:rPr>
          <w:szCs w:val="19"/>
          <w:shd w:val="clear" w:color="auto" w:fill="FFFFFF"/>
          <w:vertAlign w:val="superscript"/>
        </w:rPr>
        <w:t>2</w:t>
      </w:r>
      <w:r w:rsidR="00A84095" w:rsidRPr="00017628">
        <w:rPr>
          <w:szCs w:val="19"/>
          <w:shd w:val="clear" w:color="auto" w:fill="FFFFFF"/>
        </w:rPr>
        <w:t xml:space="preserve"> wobec </w:t>
      </w:r>
      <w:r w:rsidR="00066CA6">
        <w:rPr>
          <w:szCs w:val="19"/>
          <w:shd w:val="clear" w:color="auto" w:fill="FFFFFF"/>
        </w:rPr>
        <w:t>23,4</w:t>
      </w:r>
      <w:r w:rsidRPr="00017628">
        <w:rPr>
          <w:szCs w:val="19"/>
          <w:shd w:val="clear" w:color="auto" w:fill="FFFFFF"/>
        </w:rPr>
        <w:t xml:space="preserve"> m</w:t>
      </w:r>
      <w:r w:rsidRPr="00017628">
        <w:rPr>
          <w:szCs w:val="19"/>
          <w:shd w:val="clear" w:color="auto" w:fill="FFFFFF"/>
          <w:vertAlign w:val="superscript"/>
        </w:rPr>
        <w:t>2</w:t>
      </w:r>
      <w:r w:rsidRPr="00017628">
        <w:rPr>
          <w:szCs w:val="19"/>
          <w:shd w:val="clear" w:color="auto" w:fill="FFFFFF"/>
        </w:rPr>
        <w:t>)</w:t>
      </w:r>
      <w:r w:rsidRPr="00017628">
        <w:rPr>
          <w:rStyle w:val="Odwoanieprzypisudolnego"/>
          <w:szCs w:val="19"/>
          <w:shd w:val="clear" w:color="auto" w:fill="FFFFFF"/>
        </w:rPr>
        <w:footnoteReference w:id="10"/>
      </w:r>
      <w:r w:rsidRPr="00017628">
        <w:rPr>
          <w:szCs w:val="19"/>
          <w:shd w:val="clear" w:color="auto" w:fill="FFFFFF"/>
        </w:rPr>
        <w:t>.</w:t>
      </w:r>
    </w:p>
    <w:p w14:paraId="1537CD13" w14:textId="7D6F7374" w:rsidR="00C67546" w:rsidRPr="00017628" w:rsidRDefault="00C67546" w:rsidP="00C67546">
      <w:pPr>
        <w:rPr>
          <w:spacing w:val="-2"/>
          <w:szCs w:val="19"/>
          <w:shd w:val="clear" w:color="auto" w:fill="FFFFFF"/>
        </w:rPr>
      </w:pPr>
      <w:r w:rsidRPr="00017628">
        <w:rPr>
          <w:spacing w:val="-2"/>
          <w:szCs w:val="19"/>
          <w:shd w:val="clear" w:color="auto" w:fill="FFFFFF"/>
        </w:rPr>
        <w:t>Systematycznie poprawia się wyposażenie mieszkań w instalacje techniczno-sanitarne. Mieszkania wypos</w:t>
      </w:r>
      <w:r w:rsidR="003475DF">
        <w:rPr>
          <w:spacing w:val="-2"/>
          <w:szCs w:val="19"/>
          <w:shd w:val="clear" w:color="auto" w:fill="FFFFFF"/>
        </w:rPr>
        <w:t>ażone w wodociąg</w:t>
      </w:r>
      <w:r w:rsidR="00C214B7" w:rsidRPr="00017628">
        <w:rPr>
          <w:spacing w:val="-2"/>
          <w:szCs w:val="19"/>
          <w:shd w:val="clear" w:color="auto" w:fill="FFFFFF"/>
        </w:rPr>
        <w:t xml:space="preserve"> </w:t>
      </w:r>
      <w:r w:rsidR="000069A9">
        <w:rPr>
          <w:spacing w:val="-2"/>
          <w:szCs w:val="19"/>
          <w:shd w:val="clear" w:color="auto" w:fill="FFFFFF"/>
        </w:rPr>
        <w:t>stanowił</w:t>
      </w:r>
      <w:r w:rsidR="00F9538F">
        <w:rPr>
          <w:spacing w:val="-2"/>
          <w:szCs w:val="19"/>
          <w:shd w:val="clear" w:color="auto" w:fill="FFFFFF"/>
        </w:rPr>
        <w:t>y</w:t>
      </w:r>
      <w:r w:rsidR="00C214B7" w:rsidRPr="00017628">
        <w:rPr>
          <w:spacing w:val="-2"/>
          <w:szCs w:val="19"/>
          <w:shd w:val="clear" w:color="auto" w:fill="FFFFFF"/>
        </w:rPr>
        <w:t xml:space="preserve"> 99,</w:t>
      </w:r>
      <w:r w:rsidR="00066CA6">
        <w:rPr>
          <w:spacing w:val="-2"/>
          <w:szCs w:val="19"/>
          <w:shd w:val="clear" w:color="auto" w:fill="FFFFFF"/>
        </w:rPr>
        <w:t>9</w:t>
      </w:r>
      <w:r w:rsidR="00C214B7" w:rsidRPr="00017628">
        <w:rPr>
          <w:spacing w:val="-2"/>
          <w:szCs w:val="19"/>
          <w:shd w:val="clear" w:color="auto" w:fill="FFFFFF"/>
        </w:rPr>
        <w:t xml:space="preserve">% </w:t>
      </w:r>
      <w:r w:rsidR="001648F5">
        <w:rPr>
          <w:spacing w:val="-2"/>
          <w:szCs w:val="19"/>
          <w:shd w:val="clear" w:color="auto" w:fill="FFFFFF"/>
        </w:rPr>
        <w:t xml:space="preserve">ogółu </w:t>
      </w:r>
      <w:r w:rsidR="00C214B7" w:rsidRPr="00017628">
        <w:rPr>
          <w:spacing w:val="-2"/>
          <w:szCs w:val="19"/>
          <w:shd w:val="clear" w:color="auto" w:fill="FFFFFF"/>
        </w:rPr>
        <w:t xml:space="preserve">gospodarstw domowych, </w:t>
      </w:r>
      <w:r w:rsidR="000069A9" w:rsidRPr="00017628">
        <w:rPr>
          <w:spacing w:val="-2"/>
          <w:szCs w:val="19"/>
          <w:shd w:val="clear" w:color="auto" w:fill="FFFFFF"/>
        </w:rPr>
        <w:t xml:space="preserve">w ustęp spłukiwany </w:t>
      </w:r>
      <w:r w:rsidR="000069A9">
        <w:rPr>
          <w:spacing w:val="-2"/>
          <w:szCs w:val="19"/>
          <w:shd w:val="clear" w:color="auto" w:fill="FFFFFF"/>
        </w:rPr>
        <w:t xml:space="preserve">– </w:t>
      </w:r>
      <w:r w:rsidR="00C214B7" w:rsidRPr="00017628">
        <w:rPr>
          <w:spacing w:val="-2"/>
          <w:szCs w:val="19"/>
          <w:shd w:val="clear" w:color="auto" w:fill="FFFFFF"/>
        </w:rPr>
        <w:t>98,</w:t>
      </w:r>
      <w:r w:rsidR="00066CA6">
        <w:rPr>
          <w:spacing w:val="-2"/>
          <w:szCs w:val="19"/>
          <w:shd w:val="clear" w:color="auto" w:fill="FFFFFF"/>
        </w:rPr>
        <w:t>9</w:t>
      </w:r>
      <w:r w:rsidR="00C214B7" w:rsidRPr="00017628">
        <w:rPr>
          <w:spacing w:val="-2"/>
          <w:szCs w:val="19"/>
          <w:shd w:val="clear" w:color="auto" w:fill="FFFFFF"/>
        </w:rPr>
        <w:t>%</w:t>
      </w:r>
      <w:r w:rsidR="00E32350">
        <w:rPr>
          <w:spacing w:val="-2"/>
          <w:szCs w:val="19"/>
          <w:shd w:val="clear" w:color="auto" w:fill="FFFFFF"/>
        </w:rPr>
        <w:t>, a</w:t>
      </w:r>
      <w:r w:rsidR="00C214B7" w:rsidRPr="00017628">
        <w:rPr>
          <w:spacing w:val="-2"/>
          <w:szCs w:val="19"/>
          <w:shd w:val="clear" w:color="auto" w:fill="FFFFFF"/>
        </w:rPr>
        <w:t xml:space="preserve"> </w:t>
      </w:r>
      <w:r w:rsidR="000069A9" w:rsidRPr="00017628">
        <w:rPr>
          <w:spacing w:val="-2"/>
          <w:szCs w:val="19"/>
          <w:shd w:val="clear" w:color="auto" w:fill="FFFFFF"/>
        </w:rPr>
        <w:t xml:space="preserve">w łazienkę </w:t>
      </w:r>
      <w:r w:rsidR="000069A9">
        <w:rPr>
          <w:spacing w:val="-2"/>
          <w:szCs w:val="19"/>
          <w:shd w:val="clear" w:color="auto" w:fill="FFFFFF"/>
        </w:rPr>
        <w:t xml:space="preserve">– </w:t>
      </w:r>
      <w:r w:rsidR="00C214B7" w:rsidRPr="00017628">
        <w:rPr>
          <w:spacing w:val="-2"/>
          <w:szCs w:val="19"/>
          <w:shd w:val="clear" w:color="auto" w:fill="FFFFFF"/>
        </w:rPr>
        <w:t>98,</w:t>
      </w:r>
      <w:r w:rsidR="00066CA6">
        <w:rPr>
          <w:spacing w:val="-2"/>
          <w:szCs w:val="19"/>
          <w:shd w:val="clear" w:color="auto" w:fill="FFFFFF"/>
        </w:rPr>
        <w:t>7</w:t>
      </w:r>
      <w:r w:rsidRPr="00017628">
        <w:rPr>
          <w:spacing w:val="-2"/>
          <w:szCs w:val="19"/>
          <w:shd w:val="clear" w:color="auto" w:fill="FFFFFF"/>
        </w:rPr>
        <w:t>%.</w:t>
      </w:r>
    </w:p>
    <w:p w14:paraId="18C30ADA" w14:textId="48BF3D5D" w:rsidR="00C67546" w:rsidRPr="00230699" w:rsidRDefault="0095783A" w:rsidP="00C67546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>Tak jak w poprzednich</w:t>
      </w:r>
      <w:r w:rsidR="00F62F42">
        <w:rPr>
          <w:spacing w:val="-2"/>
          <w:szCs w:val="19"/>
          <w:shd w:val="clear" w:color="auto" w:fill="FFFFFF"/>
        </w:rPr>
        <w:t xml:space="preserve"> </w:t>
      </w:r>
      <w:r>
        <w:rPr>
          <w:spacing w:val="-2"/>
          <w:szCs w:val="19"/>
          <w:shd w:val="clear" w:color="auto" w:fill="FFFFFF"/>
        </w:rPr>
        <w:t xml:space="preserve">latach </w:t>
      </w:r>
      <w:r w:rsidR="00F62F42">
        <w:rPr>
          <w:spacing w:val="-2"/>
          <w:szCs w:val="19"/>
          <w:shd w:val="clear" w:color="auto" w:fill="FFFFFF"/>
        </w:rPr>
        <w:t>n</w:t>
      </w:r>
      <w:r w:rsidR="00C67546" w:rsidRPr="00230699">
        <w:rPr>
          <w:spacing w:val="-2"/>
          <w:szCs w:val="19"/>
          <w:shd w:val="clear" w:color="auto" w:fill="FFFFFF"/>
        </w:rPr>
        <w:t>ajlepiej wyposażone w instalacje techniczno-sanitarne (poza wyposa</w:t>
      </w:r>
      <w:r w:rsidR="00F62F42">
        <w:rPr>
          <w:spacing w:val="-2"/>
          <w:szCs w:val="19"/>
          <w:shd w:val="clear" w:color="auto" w:fill="FFFFFF"/>
        </w:rPr>
        <w:t>żeniem w gaz i </w:t>
      </w:r>
      <w:r w:rsidR="00C67546" w:rsidRPr="00230699">
        <w:rPr>
          <w:spacing w:val="-2"/>
          <w:szCs w:val="19"/>
          <w:shd w:val="clear" w:color="auto" w:fill="FFFFFF"/>
        </w:rPr>
        <w:t xml:space="preserve">centralne ogrzewanie) były mieszkania gospodarstw domowych pracujących na własny rachunek poza gospodarstwem rolnym, a najsłabiej </w:t>
      </w:r>
      <w:r w:rsidR="002D6744" w:rsidRPr="00230699">
        <w:rPr>
          <w:spacing w:val="-2"/>
          <w:szCs w:val="19"/>
          <w:shd w:val="clear" w:color="auto" w:fill="FFFFFF"/>
        </w:rPr>
        <w:t xml:space="preserve">– </w:t>
      </w:r>
      <w:r w:rsidR="00C67546" w:rsidRPr="00230699">
        <w:rPr>
          <w:spacing w:val="-2"/>
          <w:szCs w:val="19"/>
          <w:shd w:val="clear" w:color="auto" w:fill="FFFFFF"/>
        </w:rPr>
        <w:t>gospodarstwa rencistów.</w:t>
      </w:r>
    </w:p>
    <w:p w14:paraId="0D840279" w14:textId="77777777" w:rsidR="00C67546" w:rsidRDefault="00C67546" w:rsidP="00C67546">
      <w:pPr>
        <w:rPr>
          <w:spacing w:val="-2"/>
          <w:szCs w:val="19"/>
          <w:shd w:val="clear" w:color="auto" w:fill="FFFFFF"/>
        </w:rPr>
      </w:pPr>
      <w:r w:rsidRPr="00230699">
        <w:rPr>
          <w:spacing w:val="-2"/>
          <w:szCs w:val="19"/>
          <w:shd w:val="clear" w:color="auto" w:fill="FFFFFF"/>
        </w:rPr>
        <w:t>Mieszkania gospodarstw domowych mieszkających w miastach były nieco lepiej wyposażone w instalacje sanitarno-techniczne od gospodarstw zamieszkujących wieś, z wyjątkiem wyposażenia w gaz.</w:t>
      </w:r>
    </w:p>
    <w:p w14:paraId="1C5F950E" w14:textId="14C4EF1D" w:rsidR="000E17FE" w:rsidRPr="00230699" w:rsidRDefault="000E17FE" w:rsidP="00C67546">
      <w:pPr>
        <w:rPr>
          <w:spacing w:val="-2"/>
          <w:szCs w:val="19"/>
          <w:shd w:val="clear" w:color="auto" w:fill="FFFFFF"/>
        </w:rPr>
      </w:pPr>
    </w:p>
    <w:p w14:paraId="19E5FD4D" w14:textId="76D84110" w:rsidR="00C67546" w:rsidRPr="00230699" w:rsidRDefault="00684881" w:rsidP="002F3918">
      <w:pPr>
        <w:spacing w:line="240" w:lineRule="auto"/>
        <w:jc w:val="both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69053B71" wp14:editId="0187F783">
                <wp:simplePos x="0" y="0"/>
                <wp:positionH relativeFrom="column">
                  <wp:posOffset>5210175</wp:posOffset>
                </wp:positionH>
                <wp:positionV relativeFrom="paragraph">
                  <wp:posOffset>857250</wp:posOffset>
                </wp:positionV>
                <wp:extent cx="1760220" cy="1857375"/>
                <wp:effectExtent l="0" t="0" r="0" b="9525"/>
                <wp:wrapTight wrapText="bothSides">
                  <wp:wrapPolygon edited="0">
                    <wp:start x="468" y="0"/>
                    <wp:lineTo x="468" y="21489"/>
                    <wp:lineTo x="20805" y="21489"/>
                    <wp:lineTo x="20805" y="0"/>
                    <wp:lineTo x="468" y="0"/>
                  </wp:wrapPolygon>
                </wp:wrapTight>
                <wp:docPr id="39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F59EA" w14:textId="65F59D71" w:rsidR="00E913EA" w:rsidRPr="00684881" w:rsidRDefault="00E913EA" w:rsidP="00C675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8488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Mieszkania gospodarstw domowych mieszkających w miastach były nieco lepiej wyposażone w instalacje sanitarno-techniczne od gospodarstw zamieszkujących wieś, z wyjątkiem wyposażenia w gaz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53B71" id="Pole tekstowe 25" o:spid="_x0000_s1043" type="#_x0000_t202" style="position:absolute;left:0;text-align:left;margin-left:410.25pt;margin-top:67.5pt;width:138.6pt;height:146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nM/QEAANYDAAAOAAAAZHJzL2Uyb0RvYy54bWysU8Fu2zAMvQ/YPwi6L47TpGmNOEXXosOA&#10;bivQ7QMYWY6F2qJGKbG7rx8lJ1m23YZdBEmkHh8fn1Y3Q9eKvSZv0JYyn0yl0FZhZey2lN++Pry7&#10;ksIHsBW0aHUpX7WXN+u3b1a9K/QMG2wrTYJBrC96V8omBFdkmVeN7sBP0GnLwRqpg8BH2mYVQc/o&#10;XZvNptPLrEeqHKHS3vPt/RiU64Rf11qFL3XtdRBtKZlbSCuldRPXbL2CYkvgGqMONOAfWHRgLBc9&#10;Qd1DALEj8xdUZxShxzpMFHYZ1rVROvXA3eTTP7p5bsDp1AuL491JJv//YNXn/RMJU5Xy4loKCx3P&#10;6AlbLYJ+8QF7LWaLKFLvfMG5z46zw/AeBx52ati7R1QvXli8a8Bu9S0R9o2Giknm8WV29nTE8RFk&#10;03/CiovBLmACGmrqooKsiWB0HtbraUB6CELFksvL6WzGIcWx/GqxvFgmdhkUx+eOfPigsRNxU0pi&#10;ByR42D/6EOlAcUyJ1Sw+mLZNLmjtbxecGG8S/ch45B6GzZDkypdHWTZYvXJDhKO5+DPwpkH6IUXP&#10;xiql/74D0lK0Hy2Lcp3P59GJ6TBfLGM7dB7ZnEfAKoYqZZBi3N6F0b07R2bbcKVxDBZvWcjapBaj&#10;4iOrA382T+r8YPTozvNzyvr1Hdc/AQAA//8DAFBLAwQUAAYACAAAACEAeVrLxOAAAAAMAQAADwAA&#10;AGRycy9kb3ducmV2LnhtbEyPy07DMBBF90j9B2sqsaM2oSFtiFNVILYgykNi58bTJGo8jmK3CX/P&#10;dAXL0T26c26xmVwnzjiE1pOG24UCgVR521Kt4eP9+WYFIkRD1nSeUMMPBtiUs6vC5NaP9IbnXawF&#10;l1DIjYYmxj6XMlQNOhMWvkfi7OAHZyKfQy3tYEYud51MlLqXzrTEHxrT42OD1XF3cho+Xw7fX0v1&#10;Wj+5tB/9pCS5tdT6ej5tH0BEnOIfDBd9VoeSnfb+RDaITsMqUSmjHNylPOpCqHWWgdhrWCZZCrIs&#10;5P8R5S8AAAD//wMAUEsBAi0AFAAGAAgAAAAhALaDOJL+AAAA4QEAABMAAAAAAAAAAAAAAAAAAAAA&#10;AFtDb250ZW50X1R5cGVzXS54bWxQSwECLQAUAAYACAAAACEAOP0h/9YAAACUAQAACwAAAAAAAAAA&#10;AAAAAAAvAQAAX3JlbHMvLnJlbHNQSwECLQAUAAYACAAAACEA4Bq5zP0BAADWAwAADgAAAAAAAAAA&#10;AAAAAAAuAgAAZHJzL2Uyb0RvYy54bWxQSwECLQAUAAYACAAAACEAeVrLxOAAAAAMAQAADwAAAAAA&#10;AAAAAAAAAABXBAAAZHJzL2Rvd25yZXYueG1sUEsFBgAAAAAEAAQA8wAAAGQFAAAAAA==&#10;" filled="f" stroked="f">
                <v:textbox>
                  <w:txbxContent>
                    <w:p w14:paraId="43AF59EA" w14:textId="65F59D71" w:rsidR="00E913EA" w:rsidRPr="00684881" w:rsidRDefault="00E913EA" w:rsidP="00C675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</w:pPr>
                      <w:r w:rsidRPr="00684881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Mieszkania gospodarstw domowych mieszkających w miastach były nieco lepiej wyposażone w instalacje sanitarno-techniczne od gospodarstw zamieszkujących wieś, z wyjątkiem wyposażenia w gaz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7174">
        <w:rPr>
          <w:noProof/>
          <w:lang w:eastAsia="pl-PL"/>
        </w:rPr>
        <w:drawing>
          <wp:inline distT="0" distB="0" distL="0" distR="0" wp14:anchorId="7AFC9340" wp14:editId="4BFB22C9">
            <wp:extent cx="5122545" cy="2626995"/>
            <wp:effectExtent l="0" t="0" r="1905" b="1905"/>
            <wp:docPr id="22" name="Wykres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73323D4" w14:textId="6CBB43F2" w:rsidR="00C67546" w:rsidRPr="00230699" w:rsidRDefault="00C67546" w:rsidP="00C67546">
      <w:pPr>
        <w:rPr>
          <w:spacing w:val="-2"/>
          <w:szCs w:val="19"/>
          <w:shd w:val="clear" w:color="auto" w:fill="FFFFFF"/>
        </w:rPr>
      </w:pPr>
    </w:p>
    <w:p w14:paraId="6FF23FF9" w14:textId="7CF8805B" w:rsidR="00C67546" w:rsidRDefault="00C67546" w:rsidP="00C67546">
      <w:pPr>
        <w:rPr>
          <w:szCs w:val="19"/>
          <w:shd w:val="clear" w:color="auto" w:fill="FFFFFF"/>
        </w:rPr>
      </w:pPr>
      <w:r w:rsidRPr="00017628">
        <w:rPr>
          <w:szCs w:val="19"/>
          <w:shd w:val="clear" w:color="auto" w:fill="FFFFFF"/>
        </w:rPr>
        <w:t xml:space="preserve">Istnieje wyraźna zależność między dochodami gospodarstwa a wyposażeniem mieszkania w instalacje techniczno-sanitarne, z wyjątkiem gazu, z którego najrzadziej korzystają najbogatsze gospodarstwa (V grupa </w:t>
      </w:r>
      <w:proofErr w:type="spellStart"/>
      <w:r w:rsidRPr="00017628">
        <w:rPr>
          <w:szCs w:val="19"/>
          <w:shd w:val="clear" w:color="auto" w:fill="FFFFFF"/>
        </w:rPr>
        <w:t>kwintylowa</w:t>
      </w:r>
      <w:proofErr w:type="spellEnd"/>
      <w:r w:rsidRPr="00017628">
        <w:rPr>
          <w:szCs w:val="19"/>
          <w:shd w:val="clear" w:color="auto" w:fill="FFFFFF"/>
        </w:rPr>
        <w:t xml:space="preserve">). Najbardziej znacząca różnica w tym zakresie pomiędzy I </w:t>
      </w:r>
      <w:proofErr w:type="spellStart"/>
      <w:r w:rsidRPr="00017628">
        <w:rPr>
          <w:szCs w:val="19"/>
          <w:shd w:val="clear" w:color="auto" w:fill="FFFFFF"/>
        </w:rPr>
        <w:t>i</w:t>
      </w:r>
      <w:proofErr w:type="spellEnd"/>
      <w:r w:rsidRPr="00017628">
        <w:rPr>
          <w:szCs w:val="19"/>
          <w:shd w:val="clear" w:color="auto" w:fill="FFFFFF"/>
        </w:rPr>
        <w:t xml:space="preserve"> V grupą </w:t>
      </w:r>
      <w:proofErr w:type="spellStart"/>
      <w:r w:rsidRPr="00017628">
        <w:rPr>
          <w:szCs w:val="19"/>
          <w:shd w:val="clear" w:color="auto" w:fill="FFFFFF"/>
        </w:rPr>
        <w:t>kwintylową</w:t>
      </w:r>
      <w:proofErr w:type="spellEnd"/>
      <w:r w:rsidR="00D3099D" w:rsidRPr="00017628">
        <w:rPr>
          <w:szCs w:val="19"/>
          <w:shd w:val="clear" w:color="auto" w:fill="FFFFFF"/>
        </w:rPr>
        <w:t xml:space="preserve"> na korzyść najbogatszych gospodarstw domowych</w:t>
      </w:r>
      <w:r w:rsidRPr="00017628">
        <w:rPr>
          <w:szCs w:val="19"/>
          <w:shd w:val="clear" w:color="auto" w:fill="FFFFFF"/>
        </w:rPr>
        <w:t xml:space="preserve"> dotyczyła wyposa</w:t>
      </w:r>
      <w:r w:rsidR="00F62F42" w:rsidRPr="00017628">
        <w:rPr>
          <w:szCs w:val="19"/>
          <w:shd w:val="clear" w:color="auto" w:fill="FFFFFF"/>
        </w:rPr>
        <w:t>żenia w centralne ogrzewanie (</w:t>
      </w:r>
      <w:r w:rsidR="00C062FF">
        <w:rPr>
          <w:szCs w:val="19"/>
          <w:shd w:val="clear" w:color="auto" w:fill="FFFFFF"/>
        </w:rPr>
        <w:t>6,9</w:t>
      </w:r>
      <w:r w:rsidR="00F62F42" w:rsidRPr="00017628">
        <w:rPr>
          <w:szCs w:val="19"/>
          <w:shd w:val="clear" w:color="auto" w:fill="FFFFFF"/>
        </w:rPr>
        <w:t xml:space="preserve"> p. proc.), łazienkę (</w:t>
      </w:r>
      <w:r w:rsidR="00747599">
        <w:rPr>
          <w:szCs w:val="19"/>
          <w:shd w:val="clear" w:color="auto" w:fill="FFFFFF"/>
        </w:rPr>
        <w:t>3,0</w:t>
      </w:r>
      <w:r w:rsidRPr="00017628">
        <w:rPr>
          <w:szCs w:val="19"/>
          <w:shd w:val="clear" w:color="auto" w:fill="FFFFFF"/>
        </w:rPr>
        <w:t xml:space="preserve"> p. proc.</w:t>
      </w:r>
      <w:r w:rsidR="00F62F42" w:rsidRPr="00017628">
        <w:rPr>
          <w:szCs w:val="19"/>
          <w:shd w:val="clear" w:color="auto" w:fill="FFFFFF"/>
        </w:rPr>
        <w:t>) oraz ustęp spłukiwany (</w:t>
      </w:r>
      <w:r w:rsidR="00747599">
        <w:rPr>
          <w:szCs w:val="19"/>
          <w:shd w:val="clear" w:color="auto" w:fill="FFFFFF"/>
        </w:rPr>
        <w:t>2,5</w:t>
      </w:r>
      <w:r w:rsidR="008D28A2" w:rsidRPr="00017628">
        <w:rPr>
          <w:szCs w:val="19"/>
          <w:shd w:val="clear" w:color="auto" w:fill="FFFFFF"/>
        </w:rPr>
        <w:t> p. </w:t>
      </w:r>
      <w:r w:rsidRPr="00017628">
        <w:rPr>
          <w:szCs w:val="19"/>
          <w:shd w:val="clear" w:color="auto" w:fill="FFFFFF"/>
        </w:rPr>
        <w:t>proc.). Różni</w:t>
      </w:r>
      <w:r w:rsidR="00F62F42" w:rsidRPr="00017628">
        <w:rPr>
          <w:szCs w:val="19"/>
          <w:shd w:val="clear" w:color="auto" w:fill="FFFFFF"/>
        </w:rPr>
        <w:t>ce te zmalały w stosunku do 201</w:t>
      </w:r>
      <w:r w:rsidR="00747599">
        <w:rPr>
          <w:szCs w:val="19"/>
          <w:shd w:val="clear" w:color="auto" w:fill="FFFFFF"/>
        </w:rPr>
        <w:t>9</w:t>
      </w:r>
      <w:r w:rsidRPr="00017628">
        <w:rPr>
          <w:szCs w:val="19"/>
          <w:shd w:val="clear" w:color="auto" w:fill="FFFFFF"/>
        </w:rPr>
        <w:t xml:space="preserve"> r.</w:t>
      </w:r>
    </w:p>
    <w:p w14:paraId="64611253" w14:textId="77777777" w:rsidR="005E4CC8" w:rsidRPr="00017628" w:rsidRDefault="005E4CC8" w:rsidP="00C67546">
      <w:pPr>
        <w:rPr>
          <w:szCs w:val="19"/>
          <w:shd w:val="clear" w:color="auto" w:fill="FFFFFF"/>
        </w:rPr>
      </w:pPr>
    </w:p>
    <w:p w14:paraId="3B8D29FF" w14:textId="77777777" w:rsidR="00C67546" w:rsidRPr="00230699" w:rsidRDefault="00BD5544" w:rsidP="002F3918">
      <w:pPr>
        <w:spacing w:line="240" w:lineRule="auto"/>
        <w:jc w:val="both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4525FF56" wp14:editId="5DC16626">
            <wp:extent cx="5122545" cy="2626995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190DCE7" w14:textId="51FB4208" w:rsidR="00C67546" w:rsidRPr="00230699" w:rsidRDefault="00C67546" w:rsidP="00C67546">
      <w:pPr>
        <w:spacing w:before="240"/>
        <w:rPr>
          <w:spacing w:val="-2"/>
          <w:szCs w:val="19"/>
          <w:shd w:val="clear" w:color="auto" w:fill="FFFFFF"/>
        </w:rPr>
      </w:pPr>
    </w:p>
    <w:p w14:paraId="1D77456A" w14:textId="55A03A2D" w:rsidR="00C67546" w:rsidRPr="009B0189" w:rsidRDefault="009327D7" w:rsidP="00C67546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9B018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37927FDE" wp14:editId="46A7D5CA">
                <wp:simplePos x="0" y="0"/>
                <wp:positionH relativeFrom="column">
                  <wp:posOffset>5200650</wp:posOffset>
                </wp:positionH>
                <wp:positionV relativeFrom="paragraph">
                  <wp:posOffset>160655</wp:posOffset>
                </wp:positionV>
                <wp:extent cx="1725295" cy="1200150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38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B9F8" w14:textId="593B2513" w:rsidR="00E913EA" w:rsidRPr="00230699" w:rsidRDefault="00E913EA" w:rsidP="00E4241C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S</w:t>
                            </w:r>
                            <w:r w:rsidRPr="00230699">
                              <w:t>ystematycznie poprawia się subiektywna ocena sytuacji m</w:t>
                            </w:r>
                            <w:r>
                              <w:t>aterialnej gospodarstw domowych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7FDE" id="Pole tekstowe 23" o:spid="_x0000_s1044" type="#_x0000_t202" style="position:absolute;margin-left:409.5pt;margin-top:12.65pt;width:135.85pt;height:94.5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GAFQIAAAIEAAAOAAAAZHJzL2Uyb0RvYy54bWysU11v2yAUfZ+0/4B4X/zReE2sOFXXrtOk&#10;bqvU7QcQjGNU4DIgsbNf3wtOsmh7m+YHBL7cc+8597C6GbUie+G8BNPQYpZTIgyHVpptQ398f3i3&#10;oMQHZlqmwIiGHoSnN+u3b1aDrUUJPahWOIIgxteDbWgfgq2zzPNeaOZnYIXBYAdOs4BHt81axwZE&#10;1yor8/x9NoBrrQMuvMe/91OQrhN+1wkevnWdF4GohmJvIa0urZu4ZusVq7eO2V7yYxvsH7rQTBos&#10;eoa6Z4GRnZN/QWnJHXjowoyDzqDrJBeJA7Ip8j/YPPfMisQFxfH2LJP/f7D86/7JEdk29AonZZjG&#10;GT2BEiSIFx9gEKS8iiIN1td499ni7TB+gBGHnQh7+wj8xRMDdz0zW3HrHAy9YC02WcTM7CJ1wvER&#10;ZDN8gRaLsV2ABDR2TkcFUROC6Disw3lAYgyEx5LXZVUuK0o4xgqcf1GlEWasPqVb58MnAZrETUMd&#10;OiDBs/2jD7EdVp+uxGoGHqRSyQXKkKGhy6qsUsJFRMuAJlVSN3SRx2+yTWT50bQpOTCppj0WUOZI&#10;OzKdOIdxMyaZi8VJzg20BxTCwWRKfES46cH9omRAQzbU/9wxJyhRnw2KuSzm8+jgdJhX1yUe3GVk&#10;cxlhhiNUQwMl0/YuJNdPnG9R9E4mOeJ0pk6OPaPRkkrHRxGdfHlOt34/3fUrAAAA//8DAFBLAwQU&#10;AAYACAAAACEAWgMlH98AAAALAQAADwAAAGRycy9kb3ducmV2LnhtbEyPS0/DMBCE70j8B2srcaN2&#10;+qJJs6kQiCuo5SFxc+NtEhGvo9htwr/HPdHj7Ixmv8m3o23FmXrfOEZIpgoEcelMwxXCx/vL/RqE&#10;D5qNbh0Twi952Ba3N7nOjBt4R+d9qEQsYZ9phDqELpPSlzVZ7aeuI47e0fVWhyj7SppeD7HctnKm&#10;1Epa3XD8UOuOnmoqf/Yni/D5evz+Wqi36tkuu8GNSrJNJeLdZHzcgAg0hv8wXPAjOhSR6eBObLxo&#10;EdZJGrcEhNlyDuISUKl6AHGIl2QxB1nk8npD8QcAAP//AwBQSwECLQAUAAYACAAAACEAtoM4kv4A&#10;AADhAQAAEwAAAAAAAAAAAAAAAAAAAAAAW0NvbnRlbnRfVHlwZXNdLnhtbFBLAQItABQABgAIAAAA&#10;IQA4/SH/1gAAAJQBAAALAAAAAAAAAAAAAAAAAC8BAABfcmVscy8ucmVsc1BLAQItABQABgAIAAAA&#10;IQAgRGGAFQIAAAIEAAAOAAAAAAAAAAAAAAAAAC4CAABkcnMvZTJvRG9jLnhtbFBLAQItABQABgAI&#10;AAAAIQBaAyUf3wAAAAsBAAAPAAAAAAAAAAAAAAAAAG8EAABkcnMvZG93bnJldi54bWxQSwUGAAAA&#10;AAQABADzAAAAewUAAAAA&#10;" filled="f" stroked="f">
                <v:textbox>
                  <w:txbxContent>
                    <w:p w14:paraId="15E1B9F8" w14:textId="593B2513" w:rsidR="00E913EA" w:rsidRPr="00230699" w:rsidRDefault="00E913EA" w:rsidP="00E4241C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S</w:t>
                      </w:r>
                      <w:r w:rsidRPr="00230699">
                        <w:t>ystematycznie poprawia się subiektywna ocena sytuacji m</w:t>
                      </w:r>
                      <w:r>
                        <w:t>aterialnej gospodarstw domowych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67546" w:rsidRPr="009B0189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Subiektywna ocena sytuacji materialnej gospodarstw domowych </w:t>
      </w:r>
    </w:p>
    <w:p w14:paraId="66449EE5" w14:textId="786BAB86" w:rsidR="00230679" w:rsidRDefault="00230679" w:rsidP="00230679">
      <w:pPr>
        <w:rPr>
          <w:noProof/>
          <w:spacing w:val="-2"/>
          <w:szCs w:val="19"/>
        </w:rPr>
      </w:pPr>
      <w:r w:rsidRPr="00017628">
        <w:rPr>
          <w:spacing w:val="-2"/>
          <w:szCs w:val="19"/>
          <w:shd w:val="clear" w:color="auto" w:fill="FFFFFF"/>
        </w:rPr>
        <w:t>Subiektywna ocena sytuacji materialnej gospodarstw domowych systematyczn</w:t>
      </w:r>
      <w:r w:rsidR="00DB65FE">
        <w:rPr>
          <w:spacing w:val="-2"/>
          <w:szCs w:val="19"/>
          <w:shd w:val="clear" w:color="auto" w:fill="FFFFFF"/>
        </w:rPr>
        <w:t>i</w:t>
      </w:r>
      <w:r w:rsidRPr="00017628">
        <w:rPr>
          <w:spacing w:val="-2"/>
          <w:szCs w:val="19"/>
          <w:shd w:val="clear" w:color="auto" w:fill="FFFFFF"/>
        </w:rPr>
        <w:t>e poprawi</w:t>
      </w:r>
      <w:r w:rsidR="00DB65FE">
        <w:rPr>
          <w:spacing w:val="-2"/>
          <w:szCs w:val="19"/>
          <w:shd w:val="clear" w:color="auto" w:fill="FFFFFF"/>
        </w:rPr>
        <w:t xml:space="preserve">a </w:t>
      </w:r>
      <w:r w:rsidR="00DB65FE" w:rsidRPr="009D29A8">
        <w:rPr>
          <w:spacing w:val="-2"/>
          <w:szCs w:val="19"/>
          <w:shd w:val="clear" w:color="auto" w:fill="FFFFFF"/>
        </w:rPr>
        <w:t>się</w:t>
      </w:r>
      <w:r w:rsidRPr="00017628">
        <w:rPr>
          <w:spacing w:val="-2"/>
          <w:szCs w:val="19"/>
          <w:shd w:val="clear" w:color="auto" w:fill="FFFFFF"/>
        </w:rPr>
        <w:t xml:space="preserve"> we wszystkich grupach społeczno-ekonomicznych. W 20</w:t>
      </w:r>
      <w:r>
        <w:rPr>
          <w:spacing w:val="-2"/>
          <w:szCs w:val="19"/>
          <w:shd w:val="clear" w:color="auto" w:fill="FFFFFF"/>
        </w:rPr>
        <w:t>20</w:t>
      </w:r>
      <w:r w:rsidRPr="00017628">
        <w:rPr>
          <w:spacing w:val="-2"/>
          <w:szCs w:val="19"/>
          <w:shd w:val="clear" w:color="auto" w:fill="FFFFFF"/>
        </w:rPr>
        <w:t xml:space="preserve"> r. nastąpił dalszy wzrost odsetka gospodarstw oceniających swoją sytuację materialną jako dobrą albo raczej dobrą (</w:t>
      </w:r>
      <w:r>
        <w:rPr>
          <w:spacing w:val="-2"/>
          <w:szCs w:val="19"/>
          <w:shd w:val="clear" w:color="auto" w:fill="FFFFFF"/>
        </w:rPr>
        <w:t>51,6</w:t>
      </w:r>
      <w:r w:rsidRPr="00017628">
        <w:rPr>
          <w:spacing w:val="-2"/>
          <w:szCs w:val="19"/>
          <w:shd w:val="clear" w:color="auto" w:fill="FFFFFF"/>
        </w:rPr>
        <w:t xml:space="preserve">% gospodarstw domowych ogółem wobec </w:t>
      </w:r>
      <w:r>
        <w:rPr>
          <w:spacing w:val="-2"/>
          <w:szCs w:val="19"/>
          <w:shd w:val="clear" w:color="auto" w:fill="FFFFFF"/>
        </w:rPr>
        <w:t>48,6</w:t>
      </w:r>
      <w:r w:rsidRPr="00017628">
        <w:rPr>
          <w:spacing w:val="-2"/>
          <w:szCs w:val="19"/>
          <w:shd w:val="clear" w:color="auto" w:fill="FFFFFF"/>
        </w:rPr>
        <w:t>% w 201</w:t>
      </w:r>
      <w:r>
        <w:rPr>
          <w:spacing w:val="-2"/>
          <w:szCs w:val="19"/>
          <w:shd w:val="clear" w:color="auto" w:fill="FFFFFF"/>
        </w:rPr>
        <w:t>9</w:t>
      </w:r>
      <w:r w:rsidRPr="00017628">
        <w:rPr>
          <w:spacing w:val="-2"/>
          <w:szCs w:val="19"/>
          <w:shd w:val="clear" w:color="auto" w:fill="FFFFFF"/>
        </w:rPr>
        <w:t xml:space="preserve"> r.) oraz spadek odsetka gospodarstw postrzegających ją jako raczej złą albo złą (</w:t>
      </w:r>
      <w:r>
        <w:rPr>
          <w:spacing w:val="-2"/>
          <w:szCs w:val="19"/>
          <w:shd w:val="clear" w:color="auto" w:fill="FFFFFF"/>
        </w:rPr>
        <w:t>5,8</w:t>
      </w:r>
      <w:r w:rsidRPr="00017628">
        <w:rPr>
          <w:spacing w:val="-2"/>
          <w:szCs w:val="19"/>
          <w:shd w:val="clear" w:color="auto" w:fill="FFFFFF"/>
        </w:rPr>
        <w:t xml:space="preserve">% wobec </w:t>
      </w:r>
      <w:r>
        <w:rPr>
          <w:spacing w:val="-2"/>
          <w:szCs w:val="19"/>
          <w:shd w:val="clear" w:color="auto" w:fill="FFFFFF"/>
        </w:rPr>
        <w:t>7,0</w:t>
      </w:r>
      <w:r w:rsidRPr="00017628">
        <w:rPr>
          <w:spacing w:val="-2"/>
          <w:szCs w:val="19"/>
          <w:shd w:val="clear" w:color="auto" w:fill="FFFFFF"/>
        </w:rPr>
        <w:t>% w 201</w:t>
      </w:r>
      <w:r>
        <w:rPr>
          <w:spacing w:val="-2"/>
          <w:szCs w:val="19"/>
          <w:shd w:val="clear" w:color="auto" w:fill="FFFFFF"/>
        </w:rPr>
        <w:t>9</w:t>
      </w:r>
      <w:r w:rsidRPr="00017628">
        <w:rPr>
          <w:spacing w:val="-2"/>
          <w:szCs w:val="19"/>
          <w:shd w:val="clear" w:color="auto" w:fill="FFFFFF"/>
        </w:rPr>
        <w:t xml:space="preserve"> r.).</w:t>
      </w:r>
      <w:r w:rsidRPr="00017628">
        <w:rPr>
          <w:b/>
          <w:noProof/>
          <w:spacing w:val="-2"/>
          <w:szCs w:val="19"/>
        </w:rPr>
        <w:t xml:space="preserve"> </w:t>
      </w:r>
      <w:r w:rsidRPr="00017628">
        <w:rPr>
          <w:noProof/>
          <w:spacing w:val="-2"/>
          <w:szCs w:val="19"/>
        </w:rPr>
        <w:t>Najlepiej swoją sytuację mater</w:t>
      </w:r>
      <w:r>
        <w:rPr>
          <w:noProof/>
          <w:spacing w:val="-2"/>
          <w:szCs w:val="19"/>
        </w:rPr>
        <w:t xml:space="preserve">ialną postrzegały </w:t>
      </w:r>
      <w:r w:rsidRPr="00017628">
        <w:rPr>
          <w:noProof/>
          <w:spacing w:val="-2"/>
          <w:szCs w:val="19"/>
        </w:rPr>
        <w:t>gospodarstwa domowe pracujących na własny rachunek poza gospodarstwem rolnym (73,4% ocen pozytywnych</w:t>
      </w:r>
      <w:r>
        <w:rPr>
          <w:noProof/>
          <w:spacing w:val="-2"/>
          <w:szCs w:val="19"/>
        </w:rPr>
        <w:t xml:space="preserve">, bez zmian w porównaniu z </w:t>
      </w:r>
      <w:r w:rsidRPr="00017628">
        <w:rPr>
          <w:noProof/>
          <w:spacing w:val="-2"/>
          <w:szCs w:val="19"/>
        </w:rPr>
        <w:t>201</w:t>
      </w:r>
      <w:r>
        <w:rPr>
          <w:noProof/>
          <w:spacing w:val="-2"/>
          <w:szCs w:val="19"/>
        </w:rPr>
        <w:t>9</w:t>
      </w:r>
      <w:r w:rsidRPr="00017628">
        <w:rPr>
          <w:noProof/>
          <w:spacing w:val="-2"/>
          <w:szCs w:val="19"/>
        </w:rPr>
        <w:t xml:space="preserve"> r.), najgorzej zaś gospodarstwa domowe rencistów (</w:t>
      </w:r>
      <w:r>
        <w:rPr>
          <w:noProof/>
          <w:spacing w:val="-2"/>
          <w:szCs w:val="19"/>
        </w:rPr>
        <w:t>23,5</w:t>
      </w:r>
      <w:r w:rsidRPr="00017628">
        <w:rPr>
          <w:noProof/>
          <w:spacing w:val="-2"/>
          <w:szCs w:val="19"/>
        </w:rPr>
        <w:t xml:space="preserve">% ocen pozytywnych wobec </w:t>
      </w:r>
      <w:r>
        <w:rPr>
          <w:noProof/>
          <w:spacing w:val="-2"/>
          <w:szCs w:val="19"/>
        </w:rPr>
        <w:t>22,4</w:t>
      </w:r>
      <w:r w:rsidRPr="00017628">
        <w:rPr>
          <w:noProof/>
          <w:spacing w:val="-2"/>
          <w:szCs w:val="19"/>
        </w:rPr>
        <w:t>% w</w:t>
      </w:r>
      <w:r>
        <w:rPr>
          <w:noProof/>
          <w:spacing w:val="-2"/>
          <w:szCs w:val="19"/>
        </w:rPr>
        <w:t> </w:t>
      </w:r>
      <w:r w:rsidRPr="00017628">
        <w:rPr>
          <w:noProof/>
          <w:spacing w:val="-2"/>
          <w:szCs w:val="19"/>
        </w:rPr>
        <w:t>201</w:t>
      </w:r>
      <w:r>
        <w:rPr>
          <w:noProof/>
          <w:spacing w:val="-2"/>
          <w:szCs w:val="19"/>
        </w:rPr>
        <w:t>9 </w:t>
      </w:r>
      <w:r w:rsidRPr="00017628">
        <w:rPr>
          <w:noProof/>
          <w:spacing w:val="-2"/>
          <w:szCs w:val="19"/>
        </w:rPr>
        <w:t>r.).</w:t>
      </w:r>
    </w:p>
    <w:p w14:paraId="70C2ABCB" w14:textId="77777777" w:rsidR="00DB071F" w:rsidRPr="00017628" w:rsidRDefault="00DB071F" w:rsidP="00230679">
      <w:pPr>
        <w:rPr>
          <w:noProof/>
          <w:spacing w:val="-2"/>
          <w:szCs w:val="19"/>
        </w:rPr>
      </w:pPr>
    </w:p>
    <w:p w14:paraId="71909FF0" w14:textId="77777777" w:rsidR="00C67546" w:rsidRPr="00230699" w:rsidRDefault="00EC0AF6" w:rsidP="002F3918">
      <w:pPr>
        <w:spacing w:line="240" w:lineRule="auto"/>
        <w:jc w:val="both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0A4046D0" wp14:editId="6B4FB4F2">
            <wp:extent cx="5122545" cy="4138295"/>
            <wp:effectExtent l="0" t="0" r="1905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454B7D7" w14:textId="0811930C" w:rsidR="00250EB1" w:rsidRDefault="00250EB1" w:rsidP="003457D7">
      <w:pPr>
        <w:spacing w:line="240" w:lineRule="auto"/>
        <w:rPr>
          <w:spacing w:val="-2"/>
          <w:sz w:val="18"/>
          <w:szCs w:val="19"/>
          <w:shd w:val="clear" w:color="auto" w:fill="FFFFFF"/>
        </w:rPr>
      </w:pPr>
    </w:p>
    <w:p w14:paraId="511DA479" w14:textId="77777777" w:rsidR="00230679" w:rsidRPr="00230699" w:rsidRDefault="00230679" w:rsidP="00230679">
      <w:pPr>
        <w:rPr>
          <w:spacing w:val="-2"/>
          <w:szCs w:val="19"/>
          <w:shd w:val="clear" w:color="auto" w:fill="FFFFFF"/>
        </w:rPr>
      </w:pPr>
      <w:r w:rsidRPr="00017628">
        <w:rPr>
          <w:spacing w:val="-2"/>
          <w:szCs w:val="19"/>
          <w:shd w:val="clear" w:color="auto" w:fill="FFFFFF"/>
        </w:rPr>
        <w:t>Subiektywna ocena sytuacji materialnej gospodarstw domowych w znacznym stopniu zależy od miejsca zamieszkania gospodarstwa domowego. Gospodarstwa mieszkające na wsi gorzej oceniały swoją sytuację materialną niż mieszkańcy miast, zwłaszcza tych największych o liczbie mieszkańców 500 tys. lub więcej, choć w obu przypadkach oceny te, w stosunku do 201</w:t>
      </w:r>
      <w:r>
        <w:rPr>
          <w:spacing w:val="-2"/>
          <w:szCs w:val="19"/>
          <w:shd w:val="clear" w:color="auto" w:fill="FFFFFF"/>
        </w:rPr>
        <w:t>9 r.</w:t>
      </w:r>
      <w:r w:rsidRPr="00017628">
        <w:rPr>
          <w:spacing w:val="-2"/>
          <w:szCs w:val="19"/>
          <w:shd w:val="clear" w:color="auto" w:fill="FFFFFF"/>
        </w:rPr>
        <w:t xml:space="preserve">, znacząco się poprawiły. </w:t>
      </w:r>
      <w:r>
        <w:rPr>
          <w:spacing w:val="-2"/>
          <w:szCs w:val="19"/>
          <w:shd w:val="clear" w:color="auto" w:fill="FFFFFF"/>
        </w:rPr>
        <w:t>60,9</w:t>
      </w:r>
      <w:r w:rsidRPr="00017628">
        <w:rPr>
          <w:spacing w:val="-2"/>
          <w:szCs w:val="19"/>
          <w:shd w:val="clear" w:color="auto" w:fill="FFFFFF"/>
        </w:rPr>
        <w:t xml:space="preserve">% gospodarstw domowych z miast liczących 500 tys. lub więcej mieszkańców i </w:t>
      </w:r>
      <w:r>
        <w:rPr>
          <w:spacing w:val="-2"/>
          <w:szCs w:val="19"/>
          <w:shd w:val="clear" w:color="auto" w:fill="FFFFFF"/>
        </w:rPr>
        <w:t>47,2</w:t>
      </w:r>
      <w:r w:rsidRPr="00017628">
        <w:rPr>
          <w:spacing w:val="-2"/>
          <w:szCs w:val="19"/>
          <w:shd w:val="clear" w:color="auto" w:fill="FFFFFF"/>
        </w:rPr>
        <w:t>% mieszkańców wsi oceniało swoją sytuację materialną jako dobrą lub raczej dobrą (w 201</w:t>
      </w:r>
      <w:r>
        <w:rPr>
          <w:spacing w:val="-2"/>
          <w:szCs w:val="19"/>
          <w:shd w:val="clear" w:color="auto" w:fill="FFFFFF"/>
        </w:rPr>
        <w:t>9</w:t>
      </w:r>
      <w:r w:rsidRPr="00017628">
        <w:rPr>
          <w:spacing w:val="-2"/>
          <w:szCs w:val="19"/>
          <w:shd w:val="clear" w:color="auto" w:fill="FFFFFF"/>
        </w:rPr>
        <w:t xml:space="preserve"> r. było to odpowiednio 5</w:t>
      </w:r>
      <w:r>
        <w:rPr>
          <w:spacing w:val="-2"/>
          <w:szCs w:val="19"/>
          <w:shd w:val="clear" w:color="auto" w:fill="FFFFFF"/>
        </w:rPr>
        <w:t>7</w:t>
      </w:r>
      <w:r w:rsidRPr="00017628">
        <w:rPr>
          <w:spacing w:val="-2"/>
          <w:szCs w:val="19"/>
          <w:shd w:val="clear" w:color="auto" w:fill="FFFFFF"/>
        </w:rPr>
        <w:t xml:space="preserve">,0% i </w:t>
      </w:r>
      <w:r>
        <w:rPr>
          <w:spacing w:val="-2"/>
          <w:szCs w:val="19"/>
          <w:shd w:val="clear" w:color="auto" w:fill="FFFFFF"/>
        </w:rPr>
        <w:t>44</w:t>
      </w:r>
      <w:r w:rsidRPr="00017628">
        <w:rPr>
          <w:spacing w:val="-2"/>
          <w:szCs w:val="19"/>
          <w:shd w:val="clear" w:color="auto" w:fill="FFFFFF"/>
        </w:rPr>
        <w:t xml:space="preserve">,3%). </w:t>
      </w:r>
    </w:p>
    <w:p w14:paraId="793B88F9" w14:textId="77777777" w:rsidR="00734691" w:rsidRDefault="00734691" w:rsidP="003457D7">
      <w:pPr>
        <w:spacing w:line="240" w:lineRule="auto"/>
        <w:rPr>
          <w:spacing w:val="-2"/>
          <w:sz w:val="18"/>
          <w:szCs w:val="19"/>
          <w:shd w:val="clear" w:color="auto" w:fill="FFFFFF"/>
        </w:rPr>
      </w:pPr>
    </w:p>
    <w:p w14:paraId="7C02C28C" w14:textId="77777777" w:rsidR="003457D7" w:rsidRDefault="00EC0AF6" w:rsidP="003457D7">
      <w:pPr>
        <w:spacing w:line="240" w:lineRule="auto"/>
        <w:rPr>
          <w:spacing w:val="-2"/>
          <w:sz w:val="18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356B9F42" wp14:editId="5123D490">
            <wp:extent cx="5122545" cy="3430270"/>
            <wp:effectExtent l="0" t="0" r="1905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0EE6C13" w14:textId="6447C06D" w:rsidR="00734691" w:rsidRDefault="00734691" w:rsidP="003457D7">
      <w:pPr>
        <w:spacing w:line="240" w:lineRule="auto"/>
        <w:rPr>
          <w:spacing w:val="-2"/>
          <w:sz w:val="18"/>
          <w:szCs w:val="19"/>
          <w:shd w:val="clear" w:color="auto" w:fill="FFFFFF"/>
        </w:rPr>
      </w:pPr>
    </w:p>
    <w:p w14:paraId="676213CA" w14:textId="2D2ED2C6" w:rsidR="009D29A8" w:rsidRPr="00D75C9E" w:rsidRDefault="009D29A8" w:rsidP="009D29A8">
      <w:pPr>
        <w:rPr>
          <w:spacing w:val="-2"/>
          <w:szCs w:val="19"/>
          <w:shd w:val="clear" w:color="auto" w:fill="FFFFFF"/>
        </w:rPr>
      </w:pPr>
      <w:r w:rsidRPr="00D75C9E">
        <w:rPr>
          <w:spacing w:val="-2"/>
          <w:szCs w:val="19"/>
          <w:shd w:val="clear" w:color="auto" w:fill="FFFFFF"/>
        </w:rPr>
        <w:lastRenderedPageBreak/>
        <w:t>W wyniku pandemii COVID-19</w:t>
      </w:r>
      <w:r w:rsidR="00004172" w:rsidRPr="00017628">
        <w:rPr>
          <w:rStyle w:val="Odwoanieprzypisudolnego"/>
          <w:szCs w:val="19"/>
          <w:shd w:val="clear" w:color="auto" w:fill="FFFFFF"/>
        </w:rPr>
        <w:footnoteReference w:id="11"/>
      </w:r>
      <w:r w:rsidRPr="00D75C9E">
        <w:rPr>
          <w:spacing w:val="-2"/>
          <w:szCs w:val="19"/>
          <w:shd w:val="clear" w:color="auto" w:fill="FFFFFF"/>
        </w:rPr>
        <w:t xml:space="preserve"> część gospodarstw domowych była zmuszona do podejmowania decyzji o: ograniczaniu wydatków, korzystaniu z oszczędności, zaciąganiu kredytów i pożyczek, sprzedaży części majątku, rezygnacji ze spłaty stałych zobowiązań finansowych czy udzieleniu wsparcia finansowego rodzinie i znajomym. Zdecydowanie najczęściej podejmowaną w gospodarstwach domowych decyzją było ograniczenie wydatków, co uczyniło w różnym stopniu </w:t>
      </w:r>
      <w:r w:rsidR="00FB067A">
        <w:rPr>
          <w:spacing w:val="-2"/>
          <w:szCs w:val="19"/>
          <w:shd w:val="clear" w:color="auto" w:fill="FFFFFF"/>
        </w:rPr>
        <w:t>37,2</w:t>
      </w:r>
      <w:r w:rsidRPr="00D75C9E">
        <w:rPr>
          <w:spacing w:val="-2"/>
          <w:szCs w:val="19"/>
          <w:shd w:val="clear" w:color="auto" w:fill="FFFFFF"/>
        </w:rPr>
        <w:t>% gospodarstw domowych</w:t>
      </w:r>
      <w:r w:rsidR="00824CFE">
        <w:rPr>
          <w:spacing w:val="-2"/>
          <w:szCs w:val="19"/>
          <w:shd w:val="clear" w:color="auto" w:fill="FFFFFF"/>
        </w:rPr>
        <w:t xml:space="preserve"> </w:t>
      </w:r>
      <w:r w:rsidR="00824CFE" w:rsidRPr="00D75C9E">
        <w:rPr>
          <w:spacing w:val="-2"/>
          <w:szCs w:val="19"/>
          <w:shd w:val="clear" w:color="auto" w:fill="FFFFFF"/>
        </w:rPr>
        <w:t xml:space="preserve">(pozostałe </w:t>
      </w:r>
      <w:r w:rsidR="00824CFE">
        <w:rPr>
          <w:spacing w:val="-2"/>
          <w:szCs w:val="19"/>
          <w:shd w:val="clear" w:color="auto" w:fill="FFFFFF"/>
        </w:rPr>
        <w:t xml:space="preserve">decyzje </w:t>
      </w:r>
      <w:r w:rsidR="00824CFE" w:rsidRPr="00D75C9E">
        <w:rPr>
          <w:spacing w:val="-2"/>
          <w:szCs w:val="19"/>
          <w:shd w:val="clear" w:color="auto" w:fill="FFFFFF"/>
        </w:rPr>
        <w:t>były podejmowane zdecydowanie rzadziej)</w:t>
      </w:r>
      <w:r w:rsidRPr="00D75C9E">
        <w:rPr>
          <w:spacing w:val="-2"/>
          <w:szCs w:val="19"/>
          <w:shd w:val="clear" w:color="auto" w:fill="FFFFFF"/>
        </w:rPr>
        <w:t xml:space="preserve">. W </w:t>
      </w:r>
      <w:r w:rsidR="00E8513B">
        <w:rPr>
          <w:spacing w:val="-2"/>
          <w:szCs w:val="19"/>
          <w:shd w:val="clear" w:color="auto" w:fill="FFFFFF"/>
        </w:rPr>
        <w:t>największym stopniu pandemia wpłynęła na</w:t>
      </w:r>
      <w:r w:rsidRPr="00D75C9E">
        <w:rPr>
          <w:spacing w:val="-2"/>
          <w:szCs w:val="19"/>
          <w:shd w:val="clear" w:color="auto" w:fill="FFFFFF"/>
        </w:rPr>
        <w:t xml:space="preserve"> sytuacj</w:t>
      </w:r>
      <w:r w:rsidR="00E8513B">
        <w:rPr>
          <w:spacing w:val="-2"/>
          <w:szCs w:val="19"/>
          <w:shd w:val="clear" w:color="auto" w:fill="FFFFFF"/>
        </w:rPr>
        <w:t>ę</w:t>
      </w:r>
      <w:r w:rsidRPr="00D75C9E">
        <w:rPr>
          <w:spacing w:val="-2"/>
          <w:szCs w:val="19"/>
          <w:shd w:val="clear" w:color="auto" w:fill="FFFFFF"/>
        </w:rPr>
        <w:t xml:space="preserve"> gospodarstw domow</w:t>
      </w:r>
      <w:r w:rsidR="00E8513B">
        <w:rPr>
          <w:spacing w:val="-2"/>
          <w:szCs w:val="19"/>
          <w:shd w:val="clear" w:color="auto" w:fill="FFFFFF"/>
        </w:rPr>
        <w:t>ych</w:t>
      </w:r>
      <w:r w:rsidRPr="00D75C9E">
        <w:rPr>
          <w:spacing w:val="-2"/>
          <w:szCs w:val="19"/>
          <w:shd w:val="clear" w:color="auto" w:fill="FFFFFF"/>
        </w:rPr>
        <w:t xml:space="preserve"> pracujących na własny rachunek. Prawie co drugie z nich musiało ograniczyć swoje wydatki i aż 6</w:t>
      </w:r>
      <w:r>
        <w:rPr>
          <w:spacing w:val="-2"/>
          <w:szCs w:val="19"/>
          <w:shd w:val="clear" w:color="auto" w:fill="FFFFFF"/>
        </w:rPr>
        <w:t>,</w:t>
      </w:r>
      <w:r w:rsidRPr="00D75C9E">
        <w:rPr>
          <w:spacing w:val="-2"/>
          <w:szCs w:val="19"/>
          <w:shd w:val="clear" w:color="auto" w:fill="FFFFFF"/>
        </w:rPr>
        <w:t xml:space="preserve">9% w znacznym stopniu. W najlepszej </w:t>
      </w:r>
      <w:r w:rsidR="00E8513B">
        <w:rPr>
          <w:spacing w:val="-2"/>
          <w:szCs w:val="19"/>
          <w:shd w:val="clear" w:color="auto" w:fill="FFFFFF"/>
        </w:rPr>
        <w:t xml:space="preserve">sytuacji </w:t>
      </w:r>
      <w:r w:rsidR="006F413B" w:rsidRPr="006F413B">
        <w:rPr>
          <w:spacing w:val="-2"/>
          <w:szCs w:val="19"/>
          <w:shd w:val="clear" w:color="auto" w:fill="FFFFFF"/>
        </w:rPr>
        <w:t xml:space="preserve">pod względem konieczności redukcji wydatków </w:t>
      </w:r>
      <w:r w:rsidRPr="00D75C9E">
        <w:rPr>
          <w:spacing w:val="-2"/>
          <w:szCs w:val="19"/>
          <w:shd w:val="clear" w:color="auto" w:fill="FFFFFF"/>
        </w:rPr>
        <w:t xml:space="preserve">znalazły się gospodarstwa domowe </w:t>
      </w:r>
      <w:r w:rsidR="009D022C">
        <w:rPr>
          <w:spacing w:val="-2"/>
          <w:szCs w:val="19"/>
          <w:shd w:val="clear" w:color="auto" w:fill="FFFFFF"/>
        </w:rPr>
        <w:t>emerytów</w:t>
      </w:r>
      <w:r w:rsidRPr="00D75C9E">
        <w:rPr>
          <w:spacing w:val="-2"/>
          <w:szCs w:val="19"/>
          <w:shd w:val="clear" w:color="auto" w:fill="FFFFFF"/>
        </w:rPr>
        <w:t>, gdzie wydatki ograniczyło 29,</w:t>
      </w:r>
      <w:r w:rsidR="009D022C">
        <w:rPr>
          <w:spacing w:val="-2"/>
          <w:szCs w:val="19"/>
          <w:shd w:val="clear" w:color="auto" w:fill="FFFFFF"/>
        </w:rPr>
        <w:t>5</w:t>
      </w:r>
      <w:r w:rsidRPr="00D75C9E">
        <w:rPr>
          <w:spacing w:val="-2"/>
          <w:szCs w:val="19"/>
          <w:shd w:val="clear" w:color="auto" w:fill="FFFFFF"/>
        </w:rPr>
        <w:t xml:space="preserve">% gospodarstw domowych. </w:t>
      </w:r>
    </w:p>
    <w:p w14:paraId="389E156F" w14:textId="77777777" w:rsidR="009D29A8" w:rsidRPr="00734691" w:rsidRDefault="009D29A8" w:rsidP="009D29A8">
      <w:pPr>
        <w:rPr>
          <w:noProof/>
          <w:spacing w:val="-2"/>
          <w:szCs w:val="19"/>
        </w:rPr>
      </w:pPr>
    </w:p>
    <w:p w14:paraId="23A91021" w14:textId="6C8853FD" w:rsidR="009D29A8" w:rsidRPr="006A5D92" w:rsidRDefault="00DB5878" w:rsidP="009D29A8">
      <w:pPr>
        <w:pStyle w:val="Tytu"/>
        <w:spacing w:before="120" w:after="120"/>
        <w:rPr>
          <w:rFonts w:ascii="Fira Sans" w:hAnsi="Fira Sans"/>
          <w:spacing w:val="-2"/>
          <w:sz w:val="19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450AF1DE" wp14:editId="5F89582E">
            <wp:extent cx="5099955" cy="4176000"/>
            <wp:effectExtent l="0" t="0" r="5715" b="0"/>
            <wp:docPr id="23" name="Wykres 23">
              <a:extLst xmlns:a="http://schemas.openxmlformats.org/drawingml/2006/main">
                <a:ext uri="{FF2B5EF4-FFF2-40B4-BE49-F238E27FC236}">
                  <a16:creationId xmlns:a16="http://schemas.microsoft.com/office/drawing/2014/main" id="{58543DE2-3FCA-40DF-9868-533C4793A7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7DC7C6F" w14:textId="6A937286" w:rsidR="009D29A8" w:rsidRPr="001C7EAA" w:rsidRDefault="009D29A8" w:rsidP="009D29A8">
      <w:pPr>
        <w:rPr>
          <w:spacing w:val="-2"/>
          <w:szCs w:val="19"/>
          <w:shd w:val="clear" w:color="auto" w:fill="FFFFFF"/>
        </w:rPr>
      </w:pPr>
    </w:p>
    <w:p w14:paraId="62890386" w14:textId="546F6301" w:rsidR="00FB1A84" w:rsidRPr="001C7EAA" w:rsidRDefault="00B42CC6" w:rsidP="00FB1A84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>Na podstawie subiektywnej oceny respondentów,</w:t>
      </w:r>
      <w:r w:rsidRPr="001C7EAA">
        <w:rPr>
          <w:spacing w:val="-2"/>
          <w:szCs w:val="19"/>
          <w:shd w:val="clear" w:color="auto" w:fill="FFFFFF"/>
        </w:rPr>
        <w:t xml:space="preserve"> </w:t>
      </w:r>
      <w:r>
        <w:rPr>
          <w:spacing w:val="-2"/>
          <w:szCs w:val="19"/>
          <w:shd w:val="clear" w:color="auto" w:fill="FFFFFF"/>
        </w:rPr>
        <w:t>o</w:t>
      </w:r>
      <w:r w:rsidRPr="001C7EAA">
        <w:rPr>
          <w:spacing w:val="-2"/>
          <w:szCs w:val="19"/>
          <w:shd w:val="clear" w:color="auto" w:fill="FFFFFF"/>
        </w:rPr>
        <w:t>dsetek gospodarstw domowych</w:t>
      </w:r>
      <w:r w:rsidR="00BA7DD0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 xml:space="preserve"> u</w:t>
      </w:r>
      <w:r w:rsidRPr="001C7EAA">
        <w:rPr>
          <w:spacing w:val="-2"/>
          <w:szCs w:val="19"/>
          <w:shd w:val="clear" w:color="auto" w:fill="FFFFFF"/>
        </w:rPr>
        <w:t xml:space="preserve"> których w</w:t>
      </w:r>
      <w:r w:rsidR="00BA7DD0">
        <w:rPr>
          <w:spacing w:val="-2"/>
          <w:szCs w:val="19"/>
          <w:shd w:val="clear" w:color="auto" w:fill="FFFFFF"/>
        </w:rPr>
        <w:t> </w:t>
      </w:r>
      <w:r w:rsidRPr="001C7EAA">
        <w:rPr>
          <w:spacing w:val="-2"/>
          <w:szCs w:val="19"/>
          <w:shd w:val="clear" w:color="auto" w:fill="FFFFFF"/>
        </w:rPr>
        <w:t>wyniku pandemii COVID-19 całkowity dochód pozostał na takim samym lub zbliżonym poziomie wyniósł 74,</w:t>
      </w:r>
      <w:r>
        <w:rPr>
          <w:spacing w:val="-2"/>
          <w:szCs w:val="19"/>
          <w:shd w:val="clear" w:color="auto" w:fill="FFFFFF"/>
        </w:rPr>
        <w:t>8</w:t>
      </w:r>
      <w:r w:rsidRPr="001C7EAA">
        <w:rPr>
          <w:spacing w:val="-2"/>
          <w:szCs w:val="19"/>
          <w:shd w:val="clear" w:color="auto" w:fill="FFFFFF"/>
        </w:rPr>
        <w:t>%, a gospodarstw domowych</w:t>
      </w:r>
      <w:r w:rsidR="00BA7DD0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 xml:space="preserve"> którym</w:t>
      </w:r>
      <w:r w:rsidRPr="001C7EAA">
        <w:rPr>
          <w:spacing w:val="-2"/>
          <w:szCs w:val="19"/>
          <w:shd w:val="clear" w:color="auto" w:fill="FFFFFF"/>
        </w:rPr>
        <w:t xml:space="preserve"> dochody spadły w stopniu znacznym</w:t>
      </w:r>
      <w:r w:rsidR="001D00F6">
        <w:rPr>
          <w:spacing w:val="-2"/>
          <w:szCs w:val="19"/>
          <w:shd w:val="clear" w:color="auto" w:fill="FFFFFF"/>
        </w:rPr>
        <w:t xml:space="preserve"> – 8,2%</w:t>
      </w:r>
      <w:r w:rsidRPr="001C7EAA">
        <w:rPr>
          <w:spacing w:val="-2"/>
          <w:szCs w:val="19"/>
          <w:shd w:val="clear" w:color="auto" w:fill="FFFFFF"/>
        </w:rPr>
        <w:t xml:space="preserve"> lub nieznacznym</w:t>
      </w:r>
      <w:r w:rsidR="001D00F6">
        <w:rPr>
          <w:spacing w:val="-2"/>
          <w:szCs w:val="19"/>
          <w:shd w:val="clear" w:color="auto" w:fill="FFFFFF"/>
        </w:rPr>
        <w:t xml:space="preserve"> – 15,7%. </w:t>
      </w:r>
      <w:r w:rsidR="00E32350">
        <w:rPr>
          <w:spacing w:val="-2"/>
          <w:szCs w:val="19"/>
          <w:shd w:val="clear" w:color="auto" w:fill="FFFFFF"/>
        </w:rPr>
        <w:t xml:space="preserve">Wzrost dochodów według subiektywnej oceny odnotowano dla 1,3% gospodarstw domowych. </w:t>
      </w:r>
      <w:r w:rsidRPr="001C7EAA">
        <w:rPr>
          <w:spacing w:val="-2"/>
          <w:szCs w:val="19"/>
          <w:shd w:val="clear" w:color="auto" w:fill="FFFFFF"/>
        </w:rPr>
        <w:t xml:space="preserve">Analizując sytuację w poszczególnych grupach społeczno-ekonomicznych można zauważyć, że </w:t>
      </w:r>
      <w:r w:rsidR="006F413B" w:rsidRPr="006F413B">
        <w:rPr>
          <w:spacing w:val="-2"/>
          <w:szCs w:val="19"/>
          <w:shd w:val="clear" w:color="auto" w:fill="FFFFFF"/>
        </w:rPr>
        <w:t xml:space="preserve">najmniej dotknięte spadkiem dochodów były </w:t>
      </w:r>
      <w:r w:rsidRPr="001C7EAA">
        <w:rPr>
          <w:spacing w:val="-2"/>
          <w:szCs w:val="19"/>
          <w:shd w:val="clear" w:color="auto" w:fill="FFFFFF"/>
        </w:rPr>
        <w:t xml:space="preserve">gospodarstwa domowe emerytów – ich dochód </w:t>
      </w:r>
      <w:r w:rsidR="006F413B" w:rsidRPr="006F413B">
        <w:rPr>
          <w:spacing w:val="-2"/>
          <w:szCs w:val="19"/>
          <w:shd w:val="clear" w:color="auto" w:fill="FFFFFF"/>
        </w:rPr>
        <w:t xml:space="preserve">w zdecydowanej większości </w:t>
      </w:r>
      <w:r w:rsidRPr="001C7EAA">
        <w:rPr>
          <w:spacing w:val="-2"/>
          <w:szCs w:val="19"/>
          <w:shd w:val="clear" w:color="auto" w:fill="FFFFFF"/>
        </w:rPr>
        <w:t>pozostał na takim samym lub zbliżonym poziomie (</w:t>
      </w:r>
      <w:r>
        <w:rPr>
          <w:spacing w:val="-2"/>
          <w:szCs w:val="19"/>
          <w:shd w:val="clear" w:color="auto" w:fill="FFFFFF"/>
        </w:rPr>
        <w:t>91,2</w:t>
      </w:r>
      <w:r w:rsidRPr="001C7EAA">
        <w:rPr>
          <w:spacing w:val="-2"/>
          <w:szCs w:val="19"/>
          <w:shd w:val="clear" w:color="auto" w:fill="FFFFFF"/>
        </w:rPr>
        <w:t>% gospodarstw domowych). W najtrudniejszej sytuacji</w:t>
      </w:r>
      <w:r w:rsidR="006F413B">
        <w:rPr>
          <w:spacing w:val="-2"/>
          <w:szCs w:val="19"/>
          <w:shd w:val="clear" w:color="auto" w:fill="FFFFFF"/>
        </w:rPr>
        <w:t xml:space="preserve"> </w:t>
      </w:r>
      <w:r w:rsidR="006F413B" w:rsidRPr="006F413B">
        <w:rPr>
          <w:spacing w:val="-2"/>
          <w:szCs w:val="19"/>
          <w:shd w:val="clear" w:color="auto" w:fill="FFFFFF"/>
        </w:rPr>
        <w:t xml:space="preserve">pod względem spadku </w:t>
      </w:r>
      <w:r w:rsidR="006F413B" w:rsidRPr="00E32350">
        <w:rPr>
          <w:spacing w:val="-2"/>
          <w:szCs w:val="19"/>
          <w:shd w:val="clear" w:color="auto" w:fill="FFFFFF"/>
        </w:rPr>
        <w:t xml:space="preserve">dochodów </w:t>
      </w:r>
      <w:r w:rsidR="00E32350" w:rsidRPr="00E32350">
        <w:rPr>
          <w:spacing w:val="-2"/>
          <w:szCs w:val="19"/>
          <w:shd w:val="clear" w:color="auto" w:fill="FFFFFF"/>
        </w:rPr>
        <w:t xml:space="preserve">w stosunku do roku poprzedniego </w:t>
      </w:r>
      <w:r w:rsidR="003F7411" w:rsidRPr="00E32350">
        <w:rPr>
          <w:spacing w:val="-2"/>
          <w:szCs w:val="19"/>
          <w:shd w:val="clear" w:color="auto" w:fill="FFFFFF"/>
        </w:rPr>
        <w:t>z</w:t>
      </w:r>
      <w:r w:rsidRPr="00E32350">
        <w:rPr>
          <w:spacing w:val="-2"/>
          <w:szCs w:val="19"/>
          <w:shd w:val="clear" w:color="auto" w:fill="FFFFFF"/>
        </w:rPr>
        <w:t xml:space="preserve">nalazły </w:t>
      </w:r>
      <w:r w:rsidRPr="001C7EAA">
        <w:rPr>
          <w:spacing w:val="-2"/>
          <w:szCs w:val="19"/>
          <w:shd w:val="clear" w:color="auto" w:fill="FFFFFF"/>
        </w:rPr>
        <w:t xml:space="preserve">się gospodarstwa domowe pracujących na własny rachunek poza gospodarstwem rolnym, </w:t>
      </w:r>
      <w:r w:rsidR="006F413B">
        <w:rPr>
          <w:spacing w:val="-2"/>
          <w:szCs w:val="19"/>
          <w:shd w:val="clear" w:color="auto" w:fill="FFFFFF"/>
        </w:rPr>
        <w:t xml:space="preserve">wśród </w:t>
      </w:r>
      <w:r w:rsidRPr="001C7EAA">
        <w:rPr>
          <w:spacing w:val="-2"/>
          <w:szCs w:val="19"/>
          <w:shd w:val="clear" w:color="auto" w:fill="FFFFFF"/>
        </w:rPr>
        <w:t>który</w:t>
      </w:r>
      <w:r w:rsidR="006F413B">
        <w:rPr>
          <w:spacing w:val="-2"/>
          <w:szCs w:val="19"/>
          <w:shd w:val="clear" w:color="auto" w:fill="FFFFFF"/>
        </w:rPr>
        <w:t>ch</w:t>
      </w:r>
      <w:r w:rsidRPr="001C7EAA">
        <w:rPr>
          <w:spacing w:val="-2"/>
          <w:szCs w:val="19"/>
          <w:shd w:val="clear" w:color="auto" w:fill="FFFFFF"/>
        </w:rPr>
        <w:t xml:space="preserve"> 51,</w:t>
      </w:r>
      <w:r>
        <w:rPr>
          <w:spacing w:val="-2"/>
          <w:szCs w:val="19"/>
          <w:shd w:val="clear" w:color="auto" w:fill="FFFFFF"/>
        </w:rPr>
        <w:t>3</w:t>
      </w:r>
      <w:r w:rsidRPr="001C7EAA">
        <w:rPr>
          <w:spacing w:val="-2"/>
          <w:szCs w:val="19"/>
          <w:shd w:val="clear" w:color="auto" w:fill="FFFFFF"/>
        </w:rPr>
        <w:t xml:space="preserve">% </w:t>
      </w:r>
      <w:r w:rsidR="001D00F6">
        <w:rPr>
          <w:spacing w:val="-2"/>
          <w:szCs w:val="19"/>
          <w:shd w:val="clear" w:color="auto" w:fill="FFFFFF"/>
        </w:rPr>
        <w:t xml:space="preserve">doświadczyło </w:t>
      </w:r>
      <w:r w:rsidRPr="001C7EAA">
        <w:rPr>
          <w:spacing w:val="-2"/>
          <w:szCs w:val="19"/>
          <w:shd w:val="clear" w:color="auto" w:fill="FFFFFF"/>
        </w:rPr>
        <w:t>spad</w:t>
      </w:r>
      <w:r w:rsidR="001D00F6">
        <w:rPr>
          <w:spacing w:val="-2"/>
          <w:szCs w:val="19"/>
          <w:shd w:val="clear" w:color="auto" w:fill="FFFFFF"/>
        </w:rPr>
        <w:t>ku</w:t>
      </w:r>
      <w:r w:rsidRPr="001C7EAA">
        <w:rPr>
          <w:spacing w:val="-2"/>
          <w:szCs w:val="19"/>
          <w:shd w:val="clear" w:color="auto" w:fill="FFFFFF"/>
        </w:rPr>
        <w:t xml:space="preserve"> dochod</w:t>
      </w:r>
      <w:r w:rsidR="001D00F6">
        <w:rPr>
          <w:spacing w:val="-2"/>
          <w:szCs w:val="19"/>
          <w:shd w:val="clear" w:color="auto" w:fill="FFFFFF"/>
        </w:rPr>
        <w:t>ów</w:t>
      </w:r>
      <w:r w:rsidRPr="001C7EAA">
        <w:rPr>
          <w:spacing w:val="-2"/>
          <w:szCs w:val="19"/>
          <w:shd w:val="clear" w:color="auto" w:fill="FFFFFF"/>
        </w:rPr>
        <w:t xml:space="preserve"> w stopniu znacznym </w:t>
      </w:r>
      <w:r w:rsidR="001D00F6">
        <w:rPr>
          <w:spacing w:val="-2"/>
          <w:szCs w:val="19"/>
          <w:shd w:val="clear" w:color="auto" w:fill="FFFFFF"/>
        </w:rPr>
        <w:t xml:space="preserve">(20,8%) </w:t>
      </w:r>
      <w:r w:rsidRPr="001C7EAA">
        <w:rPr>
          <w:spacing w:val="-2"/>
          <w:szCs w:val="19"/>
          <w:shd w:val="clear" w:color="auto" w:fill="FFFFFF"/>
        </w:rPr>
        <w:t>lub nieznacznym</w:t>
      </w:r>
      <w:r w:rsidR="001D00F6">
        <w:rPr>
          <w:spacing w:val="-2"/>
          <w:szCs w:val="19"/>
          <w:shd w:val="clear" w:color="auto" w:fill="FFFFFF"/>
        </w:rPr>
        <w:t xml:space="preserve"> (30,5%)</w:t>
      </w:r>
      <w:r w:rsidRPr="001C7EAA">
        <w:rPr>
          <w:spacing w:val="-2"/>
          <w:szCs w:val="19"/>
          <w:shd w:val="clear" w:color="auto" w:fill="FFFFFF"/>
        </w:rPr>
        <w:t>.</w:t>
      </w:r>
    </w:p>
    <w:p w14:paraId="2CFB892F" w14:textId="26E9B4B9" w:rsidR="00196AED" w:rsidRPr="001C7EAA" w:rsidRDefault="00196AED" w:rsidP="00196AED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>Trzeba jednak podkreślić, że pomimo powyższych zmian grupa gospodarstw domowych pracujących na własny rachunek poza gospodarstwem rolnym pozostała grupą o najwyższym poziomie doch</w:t>
      </w:r>
      <w:r w:rsidR="00962F81">
        <w:rPr>
          <w:spacing w:val="-2"/>
          <w:szCs w:val="19"/>
          <w:shd w:val="clear" w:color="auto" w:fill="FFFFFF"/>
        </w:rPr>
        <w:t xml:space="preserve">odów </w:t>
      </w:r>
      <w:r>
        <w:rPr>
          <w:spacing w:val="-2"/>
          <w:szCs w:val="19"/>
          <w:shd w:val="clear" w:color="auto" w:fill="FFFFFF"/>
        </w:rPr>
        <w:t>rozporządzalnych przypadających na jedną osobę.</w:t>
      </w:r>
    </w:p>
    <w:p w14:paraId="6B031A23" w14:textId="77777777" w:rsidR="009D29A8" w:rsidRPr="001C7EAA" w:rsidRDefault="009D29A8" w:rsidP="009D29A8">
      <w:pPr>
        <w:rPr>
          <w:noProof/>
          <w:spacing w:val="-2"/>
          <w:szCs w:val="19"/>
        </w:rPr>
      </w:pPr>
    </w:p>
    <w:p w14:paraId="710EA1C7" w14:textId="1258BA9E" w:rsidR="009D29A8" w:rsidRPr="00A26F2C" w:rsidRDefault="00DB5878" w:rsidP="009D29A8">
      <w:pPr>
        <w:pStyle w:val="Tytu"/>
        <w:spacing w:before="120" w:after="120"/>
        <w:rPr>
          <w:rFonts w:ascii="Fira Sans" w:hAnsi="Fira Sans"/>
          <w:spacing w:val="-2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70FBEFB9" wp14:editId="20C53815">
            <wp:extent cx="5111667" cy="4104000"/>
            <wp:effectExtent l="0" t="0" r="0" b="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C5BA56ED-8A99-433F-985F-1DFB71EAFD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961533E" w14:textId="77777777" w:rsidR="009D29A8" w:rsidRPr="00A26F2C" w:rsidRDefault="009D29A8" w:rsidP="009D29A8">
      <w:pPr>
        <w:rPr>
          <w:spacing w:val="-2"/>
          <w:szCs w:val="19"/>
          <w:shd w:val="clear" w:color="auto" w:fill="FFFFFF"/>
        </w:rPr>
      </w:pPr>
    </w:p>
    <w:p w14:paraId="05C3466C" w14:textId="09BF9BAC" w:rsidR="009D29A8" w:rsidRDefault="009D29A8" w:rsidP="009D29A8">
      <w:pPr>
        <w:rPr>
          <w:strike/>
          <w:spacing w:val="-2"/>
          <w:szCs w:val="19"/>
          <w:shd w:val="clear" w:color="auto" w:fill="FFFFFF"/>
        </w:rPr>
      </w:pPr>
      <w:r w:rsidRPr="006A5D92">
        <w:rPr>
          <w:spacing w:val="-2"/>
          <w:szCs w:val="19"/>
          <w:shd w:val="clear" w:color="auto" w:fill="FFFFFF"/>
        </w:rPr>
        <w:t xml:space="preserve">W przypadku zmiany sytuacji dochodowej wywołanej pandemią COVID-19 znaczenie miał również poziom dochodu rozporządzalnego na 1 osobę w gospodarstwie domowym. W najlepszej sytuacji znajdowały się osoby z gospodarstw domowych najbogatszych (V </w:t>
      </w:r>
      <w:r w:rsidRPr="00D11309">
        <w:rPr>
          <w:spacing w:val="-2"/>
          <w:szCs w:val="19"/>
          <w:shd w:val="clear" w:color="auto" w:fill="FFFFFF"/>
        </w:rPr>
        <w:t xml:space="preserve">grupa </w:t>
      </w:r>
      <w:proofErr w:type="spellStart"/>
      <w:r w:rsidRPr="00D11309">
        <w:rPr>
          <w:spacing w:val="-2"/>
          <w:szCs w:val="19"/>
          <w:shd w:val="clear" w:color="auto" w:fill="FFFFFF"/>
        </w:rPr>
        <w:t>kwint</w:t>
      </w:r>
      <w:r w:rsidR="008A20A8" w:rsidRPr="00D11309">
        <w:rPr>
          <w:spacing w:val="-2"/>
          <w:szCs w:val="19"/>
          <w:shd w:val="clear" w:color="auto" w:fill="FFFFFF"/>
        </w:rPr>
        <w:t>y</w:t>
      </w:r>
      <w:r w:rsidRPr="00D11309">
        <w:rPr>
          <w:spacing w:val="-2"/>
          <w:szCs w:val="19"/>
          <w:shd w:val="clear" w:color="auto" w:fill="FFFFFF"/>
        </w:rPr>
        <w:t>lowa</w:t>
      </w:r>
      <w:proofErr w:type="spellEnd"/>
      <w:r w:rsidRPr="00D11309">
        <w:rPr>
          <w:spacing w:val="-2"/>
          <w:szCs w:val="19"/>
          <w:shd w:val="clear" w:color="auto" w:fill="FFFFFF"/>
        </w:rPr>
        <w:t>),</w:t>
      </w:r>
      <w:r w:rsidRPr="006A5D92">
        <w:rPr>
          <w:spacing w:val="-2"/>
          <w:szCs w:val="19"/>
          <w:shd w:val="clear" w:color="auto" w:fill="FFFFFF"/>
        </w:rPr>
        <w:t xml:space="preserve"> które w 75,</w:t>
      </w:r>
      <w:r w:rsidR="00A11B25">
        <w:rPr>
          <w:spacing w:val="-2"/>
          <w:szCs w:val="19"/>
          <w:shd w:val="clear" w:color="auto" w:fill="FFFFFF"/>
        </w:rPr>
        <w:t>6</w:t>
      </w:r>
      <w:r w:rsidRPr="006A5D92">
        <w:rPr>
          <w:spacing w:val="-2"/>
          <w:szCs w:val="19"/>
          <w:shd w:val="clear" w:color="auto" w:fill="FFFFFF"/>
        </w:rPr>
        <w:t xml:space="preserve">% gospodarstw deklarowały, że ich dochody nie </w:t>
      </w:r>
      <w:r w:rsidR="001D00F6" w:rsidRPr="001D00F6">
        <w:rPr>
          <w:spacing w:val="-2"/>
          <w:szCs w:val="19"/>
          <w:shd w:val="clear" w:color="auto" w:fill="FFFFFF"/>
        </w:rPr>
        <w:t>zmieniły się znacząco</w:t>
      </w:r>
      <w:r w:rsidRPr="006A5D92">
        <w:rPr>
          <w:spacing w:val="-2"/>
          <w:szCs w:val="19"/>
          <w:shd w:val="clear" w:color="auto" w:fill="FFFFFF"/>
        </w:rPr>
        <w:t>, a</w:t>
      </w:r>
      <w:r w:rsidR="00CF7C9E">
        <w:rPr>
          <w:spacing w:val="-2"/>
          <w:szCs w:val="19"/>
          <w:shd w:val="clear" w:color="auto" w:fill="FFFFFF"/>
        </w:rPr>
        <w:t> </w:t>
      </w:r>
      <w:r w:rsidRPr="006A5D92">
        <w:rPr>
          <w:spacing w:val="-2"/>
          <w:szCs w:val="19"/>
          <w:shd w:val="clear" w:color="auto" w:fill="FFFFFF"/>
        </w:rPr>
        <w:t>w</w:t>
      </w:r>
      <w:r w:rsidR="00CF7C9E">
        <w:rPr>
          <w:spacing w:val="-2"/>
          <w:szCs w:val="19"/>
          <w:shd w:val="clear" w:color="auto" w:fill="FFFFFF"/>
        </w:rPr>
        <w:t> </w:t>
      </w:r>
      <w:r w:rsidRPr="006A5D92">
        <w:rPr>
          <w:spacing w:val="-2"/>
          <w:szCs w:val="19"/>
          <w:shd w:val="clear" w:color="auto" w:fill="FFFFFF"/>
        </w:rPr>
        <w:t>22,</w:t>
      </w:r>
      <w:r w:rsidR="00A11B25">
        <w:rPr>
          <w:spacing w:val="-2"/>
          <w:szCs w:val="19"/>
          <w:shd w:val="clear" w:color="auto" w:fill="FFFFFF"/>
        </w:rPr>
        <w:t>2</w:t>
      </w:r>
      <w:r w:rsidRPr="006A5D92">
        <w:rPr>
          <w:spacing w:val="-2"/>
          <w:szCs w:val="19"/>
          <w:shd w:val="clear" w:color="auto" w:fill="FFFFFF"/>
        </w:rPr>
        <w:t>% gospodarstw domowych</w:t>
      </w:r>
      <w:r w:rsidR="005120CB">
        <w:rPr>
          <w:spacing w:val="-2"/>
          <w:szCs w:val="19"/>
          <w:shd w:val="clear" w:color="auto" w:fill="FFFFFF"/>
        </w:rPr>
        <w:t>, że</w:t>
      </w:r>
      <w:r w:rsidRPr="006A5D92">
        <w:rPr>
          <w:spacing w:val="-2"/>
          <w:szCs w:val="19"/>
          <w:shd w:val="clear" w:color="auto" w:fill="FFFFFF"/>
        </w:rPr>
        <w:t xml:space="preserve"> ich dochody spadły</w:t>
      </w:r>
      <w:r w:rsidR="00E32350">
        <w:rPr>
          <w:spacing w:val="-2"/>
          <w:szCs w:val="19"/>
          <w:shd w:val="clear" w:color="auto" w:fill="FFFFFF"/>
        </w:rPr>
        <w:t>:</w:t>
      </w:r>
      <w:r w:rsidRPr="006A5D92">
        <w:rPr>
          <w:spacing w:val="-2"/>
          <w:szCs w:val="19"/>
          <w:shd w:val="clear" w:color="auto" w:fill="FFFFFF"/>
        </w:rPr>
        <w:t xml:space="preserve"> w stopniu znacznym </w:t>
      </w:r>
      <w:r w:rsidR="001D00F6">
        <w:rPr>
          <w:spacing w:val="-2"/>
          <w:szCs w:val="19"/>
          <w:shd w:val="clear" w:color="auto" w:fill="FFFFFF"/>
        </w:rPr>
        <w:t xml:space="preserve">(6,9%) </w:t>
      </w:r>
      <w:r w:rsidRPr="006A5D92">
        <w:rPr>
          <w:spacing w:val="-2"/>
          <w:szCs w:val="19"/>
          <w:shd w:val="clear" w:color="auto" w:fill="FFFFFF"/>
        </w:rPr>
        <w:t>lub nieznacznym</w:t>
      </w:r>
      <w:r w:rsidR="001D00F6">
        <w:rPr>
          <w:spacing w:val="-2"/>
          <w:szCs w:val="19"/>
          <w:shd w:val="clear" w:color="auto" w:fill="FFFFFF"/>
        </w:rPr>
        <w:t xml:space="preserve"> (15,3%)</w:t>
      </w:r>
      <w:r w:rsidRPr="006A5D92">
        <w:rPr>
          <w:spacing w:val="-2"/>
          <w:szCs w:val="19"/>
          <w:shd w:val="clear" w:color="auto" w:fill="FFFFFF"/>
        </w:rPr>
        <w:t xml:space="preserve">. </w:t>
      </w:r>
      <w:r w:rsidR="00E33AFA">
        <w:rPr>
          <w:spacing w:val="-2"/>
          <w:szCs w:val="19"/>
          <w:shd w:val="clear" w:color="auto" w:fill="FFFFFF"/>
        </w:rPr>
        <w:t>Wśród</w:t>
      </w:r>
      <w:r w:rsidRPr="006A5D92">
        <w:rPr>
          <w:spacing w:val="-2"/>
          <w:szCs w:val="19"/>
          <w:shd w:val="clear" w:color="auto" w:fill="FFFFFF"/>
        </w:rPr>
        <w:t xml:space="preserve"> gospodarstw domowych najuboższych (I grupa </w:t>
      </w:r>
      <w:proofErr w:type="spellStart"/>
      <w:r w:rsidRPr="006A5D92">
        <w:rPr>
          <w:spacing w:val="-2"/>
          <w:szCs w:val="19"/>
          <w:shd w:val="clear" w:color="auto" w:fill="FFFFFF"/>
        </w:rPr>
        <w:t>kwintylowa</w:t>
      </w:r>
      <w:proofErr w:type="spellEnd"/>
      <w:r w:rsidRPr="006A5D92">
        <w:rPr>
          <w:spacing w:val="-2"/>
          <w:szCs w:val="19"/>
          <w:shd w:val="clear" w:color="auto" w:fill="FFFFFF"/>
        </w:rPr>
        <w:t xml:space="preserve">) </w:t>
      </w:r>
      <w:r w:rsidR="00E33AFA">
        <w:rPr>
          <w:spacing w:val="-2"/>
          <w:szCs w:val="19"/>
          <w:shd w:val="clear" w:color="auto" w:fill="FFFFFF"/>
        </w:rPr>
        <w:t xml:space="preserve">68,2% </w:t>
      </w:r>
      <w:r w:rsidRPr="006A5D92">
        <w:rPr>
          <w:spacing w:val="-2"/>
          <w:szCs w:val="19"/>
          <w:shd w:val="clear" w:color="auto" w:fill="FFFFFF"/>
        </w:rPr>
        <w:t>stwierdz</w:t>
      </w:r>
      <w:r w:rsidR="00E33AFA">
        <w:rPr>
          <w:spacing w:val="-2"/>
          <w:szCs w:val="19"/>
          <w:shd w:val="clear" w:color="auto" w:fill="FFFFFF"/>
        </w:rPr>
        <w:t>iło</w:t>
      </w:r>
      <w:r w:rsidRPr="006A5D92">
        <w:rPr>
          <w:spacing w:val="-2"/>
          <w:szCs w:val="19"/>
          <w:shd w:val="clear" w:color="auto" w:fill="FFFFFF"/>
        </w:rPr>
        <w:t>, że ich dochody pozostały na zbliżonym poziomie</w:t>
      </w:r>
      <w:r w:rsidR="00E33AFA">
        <w:rPr>
          <w:spacing w:val="-2"/>
          <w:szCs w:val="19"/>
          <w:shd w:val="clear" w:color="auto" w:fill="FFFFFF"/>
        </w:rPr>
        <w:t>,</w:t>
      </w:r>
      <w:r w:rsidR="00A11B25" w:rsidRPr="00D11309">
        <w:rPr>
          <w:spacing w:val="-2"/>
          <w:szCs w:val="19"/>
          <w:shd w:val="clear" w:color="auto" w:fill="FFFFFF"/>
        </w:rPr>
        <w:t xml:space="preserve"> </w:t>
      </w:r>
      <w:r w:rsidR="00E33AFA">
        <w:rPr>
          <w:spacing w:val="-2"/>
          <w:szCs w:val="19"/>
          <w:shd w:val="clear" w:color="auto" w:fill="FFFFFF"/>
        </w:rPr>
        <w:t>natomiast</w:t>
      </w:r>
      <w:r w:rsidR="00A11B25" w:rsidRPr="00D11309">
        <w:rPr>
          <w:spacing w:val="-2"/>
          <w:szCs w:val="19"/>
          <w:shd w:val="clear" w:color="auto" w:fill="FFFFFF"/>
        </w:rPr>
        <w:t xml:space="preserve"> oceniających</w:t>
      </w:r>
      <w:r w:rsidR="00A11B25">
        <w:rPr>
          <w:spacing w:val="-2"/>
          <w:szCs w:val="19"/>
          <w:shd w:val="clear" w:color="auto" w:fill="FFFFFF"/>
        </w:rPr>
        <w:t>, że</w:t>
      </w:r>
      <w:r w:rsidR="00E33AFA">
        <w:rPr>
          <w:spacing w:val="-2"/>
          <w:szCs w:val="19"/>
          <w:shd w:val="clear" w:color="auto" w:fill="FFFFFF"/>
        </w:rPr>
        <w:t xml:space="preserve"> ich dochód</w:t>
      </w:r>
      <w:r w:rsidR="00A11B25">
        <w:rPr>
          <w:spacing w:val="-2"/>
          <w:szCs w:val="19"/>
          <w:shd w:val="clear" w:color="auto" w:fill="FFFFFF"/>
        </w:rPr>
        <w:t xml:space="preserve"> zmniejszył się w</w:t>
      </w:r>
      <w:r w:rsidR="00CF7C9E">
        <w:rPr>
          <w:spacing w:val="-2"/>
          <w:szCs w:val="19"/>
          <w:shd w:val="clear" w:color="auto" w:fill="FFFFFF"/>
        </w:rPr>
        <w:t> </w:t>
      </w:r>
      <w:r w:rsidR="00A11B25">
        <w:rPr>
          <w:spacing w:val="-2"/>
          <w:szCs w:val="19"/>
          <w:shd w:val="clear" w:color="auto" w:fill="FFFFFF"/>
        </w:rPr>
        <w:t xml:space="preserve">stopniu znacznym </w:t>
      </w:r>
      <w:r w:rsidR="00E33AFA">
        <w:rPr>
          <w:spacing w:val="-2"/>
          <w:szCs w:val="19"/>
          <w:shd w:val="clear" w:color="auto" w:fill="FFFFFF"/>
        </w:rPr>
        <w:t>było</w:t>
      </w:r>
      <w:r w:rsidR="001D00F6">
        <w:rPr>
          <w:spacing w:val="-2"/>
          <w:szCs w:val="19"/>
          <w:shd w:val="clear" w:color="auto" w:fill="FFFFFF"/>
        </w:rPr>
        <w:t xml:space="preserve"> </w:t>
      </w:r>
      <w:r w:rsidR="00E33AFA">
        <w:rPr>
          <w:spacing w:val="-2"/>
          <w:szCs w:val="19"/>
          <w:shd w:val="clear" w:color="auto" w:fill="FFFFFF"/>
        </w:rPr>
        <w:t>13,1%, a</w:t>
      </w:r>
      <w:r w:rsidR="00A11B25">
        <w:rPr>
          <w:spacing w:val="-2"/>
          <w:szCs w:val="19"/>
          <w:shd w:val="clear" w:color="auto" w:fill="FFFFFF"/>
        </w:rPr>
        <w:t xml:space="preserve"> nieznacznym – </w:t>
      </w:r>
      <w:r w:rsidR="00E33AFA">
        <w:rPr>
          <w:spacing w:val="-2"/>
          <w:szCs w:val="19"/>
          <w:shd w:val="clear" w:color="auto" w:fill="FFFFFF"/>
        </w:rPr>
        <w:t>17,8</w:t>
      </w:r>
      <w:r w:rsidR="00A11B25">
        <w:rPr>
          <w:spacing w:val="-2"/>
          <w:szCs w:val="19"/>
          <w:shd w:val="clear" w:color="auto" w:fill="FFFFFF"/>
        </w:rPr>
        <w:t>%</w:t>
      </w:r>
      <w:r w:rsidRPr="006A5D92">
        <w:rPr>
          <w:spacing w:val="-2"/>
          <w:szCs w:val="19"/>
          <w:shd w:val="clear" w:color="auto" w:fill="FFFFFF"/>
        </w:rPr>
        <w:t>.</w:t>
      </w:r>
      <w:r w:rsidRPr="006A5D92">
        <w:rPr>
          <w:strike/>
          <w:spacing w:val="-2"/>
          <w:szCs w:val="19"/>
          <w:shd w:val="clear" w:color="auto" w:fill="FFFFFF"/>
        </w:rPr>
        <w:t xml:space="preserve"> </w:t>
      </w:r>
    </w:p>
    <w:p w14:paraId="4AB6D24B" w14:textId="77777777" w:rsidR="00B22FD9" w:rsidRDefault="00B22FD9" w:rsidP="009D29A8">
      <w:pPr>
        <w:rPr>
          <w:strike/>
          <w:spacing w:val="-2"/>
          <w:szCs w:val="19"/>
          <w:shd w:val="clear" w:color="auto" w:fill="FFFFFF"/>
        </w:rPr>
      </w:pPr>
    </w:p>
    <w:p w14:paraId="54D6C02F" w14:textId="0D2A2E7B" w:rsidR="00FE1E2D" w:rsidRPr="00FE1E2D" w:rsidRDefault="00FE1E2D" w:rsidP="009D29A8">
      <w:pPr>
        <w:rPr>
          <w:spacing w:val="-2"/>
          <w:szCs w:val="19"/>
          <w:shd w:val="clear" w:color="auto" w:fill="FFFFFF"/>
        </w:rPr>
      </w:pPr>
      <w:r w:rsidRPr="00FE1E2D">
        <w:rPr>
          <w:spacing w:val="-2"/>
          <w:szCs w:val="19"/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67433842" w14:textId="77777777" w:rsidR="00D72798" w:rsidRPr="006A5D92" w:rsidRDefault="00D72798" w:rsidP="009D29A8">
      <w:pPr>
        <w:rPr>
          <w:strike/>
          <w:spacing w:val="-2"/>
          <w:szCs w:val="19"/>
          <w:shd w:val="clear" w:color="auto" w:fill="FFFFFF"/>
        </w:rPr>
      </w:pPr>
    </w:p>
    <w:p w14:paraId="236C836E" w14:textId="1D7042D3" w:rsidR="00743D1C" w:rsidRDefault="00743D1C" w:rsidP="003457D7">
      <w:pPr>
        <w:spacing w:line="240" w:lineRule="auto"/>
        <w:rPr>
          <w:sz w:val="18"/>
        </w:rPr>
      </w:pPr>
    </w:p>
    <w:p w14:paraId="76C0653A" w14:textId="77777777" w:rsidR="00694AF0" w:rsidRPr="00743D1C" w:rsidRDefault="00694AF0" w:rsidP="00743D1C">
      <w:pPr>
        <w:rPr>
          <w:sz w:val="18"/>
        </w:rPr>
        <w:sectPr w:rsidR="00694AF0" w:rsidRPr="00743D1C" w:rsidSect="00181548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9F6AA2" w:rsidRPr="00230699" w14:paraId="637A6981" w14:textId="77777777" w:rsidTr="0034767F">
        <w:trPr>
          <w:trHeight w:val="1266"/>
        </w:trPr>
        <w:tc>
          <w:tcPr>
            <w:tcW w:w="4379" w:type="dxa"/>
          </w:tcPr>
          <w:p w14:paraId="14FAD679" w14:textId="77777777" w:rsidR="009F6AA2" w:rsidRPr="004579C8" w:rsidRDefault="009F6AA2" w:rsidP="00BB17FA">
            <w:pPr>
              <w:spacing w:before="0" w:after="0" w:line="276" w:lineRule="auto"/>
              <w:rPr>
                <w:rFonts w:cs="Arial"/>
                <w:sz w:val="20"/>
              </w:rPr>
            </w:pPr>
            <w:r w:rsidRPr="004579C8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602ACAE" w14:textId="77777777" w:rsidR="009F6AA2" w:rsidRPr="004579C8" w:rsidRDefault="00AC213B" w:rsidP="00BB17FA">
            <w:pPr>
              <w:pStyle w:val="Nagwek3"/>
              <w:spacing w:before="0" w:line="276" w:lineRule="auto"/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</w:pPr>
            <w:r w:rsidRPr="004579C8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  <w:t>Departament Badań Społecznych</w:t>
            </w:r>
          </w:p>
          <w:p w14:paraId="5FA78F69" w14:textId="7A887E38" w:rsidR="009F6AA2" w:rsidRPr="004579C8" w:rsidRDefault="00CE7934" w:rsidP="00BB17FA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579C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</w:t>
            </w:r>
            <w:r w:rsidR="00DB65FE" w:rsidRPr="004579C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Piotr Łysoń</w:t>
            </w:r>
          </w:p>
          <w:p w14:paraId="3A35A741" w14:textId="400E6EC4" w:rsidR="008B6991" w:rsidRPr="004579C8" w:rsidRDefault="009F6AA2" w:rsidP="00BB17FA">
            <w:pPr>
              <w:pStyle w:val="Nagwek3"/>
              <w:spacing w:before="0" w:line="276" w:lineRule="auto"/>
              <w:rPr>
                <w:rFonts w:ascii="Fira Sans" w:hAnsi="Fira Sans"/>
                <w:color w:val="auto"/>
                <w:sz w:val="20"/>
                <w:u w:val="single"/>
              </w:rPr>
            </w:pPr>
            <w:r w:rsidRPr="004579C8">
              <w:rPr>
                <w:rFonts w:ascii="Fira Sans" w:hAnsi="Fira Sans" w:cs="Arial"/>
                <w:color w:val="auto"/>
                <w:sz w:val="20"/>
              </w:rPr>
              <w:t xml:space="preserve">Tel: </w:t>
            </w:r>
            <w:r w:rsidR="00977219">
              <w:t xml:space="preserve"> </w:t>
            </w:r>
            <w:r w:rsidR="00977219" w:rsidRPr="00977219">
              <w:rPr>
                <w:rFonts w:ascii="Fira Sans" w:hAnsi="Fira Sans" w:cs="Arial"/>
                <w:color w:val="auto"/>
                <w:sz w:val="20"/>
              </w:rPr>
              <w:t>22 449 40</w:t>
            </w:r>
            <w:r w:rsidR="00A301D8">
              <w:rPr>
                <w:rFonts w:ascii="Fira Sans" w:hAnsi="Fira Sans" w:cs="Arial"/>
                <w:color w:val="auto"/>
                <w:sz w:val="20"/>
              </w:rPr>
              <w:t xml:space="preserve"> </w:t>
            </w:r>
            <w:r w:rsidR="00977219" w:rsidRPr="00977219">
              <w:rPr>
                <w:rFonts w:ascii="Fira Sans" w:hAnsi="Fira Sans" w:cs="Arial"/>
                <w:color w:val="auto"/>
                <w:sz w:val="20"/>
              </w:rPr>
              <w:t>27</w:t>
            </w:r>
            <w:r w:rsidR="00977219">
              <w:rPr>
                <w:rFonts w:ascii="Fira Sans" w:hAnsi="Fira Sans" w:cs="Arial"/>
                <w:color w:val="auto"/>
                <w:sz w:val="20"/>
              </w:rPr>
              <w:t xml:space="preserve">, </w:t>
            </w:r>
            <w:r w:rsidRPr="004579C8">
              <w:rPr>
                <w:rFonts w:ascii="Fira Sans" w:hAnsi="Fira Sans" w:cs="Arial"/>
                <w:color w:val="auto"/>
                <w:sz w:val="20"/>
              </w:rPr>
              <w:t>22</w:t>
            </w:r>
            <w:r w:rsidRPr="004579C8">
              <w:rPr>
                <w:color w:val="auto"/>
              </w:rPr>
              <w:t xml:space="preserve"> </w:t>
            </w:r>
            <w:r w:rsidR="00C424DA" w:rsidRPr="004579C8">
              <w:rPr>
                <w:rFonts w:ascii="Fira Sans" w:hAnsi="Fira Sans" w:cs="Arial"/>
                <w:color w:val="auto"/>
                <w:sz w:val="20"/>
              </w:rPr>
              <w:t xml:space="preserve">608 </w:t>
            </w:r>
            <w:r w:rsidR="006C7EEC" w:rsidRPr="004579C8">
              <w:rPr>
                <w:rFonts w:ascii="Fira Sans" w:hAnsi="Fira Sans" w:cs="Arial"/>
                <w:color w:val="auto"/>
                <w:sz w:val="20"/>
              </w:rPr>
              <w:t>31 22</w:t>
            </w:r>
          </w:p>
        </w:tc>
        <w:tc>
          <w:tcPr>
            <w:tcW w:w="3942" w:type="dxa"/>
          </w:tcPr>
          <w:p w14:paraId="375E48F9" w14:textId="77777777" w:rsidR="009F6AA2" w:rsidRPr="00230699" w:rsidRDefault="009F6AA2" w:rsidP="00BB17F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230699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230699">
              <w:rPr>
                <w:rFonts w:cs="Arial"/>
                <w:color w:val="000000" w:themeColor="text1"/>
                <w:sz w:val="20"/>
              </w:rPr>
              <w:br/>
            </w:r>
            <w:r w:rsidRPr="00230699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7224290" w14:textId="77777777" w:rsidR="009F6AA2" w:rsidRPr="00230699" w:rsidRDefault="009F6AA2" w:rsidP="00BB17FA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23069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EA75E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8605A71" w14:textId="77777777" w:rsidR="008B6991" w:rsidRPr="00230699" w:rsidRDefault="00EA75E7" w:rsidP="00BB17FA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</w:t>
            </w:r>
            <w:r w:rsidRPr="00EA75E7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695 255 011</w:t>
            </w:r>
          </w:p>
        </w:tc>
      </w:tr>
    </w:tbl>
    <w:p w14:paraId="6A2E6C80" w14:textId="77777777" w:rsidR="00303707" w:rsidRPr="00230699" w:rsidRDefault="00303707" w:rsidP="00303707">
      <w:pPr>
        <w:rPr>
          <w:sz w:val="20"/>
          <w:lang w:val="en-US"/>
        </w:rPr>
      </w:pPr>
    </w:p>
    <w:p w14:paraId="12056742" w14:textId="6A9B4EFD" w:rsidR="0034767F" w:rsidRPr="00230699" w:rsidRDefault="00117F74" w:rsidP="00303707">
      <w:pPr>
        <w:rPr>
          <w:sz w:val="20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DECBF2" wp14:editId="10CEDA59">
                <wp:simplePos x="0" y="0"/>
                <wp:positionH relativeFrom="margin">
                  <wp:posOffset>3810</wp:posOffset>
                </wp:positionH>
                <wp:positionV relativeFrom="paragraph">
                  <wp:posOffset>1508760</wp:posOffset>
                </wp:positionV>
                <wp:extent cx="6645275" cy="6384290"/>
                <wp:effectExtent l="0" t="0" r="3175" b="0"/>
                <wp:wrapSquare wrapText="bothSides"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6384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55FF2" w14:textId="77777777" w:rsidR="00E913EA" w:rsidRDefault="00E913EA" w:rsidP="009F6AA2">
                            <w:pPr>
                              <w:rPr>
                                <w:b/>
                              </w:rPr>
                            </w:pPr>
                          </w:p>
                          <w:p w14:paraId="268E943E" w14:textId="77777777" w:rsidR="00E913EA" w:rsidRPr="00BB78DB" w:rsidRDefault="00E913EA" w:rsidP="009F6AA2">
                            <w:pPr>
                              <w:rPr>
                                <w:b/>
                              </w:rPr>
                            </w:pPr>
                            <w:r w:rsidRPr="00BB78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6D9D362" w14:textId="77777777" w:rsidR="00E913EA" w:rsidRPr="00474A3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E91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Budżety gospodarstw domowych w 2019 r.</w:t>
                              </w:r>
                            </w:hyperlink>
                          </w:p>
                          <w:p w14:paraId="2D8F2DAB" w14:textId="77777777" w:rsidR="00E913EA" w:rsidRPr="00474A3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E91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Sytuacja gospodarstw domowych w 2019 r. w świetle wyników badania budżetów gospodarstw domowych</w:t>
                              </w:r>
                            </w:hyperlink>
                            <w:r w:rsidR="00E913EA" w:rsidRPr="00474A3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68D7D581" w14:textId="77777777" w:rsidR="00E913EA" w:rsidRPr="00474A3A" w:rsidRDefault="00E913EA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74A3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474A3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"http://stat.gov.pl/obszary-tematyczne/warunki-zycia/dochody-wydatki-i-warunki-zycia-ludnosci/sytuacja-materialna-i-dochodowa-gospodarstw-domowych-emerytow-i-rencistow-w-2016-r-,27,1.html"</w:instrText>
                            </w:r>
                            <w:r w:rsidRPr="00474A3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474A3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Sytuacja materialna i dochodowa gospodarstw domowych emerytów i rencistów w 2016 r.</w:t>
                            </w:r>
                          </w:p>
                          <w:p w14:paraId="3B26B4A4" w14:textId="77777777" w:rsidR="00E913EA" w:rsidRPr="008706A0" w:rsidRDefault="00E913EA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74A3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8" w:history="1">
                              <w:r w:rsidRPr="008706A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Sytuacja społeczno-ekonomiczna gospodarstw domowych w latach 2000-2015. Zróżnicowanie miasto-wieś</w:t>
                              </w:r>
                            </w:hyperlink>
                            <w:r w:rsidRPr="008706A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56ECDE4E" w14:textId="77777777" w:rsidR="00E913EA" w:rsidRPr="00BB78DB" w:rsidRDefault="00E913EA" w:rsidP="009F6A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819314C" w14:textId="77777777" w:rsidR="00E913EA" w:rsidRPr="006726D5" w:rsidRDefault="00E913EA" w:rsidP="009F6A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726D5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9851E14" w14:textId="77777777" w:rsidR="00E913EA" w:rsidRPr="00D30F4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E913EA" w:rsidRPr="00D30F4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gospodarstwa domowe</w:t>
                              </w:r>
                            </w:hyperlink>
                          </w:p>
                          <w:p w14:paraId="62DFCD90" w14:textId="77777777" w:rsidR="00E913EA" w:rsidRPr="00D30F4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E913EA" w:rsidRPr="00D30F4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BGD - warunki materialne ludności według grup społeczno-ekonomicznych i wielkości gospodarstwa</w:t>
                              </w:r>
                            </w:hyperlink>
                          </w:p>
                          <w:p w14:paraId="3EDE0785" w14:textId="77777777" w:rsidR="00E913EA" w:rsidRPr="00D30F4A" w:rsidRDefault="006431EF" w:rsidP="009F6AA2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41" w:history="1">
                              <w:r w:rsidR="00E913EA" w:rsidRPr="00D30F4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Badanie BGD - warunki materialne ludności według klasy miejscowości zamieszkania</w:t>
                              </w:r>
                            </w:hyperlink>
                          </w:p>
                          <w:p w14:paraId="66D35CF8" w14:textId="77777777" w:rsidR="00E913EA" w:rsidRDefault="006431EF" w:rsidP="009F6AA2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42" w:history="1">
                              <w:r w:rsidR="00E913EA" w:rsidRPr="00D30F4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Badanie BGD - warunki materialne ludności według województw</w:t>
                              </w:r>
                            </w:hyperlink>
                          </w:p>
                          <w:p w14:paraId="55A28643" w14:textId="77777777" w:rsidR="00E913EA" w:rsidRPr="00D30F4A" w:rsidRDefault="00E913EA" w:rsidP="009F6AA2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</w:p>
                          <w:p w14:paraId="57058EF5" w14:textId="77777777" w:rsidR="00E913EA" w:rsidRDefault="00E913EA" w:rsidP="009F6A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0B4A25F3" w14:textId="77777777" w:rsidR="00E913EA" w:rsidRPr="006C2B81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3" w:history="1">
                              <w:r w:rsidR="00E913EA" w:rsidRPr="006C2B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Budżet gospodarstwa domowego</w:t>
                              </w:r>
                            </w:hyperlink>
                          </w:p>
                          <w:p w14:paraId="369E7FB2" w14:textId="77777777" w:rsidR="00E913E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4" w:history="1">
                              <w:r w:rsidR="00E913EA" w:rsidRPr="006C2B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Dochód do dyspozycji</w:t>
                              </w:r>
                            </w:hyperlink>
                          </w:p>
                          <w:p w14:paraId="79958DC7" w14:textId="77777777" w:rsidR="00E913EA" w:rsidRPr="006C2B81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5" w:history="1">
                              <w:r w:rsidR="00E913EA" w:rsidRPr="006C2B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Dochód rozporządzalny gospodarstwa domowego</w:t>
                              </w:r>
                            </w:hyperlink>
                          </w:p>
                          <w:p w14:paraId="796CFB62" w14:textId="77777777" w:rsidR="00E913E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6" w:history="1">
                              <w:r w:rsidR="00E913EA" w:rsidRPr="006C2B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Gospodarstwo domowe</w:t>
                              </w:r>
                            </w:hyperlink>
                          </w:p>
                          <w:p w14:paraId="64F4D49D" w14:textId="77777777" w:rsidR="00E913E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7" w:history="1">
                              <w:r w:rsidR="00E913EA" w:rsidRPr="002E00F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gospodarstwa domowego netto</w:t>
                              </w:r>
                            </w:hyperlink>
                          </w:p>
                          <w:p w14:paraId="1F8D682C" w14:textId="77777777" w:rsidR="00E913EA" w:rsidRPr="00F6162B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8" w:history="1">
                              <w:r w:rsidR="00E913EA" w:rsidRPr="00F6162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Rozchody gospodarstwa domowego netto</w:t>
                              </w:r>
                            </w:hyperlink>
                          </w:p>
                          <w:p w14:paraId="0EE2315C" w14:textId="77777777" w:rsidR="00E913E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9" w:history="1">
                              <w:r w:rsidR="00E913EA" w:rsidRPr="00DC2C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Spożycie artykułów żywnościowych w gospodarstwie domowym</w:t>
                              </w:r>
                            </w:hyperlink>
                          </w:p>
                          <w:p w14:paraId="168C53F1" w14:textId="77777777" w:rsidR="00E913EA" w:rsidRPr="00921FC2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0" w:history="1">
                              <w:r w:rsidR="00E913EA" w:rsidRPr="00921FC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Subiektywna ocena sytuacji materialnej gospodarstw domowych</w:t>
                              </w:r>
                            </w:hyperlink>
                          </w:p>
                          <w:p w14:paraId="207CFCE6" w14:textId="77777777" w:rsidR="00E913EA" w:rsidRPr="00921FC2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1" w:history="1">
                              <w:r w:rsidR="00E913EA" w:rsidRPr="00921FC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Warunki mieszkaniowe</w:t>
                              </w:r>
                            </w:hyperlink>
                          </w:p>
                          <w:p w14:paraId="75FECDCE" w14:textId="77777777" w:rsidR="00E913EA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2" w:history="1">
                              <w:r w:rsidR="00E913EA" w:rsidRPr="00307A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Wydatki gospodarstwa domowego</w:t>
                              </w:r>
                            </w:hyperlink>
                          </w:p>
                          <w:p w14:paraId="4B2A5843" w14:textId="77777777" w:rsidR="00E913EA" w:rsidRPr="00307A05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3" w:history="1">
                              <w:r w:rsidR="00E913EA" w:rsidRPr="00307A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Wydatki na towary i usługi konsumpcyjne</w:t>
                              </w:r>
                            </w:hyperlink>
                          </w:p>
                          <w:p w14:paraId="3288E911" w14:textId="77777777" w:rsidR="00E913EA" w:rsidRPr="0081004B" w:rsidRDefault="006431EF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4" w:history="1">
                              <w:r w:rsidR="00E913EA" w:rsidRPr="0081004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Wyposażenie gospodarstw domowych</w:t>
                              </w:r>
                            </w:hyperlink>
                          </w:p>
                          <w:p w14:paraId="49620C23" w14:textId="77777777" w:rsidR="00E913EA" w:rsidRPr="006C2B81" w:rsidRDefault="00E913EA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78882F" w14:textId="77777777" w:rsidR="00E913EA" w:rsidRPr="00660624" w:rsidRDefault="00E913EA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80D5B61" w14:textId="77777777" w:rsidR="00E913EA" w:rsidRPr="003662E1" w:rsidRDefault="00E913EA" w:rsidP="009F6A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CBF2" id="Pole tekstowe 2" o:spid="_x0000_s1045" type="#_x0000_t202" style="position:absolute;margin-left:.3pt;margin-top:118.8pt;width:523.25pt;height:50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siQQIAAHUEAAAOAAAAZHJzL2Uyb0RvYy54bWysVMFu2zAMvQ/YPwi6r07cJE2MOkXXrsOA&#10;bivQ7QNoWY6FSqInKbG7ry8lJ1m6HQYMuxiiSD0+PpK+vBqMZjvpvEJb8unZhDNpBdbKbkr+/dvd&#10;uyVnPoCtQaOVJX+Wnl+t37657LtC5tiirqVjBGJ90Xclb0PoiizzopUG/Bl20pKzQWcgkOk2We2g&#10;J3Sjs3wyWWQ9urpzKKT3dHs7Ovk64TeNFOFr03gZmC45cQvp69K3it9sfQnFxkHXKrGnAf/AwoCy&#10;lPQIdQsB2NapP6CMEg49NuFMoMmwaZSQqQaqZjr5rZrHFjqZaiFxfHeUyf8/WPFl9+CYqkt+fsGZ&#10;BUM9ekAtWZBPPmAvWR416jtfUOhjR8FheI8D9TrV67t7FE+eWbxpwW7ktXPYtxJq4jiNL7OTpyOO&#10;jyBV/xlrygXbgAloaJyJApIkjNCpV8/H/sghMEGXi8Vsnl/MORPkW5wvZ/kqdTCD4vC8cz58lGhY&#10;PJTc0QAkeNjd+xDpQHEIidk8alXfKa2TEYdO3mjHdkDjUm3GEvXWENfxbjWfTA4p04zG8IT6Cklb&#10;1pd8Nc/no0h/yTLyeoVgVKC90MqUfEkpx6RQRGU/2JoeQBFA6fFMRWm7lzqqO+ochmpInZ2uDi2s&#10;sH4m8R2Oe0B7S4cW3U/OetqBkvsfW3CSM/3JUgNX09ksLk0yZvOLnAx36qlOPWAFQZU8cDYeb0Ja&#10;tMjV4jU1ulGpBXEiRiZ7zjTbScP9HsblObVT1K+/xfoFAAD//wMAUEsDBBQABgAIAAAAIQBGPcFu&#10;4AAAAAoBAAAPAAAAZHJzL2Rvd25yZXYueG1sTI9BT8JAEIXvJv6HzZh4MbKlYCu1W2JMiN5IkcB1&#10;6Y5tpTvbdBeo/97hpLc3eS9vvpcvR9uJMw6+daRgOolAIFXOtFQr2H6uHp9B+KDJ6M4RKvhBD8vi&#10;9ibXmXEXKvG8CbXgEvKZVtCE0GdS+qpBq/3E9UjsfbnB6sDnUEsz6AuX207GUZRIq1viD43u8a3B&#10;6rg5WQXvi/Rp9RFv0/Ux+U7M4qHc9ftSqfu78fUFRMAx/IXhis/oUDDTwZ3IeNEpSDinIJ6lLK52&#10;NE+nIA6s4vksAlnk8v+E4hcAAP//AwBQSwECLQAUAAYACAAAACEAtoM4kv4AAADhAQAAEwAAAAAA&#10;AAAAAAAAAAAAAAAAW0NvbnRlbnRfVHlwZXNdLnhtbFBLAQItABQABgAIAAAAIQA4/SH/1gAAAJQB&#10;AAALAAAAAAAAAAAAAAAAAC8BAABfcmVscy8ucmVsc1BLAQItABQABgAIAAAAIQDtsbsiQQIAAHUE&#10;AAAOAAAAAAAAAAAAAAAAAC4CAABkcnMvZTJvRG9jLnhtbFBLAQItABQABgAIAAAAIQBGPcFu4AAA&#10;AAoBAAAPAAAAAAAAAAAAAAAAAJsEAABkcnMvZG93bnJldi54bWxQSwUGAAAAAAQABADzAAAAqAUA&#10;AAAA&#10;" fillcolor="#f2f2f2 [3052]" strokecolor="white [3212]">
                <v:textbox>
                  <w:txbxContent>
                    <w:p w14:paraId="3D955FF2" w14:textId="77777777" w:rsidR="00E913EA" w:rsidRDefault="00E913EA" w:rsidP="009F6AA2">
                      <w:pPr>
                        <w:rPr>
                          <w:b/>
                        </w:rPr>
                      </w:pPr>
                    </w:p>
                    <w:p w14:paraId="268E943E" w14:textId="77777777" w:rsidR="00E913EA" w:rsidRPr="00BB78DB" w:rsidRDefault="00E913EA" w:rsidP="009F6AA2">
                      <w:pPr>
                        <w:rPr>
                          <w:b/>
                        </w:rPr>
                      </w:pPr>
                      <w:r w:rsidRPr="00BB78DB">
                        <w:rPr>
                          <w:b/>
                        </w:rPr>
                        <w:t>Powiązane opracowania</w:t>
                      </w:r>
                    </w:p>
                    <w:p w14:paraId="46D9D362" w14:textId="77777777" w:rsidR="00E913EA" w:rsidRPr="00474A3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E91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Budżety gospodarstw domowych w 2019 r.</w:t>
                        </w:r>
                      </w:hyperlink>
                    </w:p>
                    <w:p w14:paraId="2D8F2DAB" w14:textId="77777777" w:rsidR="00E913EA" w:rsidRPr="00474A3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E91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Sytuacja gospodarstw domowych w 2019 r. w świetle wyników badania budżetów gospodarstw domowych</w:t>
                        </w:r>
                      </w:hyperlink>
                      <w:r w:rsidR="00E913EA" w:rsidRPr="00474A3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68D7D581" w14:textId="77777777" w:rsidR="00E913EA" w:rsidRPr="00474A3A" w:rsidRDefault="00E913EA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74A3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474A3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"http://stat.gov.pl/obszary-tematyczne/warunki-zycia/dochody-wydatki-i-warunki-zycia-ludnosci/sytuacja-materialna-i-dochodowa-gospodarstw-domowych-emerytow-i-rencistow-w-2016-r-,27,1.html"</w:instrText>
                      </w:r>
                      <w:r w:rsidRPr="00474A3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474A3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Sytuacja materialna i dochodowa gospodarstw domowych emerytów i rencistów w 2016 r.</w:t>
                      </w:r>
                    </w:p>
                    <w:p w14:paraId="3B26B4A4" w14:textId="77777777" w:rsidR="00E913EA" w:rsidRPr="008706A0" w:rsidRDefault="00E913EA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74A3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57" w:history="1">
                        <w:r w:rsidRPr="008706A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Sytuacja społeczno-ekonomiczna gospodarstw domowych w latach 2000-2015. Zróżnicowanie miasto-wieś</w:t>
                        </w:r>
                      </w:hyperlink>
                      <w:r w:rsidRPr="008706A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56ECDE4E" w14:textId="77777777" w:rsidR="00E913EA" w:rsidRPr="00BB78DB" w:rsidRDefault="00E913EA" w:rsidP="009F6AA2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819314C" w14:textId="77777777" w:rsidR="00E913EA" w:rsidRPr="006726D5" w:rsidRDefault="00E913EA" w:rsidP="009F6AA2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726D5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59851E14" w14:textId="77777777" w:rsidR="00E913EA" w:rsidRPr="00D30F4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E913EA" w:rsidRPr="00D30F4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gospodarstwa domowe</w:t>
                        </w:r>
                      </w:hyperlink>
                    </w:p>
                    <w:p w14:paraId="62DFCD90" w14:textId="77777777" w:rsidR="00E913EA" w:rsidRPr="00D30F4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E913EA" w:rsidRPr="00D30F4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BGD - warunki materialne ludności według grup społeczno-ekonomicznych i wielkości gospodarstwa</w:t>
                        </w:r>
                      </w:hyperlink>
                    </w:p>
                    <w:p w14:paraId="3EDE0785" w14:textId="77777777" w:rsidR="00E913EA" w:rsidRPr="00D30F4A" w:rsidRDefault="006431EF" w:rsidP="009F6AA2">
                      <w:pPr>
                        <w:rPr>
                          <w:color w:val="001D77"/>
                          <w:szCs w:val="24"/>
                        </w:rPr>
                      </w:pPr>
                      <w:hyperlink r:id="rId60" w:history="1">
                        <w:r w:rsidR="00E913EA" w:rsidRPr="00D30F4A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Badanie BGD - warunki materialne ludności według klasy miejscowości zamieszkania</w:t>
                        </w:r>
                      </w:hyperlink>
                    </w:p>
                    <w:p w14:paraId="66D35CF8" w14:textId="77777777" w:rsidR="00E913EA" w:rsidRDefault="006431EF" w:rsidP="009F6AA2">
                      <w:pPr>
                        <w:rPr>
                          <w:color w:val="001D77"/>
                          <w:szCs w:val="24"/>
                        </w:rPr>
                      </w:pPr>
                      <w:hyperlink r:id="rId61" w:history="1">
                        <w:r w:rsidR="00E913EA" w:rsidRPr="00D30F4A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Badanie BGD - warunki materialne ludności według województw</w:t>
                        </w:r>
                      </w:hyperlink>
                    </w:p>
                    <w:p w14:paraId="55A28643" w14:textId="77777777" w:rsidR="00E913EA" w:rsidRPr="00D30F4A" w:rsidRDefault="00E913EA" w:rsidP="009F6AA2">
                      <w:pPr>
                        <w:rPr>
                          <w:color w:val="001D77"/>
                          <w:szCs w:val="24"/>
                        </w:rPr>
                      </w:pPr>
                    </w:p>
                    <w:p w14:paraId="57058EF5" w14:textId="77777777" w:rsidR="00E913EA" w:rsidRDefault="00E913EA" w:rsidP="009F6AA2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0B4A25F3" w14:textId="77777777" w:rsidR="00E913EA" w:rsidRPr="006C2B81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E913EA" w:rsidRPr="006C2B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Budżet gospodarstwa domowego</w:t>
                        </w:r>
                      </w:hyperlink>
                    </w:p>
                    <w:p w14:paraId="369E7FB2" w14:textId="77777777" w:rsidR="00E913E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E913EA" w:rsidRPr="006C2B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Dochód do dyspozycji</w:t>
                        </w:r>
                      </w:hyperlink>
                    </w:p>
                    <w:p w14:paraId="79958DC7" w14:textId="77777777" w:rsidR="00E913EA" w:rsidRPr="006C2B81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E913EA" w:rsidRPr="006C2B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Dochód rozporządzalny gospodarstwa domowego</w:t>
                        </w:r>
                      </w:hyperlink>
                    </w:p>
                    <w:p w14:paraId="796CFB62" w14:textId="77777777" w:rsidR="00E913E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E913EA" w:rsidRPr="006C2B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Gospodarstwo domowe</w:t>
                        </w:r>
                      </w:hyperlink>
                    </w:p>
                    <w:p w14:paraId="64F4D49D" w14:textId="77777777" w:rsidR="00E913E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E913EA" w:rsidRPr="002E00F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gospodarstwa domowego netto</w:t>
                        </w:r>
                      </w:hyperlink>
                    </w:p>
                    <w:p w14:paraId="1F8D682C" w14:textId="77777777" w:rsidR="00E913EA" w:rsidRPr="00F6162B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E913EA" w:rsidRPr="00F6162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Rozchody gospodarstwa domowego netto</w:t>
                        </w:r>
                      </w:hyperlink>
                    </w:p>
                    <w:p w14:paraId="0EE2315C" w14:textId="77777777" w:rsidR="00E913E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8" w:history="1">
                        <w:r w:rsidR="00E913EA" w:rsidRPr="00DC2C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Spożycie artykułów żywnościowych w gospodarstwie domowym</w:t>
                        </w:r>
                      </w:hyperlink>
                    </w:p>
                    <w:p w14:paraId="168C53F1" w14:textId="77777777" w:rsidR="00E913EA" w:rsidRPr="00921FC2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9" w:history="1">
                        <w:r w:rsidR="00E913EA" w:rsidRPr="00921FC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Subiektywna ocena sytuacji materialnej gospodarstw domowych</w:t>
                        </w:r>
                      </w:hyperlink>
                    </w:p>
                    <w:p w14:paraId="207CFCE6" w14:textId="77777777" w:rsidR="00E913EA" w:rsidRPr="00921FC2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0" w:history="1">
                        <w:r w:rsidR="00E913EA" w:rsidRPr="00921FC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Warunki mieszkaniowe</w:t>
                        </w:r>
                      </w:hyperlink>
                    </w:p>
                    <w:p w14:paraId="75FECDCE" w14:textId="77777777" w:rsidR="00E913EA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1" w:history="1">
                        <w:r w:rsidR="00E913EA" w:rsidRPr="00307A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Wydatki gospodarstwa domowego</w:t>
                        </w:r>
                      </w:hyperlink>
                    </w:p>
                    <w:p w14:paraId="4B2A5843" w14:textId="77777777" w:rsidR="00E913EA" w:rsidRPr="00307A05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2" w:history="1">
                        <w:r w:rsidR="00E913EA" w:rsidRPr="00307A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Wydatki na towary i usługi konsumpcyjne</w:t>
                        </w:r>
                      </w:hyperlink>
                    </w:p>
                    <w:p w14:paraId="3288E911" w14:textId="77777777" w:rsidR="00E913EA" w:rsidRPr="0081004B" w:rsidRDefault="006431EF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3" w:history="1">
                        <w:r w:rsidR="00E913EA" w:rsidRPr="0081004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Wyposażenie gospodarstw domowych</w:t>
                        </w:r>
                      </w:hyperlink>
                    </w:p>
                    <w:p w14:paraId="49620C23" w14:textId="77777777" w:rsidR="00E913EA" w:rsidRPr="006C2B81" w:rsidRDefault="00E913EA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78882F" w14:textId="77777777" w:rsidR="00E913EA" w:rsidRPr="00660624" w:rsidRDefault="00E913EA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80D5B61" w14:textId="77777777" w:rsidR="00E913EA" w:rsidRPr="003662E1" w:rsidRDefault="00E913EA" w:rsidP="009F6AA2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9F6AA2" w:rsidRPr="00230699" w14:paraId="1A227CED" w14:textId="77777777" w:rsidTr="00D51E5E">
        <w:trPr>
          <w:trHeight w:val="610"/>
        </w:trPr>
        <w:tc>
          <w:tcPr>
            <w:tcW w:w="2721" w:type="pct"/>
            <w:vMerge w:val="restart"/>
            <w:vAlign w:val="center"/>
          </w:tcPr>
          <w:p w14:paraId="74571302" w14:textId="77777777" w:rsidR="009F6AA2" w:rsidRPr="00230699" w:rsidRDefault="009F6AA2" w:rsidP="00D51E5E">
            <w:pPr>
              <w:rPr>
                <w:b/>
                <w:sz w:val="20"/>
              </w:rPr>
            </w:pPr>
            <w:r w:rsidRPr="00230699">
              <w:rPr>
                <w:b/>
                <w:sz w:val="20"/>
              </w:rPr>
              <w:t xml:space="preserve">Wydział Współpracy z Mediami </w:t>
            </w:r>
          </w:p>
          <w:p w14:paraId="4B81313B" w14:textId="77777777" w:rsidR="009F6AA2" w:rsidRPr="00230699" w:rsidRDefault="00C424DA" w:rsidP="00D51E5E">
            <w:pPr>
              <w:rPr>
                <w:sz w:val="20"/>
              </w:rPr>
            </w:pPr>
            <w:r w:rsidRPr="00230699">
              <w:rPr>
                <w:sz w:val="20"/>
              </w:rPr>
              <w:t>Tel:</w:t>
            </w:r>
            <w:r w:rsidR="009F6AA2" w:rsidRPr="00230699">
              <w:rPr>
                <w:b/>
                <w:sz w:val="20"/>
              </w:rPr>
              <w:t xml:space="preserve"> </w:t>
            </w:r>
            <w:r w:rsidRPr="00230699">
              <w:rPr>
                <w:sz w:val="20"/>
              </w:rPr>
              <w:t>22 608 34</w:t>
            </w:r>
            <w:r w:rsidR="00EA75E7">
              <w:rPr>
                <w:sz w:val="20"/>
              </w:rPr>
              <w:t xml:space="preserve"> </w:t>
            </w:r>
            <w:r w:rsidRPr="00230699">
              <w:rPr>
                <w:sz w:val="20"/>
              </w:rPr>
              <w:t>91, 22 608 38</w:t>
            </w:r>
            <w:r w:rsidR="00EA75E7">
              <w:rPr>
                <w:sz w:val="20"/>
              </w:rPr>
              <w:t xml:space="preserve"> </w:t>
            </w:r>
            <w:r w:rsidR="009F6AA2" w:rsidRPr="00230699">
              <w:rPr>
                <w:sz w:val="20"/>
              </w:rPr>
              <w:t xml:space="preserve">04 </w:t>
            </w:r>
          </w:p>
          <w:p w14:paraId="364A87DD" w14:textId="5A7E4095" w:rsidR="00D75AB4" w:rsidRPr="00230699" w:rsidRDefault="009F6AA2" w:rsidP="00D75AB4">
            <w:pPr>
              <w:rPr>
                <w:sz w:val="18"/>
                <w:lang w:val="en-US"/>
              </w:rPr>
            </w:pPr>
            <w:r w:rsidRPr="00230699">
              <w:rPr>
                <w:b/>
                <w:sz w:val="20"/>
                <w:lang w:val="en-US"/>
              </w:rPr>
              <w:t>e-mail:</w:t>
            </w:r>
            <w:r w:rsidRPr="00230699">
              <w:rPr>
                <w:sz w:val="20"/>
                <w:lang w:val="en-US"/>
              </w:rPr>
              <w:t xml:space="preserve"> </w:t>
            </w:r>
            <w:hyperlink r:id="rId74" w:history="1">
              <w:r w:rsidR="00D65059" w:rsidRPr="0065777A">
                <w:rPr>
                  <w:rStyle w:val="Hipercze"/>
                  <w:rFonts w:cstheme="minorBidi"/>
                  <w:b/>
                  <w:color w:val="auto"/>
                  <w:sz w:val="18"/>
                  <w:lang w:val="en-US"/>
                </w:rPr>
                <w:t>obslugaprasowa@stat.ob.pl</w:t>
              </w:r>
            </w:hyperlink>
          </w:p>
        </w:tc>
        <w:tc>
          <w:tcPr>
            <w:tcW w:w="369" w:type="pct"/>
            <w:vAlign w:val="center"/>
          </w:tcPr>
          <w:p w14:paraId="644B048C" w14:textId="77777777" w:rsidR="009F6AA2" w:rsidRPr="00230699" w:rsidRDefault="009F6AA2" w:rsidP="00D51E5E">
            <w:pPr>
              <w:rPr>
                <w:sz w:val="18"/>
                <w:lang w:val="en-US"/>
              </w:rPr>
            </w:pPr>
            <w:r w:rsidRPr="0023069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5F42F03C" wp14:editId="2607082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2" name="Obraz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2CFA51D7" w14:textId="77777777" w:rsidR="009F6AA2" w:rsidRPr="00230699" w:rsidRDefault="009F6AA2" w:rsidP="00D51E5E">
            <w:pPr>
              <w:rPr>
                <w:sz w:val="18"/>
                <w:lang w:val="en-US"/>
              </w:rPr>
            </w:pPr>
            <w:r w:rsidRPr="00230699">
              <w:rPr>
                <w:sz w:val="20"/>
                <w:lang w:val="en-US"/>
              </w:rPr>
              <w:t>www.stat.gov.pl</w:t>
            </w:r>
          </w:p>
        </w:tc>
      </w:tr>
      <w:tr w:rsidR="009F6AA2" w:rsidRPr="00230699" w14:paraId="2BDA994F" w14:textId="77777777" w:rsidTr="00D51E5E">
        <w:trPr>
          <w:trHeight w:val="436"/>
        </w:trPr>
        <w:tc>
          <w:tcPr>
            <w:tcW w:w="2721" w:type="pct"/>
            <w:vMerge/>
            <w:vAlign w:val="center"/>
          </w:tcPr>
          <w:p w14:paraId="381F3F14" w14:textId="77777777" w:rsidR="009F6AA2" w:rsidRPr="00230699" w:rsidRDefault="009F6AA2" w:rsidP="00D51E5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1C3B7D6" w14:textId="77777777" w:rsidR="009F6AA2" w:rsidRPr="00230699" w:rsidRDefault="009F6AA2" w:rsidP="00D51E5E">
            <w:pPr>
              <w:rPr>
                <w:sz w:val="18"/>
                <w:lang w:val="en-US"/>
              </w:rPr>
            </w:pPr>
            <w:r w:rsidRPr="0023069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76D0E8FA" wp14:editId="4786C817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6350</wp:posOffset>
                  </wp:positionV>
                  <wp:extent cx="256540" cy="251460"/>
                  <wp:effectExtent l="0" t="0" r="0" b="0"/>
                  <wp:wrapNone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C7050DA" w14:textId="77777777" w:rsidR="009F6AA2" w:rsidRPr="00230699" w:rsidRDefault="009F6AA2" w:rsidP="00D51E5E">
            <w:pPr>
              <w:rPr>
                <w:sz w:val="18"/>
                <w:lang w:val="en-US"/>
              </w:rPr>
            </w:pPr>
            <w:r w:rsidRPr="00230699">
              <w:rPr>
                <w:sz w:val="20"/>
                <w:lang w:val="en-US"/>
              </w:rPr>
              <w:t>@GUS_STAT</w:t>
            </w:r>
          </w:p>
        </w:tc>
      </w:tr>
      <w:tr w:rsidR="009F6AA2" w:rsidRPr="00230699" w14:paraId="57344DD2" w14:textId="77777777" w:rsidTr="00D51E5E">
        <w:trPr>
          <w:trHeight w:val="436"/>
        </w:trPr>
        <w:tc>
          <w:tcPr>
            <w:tcW w:w="2721" w:type="pct"/>
            <w:vMerge/>
            <w:vAlign w:val="center"/>
          </w:tcPr>
          <w:p w14:paraId="7C382491" w14:textId="77777777" w:rsidR="009F6AA2" w:rsidRPr="00230699" w:rsidRDefault="009F6AA2" w:rsidP="00D51E5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0DFC9B6" w14:textId="77777777" w:rsidR="009F6AA2" w:rsidRPr="00230699" w:rsidRDefault="009F6AA2" w:rsidP="00D51E5E">
            <w:pPr>
              <w:rPr>
                <w:sz w:val="18"/>
                <w:lang w:val="en-US"/>
              </w:rPr>
            </w:pPr>
            <w:r w:rsidRPr="0023069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8B6EB35" wp14:editId="3C6A035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744A087B" w14:textId="77777777" w:rsidR="009F6AA2" w:rsidRPr="00230699" w:rsidRDefault="009F6AA2" w:rsidP="00D51E5E">
            <w:pPr>
              <w:rPr>
                <w:sz w:val="20"/>
                <w:lang w:val="en-US"/>
              </w:rPr>
            </w:pPr>
            <w:r w:rsidRPr="00230699">
              <w:rPr>
                <w:sz w:val="20"/>
                <w:lang w:val="en-US"/>
              </w:rPr>
              <w:t>@GlownyUrzadStatystyczny</w:t>
            </w:r>
          </w:p>
        </w:tc>
      </w:tr>
    </w:tbl>
    <w:p w14:paraId="0C9A43F0" w14:textId="77777777" w:rsidR="00303707" w:rsidRPr="003B33FE" w:rsidRDefault="00303707" w:rsidP="00303707">
      <w:pPr>
        <w:rPr>
          <w:i/>
          <w:sz w:val="20"/>
          <w:lang w:val="en-US"/>
        </w:rPr>
      </w:pPr>
    </w:p>
    <w:p w14:paraId="152D0F14" w14:textId="192CF01E" w:rsidR="00474A3A" w:rsidRPr="003B33FE" w:rsidRDefault="00474A3A" w:rsidP="00474A3A">
      <w:pPr>
        <w:rPr>
          <w:i/>
          <w:lang w:val="en-US"/>
        </w:rPr>
      </w:pPr>
    </w:p>
    <w:sectPr w:rsidR="00474A3A" w:rsidRPr="003B33FE" w:rsidSect="00E240FE">
      <w:headerReference w:type="default" r:id="rId78"/>
      <w:footerReference w:type="default" r:id="rId7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2779" w14:textId="77777777" w:rsidR="006431EF" w:rsidRDefault="006431EF" w:rsidP="000662E2">
      <w:pPr>
        <w:spacing w:after="0" w:line="240" w:lineRule="auto"/>
      </w:pPr>
      <w:r>
        <w:separator/>
      </w:r>
    </w:p>
  </w:endnote>
  <w:endnote w:type="continuationSeparator" w:id="0">
    <w:p w14:paraId="374A1B05" w14:textId="77777777" w:rsidR="006431EF" w:rsidRDefault="006431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510229"/>
      <w:docPartObj>
        <w:docPartGallery w:val="Page Numbers (Bottom of Page)"/>
        <w:docPartUnique/>
      </w:docPartObj>
    </w:sdtPr>
    <w:sdtEndPr/>
    <w:sdtContent>
      <w:p w14:paraId="4394CA03" w14:textId="77777777" w:rsidR="00E913EA" w:rsidRDefault="00E913EA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B067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728881"/>
      <w:docPartObj>
        <w:docPartGallery w:val="Page Numbers (Bottom of Page)"/>
        <w:docPartUnique/>
      </w:docPartObj>
    </w:sdtPr>
    <w:sdtEndPr/>
    <w:sdtContent>
      <w:p w14:paraId="1C9BB873" w14:textId="77777777" w:rsidR="00E913EA" w:rsidRDefault="00E913EA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B06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FA35545" w14:textId="77777777" w:rsidR="00E913EA" w:rsidRDefault="00E913EA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B067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EFCB" w14:textId="77777777" w:rsidR="006431EF" w:rsidRDefault="006431EF" w:rsidP="000662E2">
      <w:pPr>
        <w:spacing w:after="0" w:line="240" w:lineRule="auto"/>
      </w:pPr>
      <w:r>
        <w:separator/>
      </w:r>
    </w:p>
  </w:footnote>
  <w:footnote w:type="continuationSeparator" w:id="0">
    <w:p w14:paraId="66D3EB44" w14:textId="77777777" w:rsidR="006431EF" w:rsidRDefault="006431EF" w:rsidP="000662E2">
      <w:pPr>
        <w:spacing w:after="0" w:line="240" w:lineRule="auto"/>
      </w:pPr>
      <w:r>
        <w:continuationSeparator/>
      </w:r>
    </w:p>
  </w:footnote>
  <w:footnote w:id="1">
    <w:p w14:paraId="040199B7" w14:textId="0BC37FD3" w:rsidR="00E913EA" w:rsidRPr="00122D2E" w:rsidRDefault="00E913EA" w:rsidP="00E913EA">
      <w:pPr>
        <w:spacing w:after="0" w:line="240" w:lineRule="auto"/>
        <w:rPr>
          <w:spacing w:val="-2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122D2E">
        <w:rPr>
          <w:spacing w:val="-2"/>
          <w:sz w:val="16"/>
          <w:szCs w:val="16"/>
          <w:shd w:val="clear" w:color="auto" w:fill="FFFFFF"/>
        </w:rPr>
        <w:t xml:space="preserve">W 2020 r. w związku z pandemią i wprowadzeniem różnego typu obostrzeń mających na celu </w:t>
      </w:r>
      <w:r w:rsidRPr="00A73A97">
        <w:rPr>
          <w:spacing w:val="-2"/>
          <w:sz w:val="16"/>
          <w:szCs w:val="16"/>
          <w:shd w:val="clear" w:color="auto" w:fill="FFFFFF"/>
        </w:rPr>
        <w:t xml:space="preserve">redukcję transmisji </w:t>
      </w:r>
      <w:proofErr w:type="spellStart"/>
      <w:r w:rsidRPr="00A73A97">
        <w:rPr>
          <w:spacing w:val="-2"/>
          <w:sz w:val="16"/>
          <w:szCs w:val="16"/>
          <w:shd w:val="clear" w:color="auto" w:fill="FFFFFF"/>
        </w:rPr>
        <w:t>koronawirusa</w:t>
      </w:r>
      <w:proofErr w:type="spellEnd"/>
      <w:r w:rsidRPr="00A73A97">
        <w:rPr>
          <w:spacing w:val="-2"/>
          <w:sz w:val="16"/>
          <w:szCs w:val="16"/>
          <w:shd w:val="clear" w:color="auto" w:fill="FFFFFF"/>
        </w:rPr>
        <w:t xml:space="preserve"> poprzez </w:t>
      </w:r>
      <w:r w:rsidRPr="00122D2E">
        <w:rPr>
          <w:spacing w:val="-2"/>
          <w:sz w:val="16"/>
          <w:szCs w:val="16"/>
          <w:shd w:val="clear" w:color="auto" w:fill="FFFFFF"/>
        </w:rPr>
        <w:t xml:space="preserve">ograniczenie kontaktów międzyludzkich, nastąpiła zmiana </w:t>
      </w:r>
      <w:r>
        <w:rPr>
          <w:spacing w:val="-2"/>
          <w:sz w:val="16"/>
          <w:szCs w:val="16"/>
          <w:shd w:val="clear" w:color="auto" w:fill="FFFFFF"/>
        </w:rPr>
        <w:t xml:space="preserve">dotychczasowego </w:t>
      </w:r>
      <w:r w:rsidRPr="00122D2E">
        <w:rPr>
          <w:spacing w:val="-2"/>
          <w:sz w:val="16"/>
          <w:szCs w:val="16"/>
          <w:shd w:val="clear" w:color="auto" w:fill="FFFFFF"/>
        </w:rPr>
        <w:t>sposob</w:t>
      </w:r>
      <w:r>
        <w:rPr>
          <w:spacing w:val="-2"/>
          <w:sz w:val="16"/>
          <w:szCs w:val="16"/>
          <w:shd w:val="clear" w:color="auto" w:fill="FFFFFF"/>
        </w:rPr>
        <w:t>u</w:t>
      </w:r>
      <w:r w:rsidRPr="00122D2E">
        <w:rPr>
          <w:spacing w:val="-2"/>
          <w:sz w:val="16"/>
          <w:szCs w:val="16"/>
          <w:shd w:val="clear" w:color="auto" w:fill="FFFFFF"/>
        </w:rPr>
        <w:t xml:space="preserve"> zbierania informacji od respondentów z</w:t>
      </w:r>
      <w:r>
        <w:rPr>
          <w:spacing w:val="-2"/>
          <w:sz w:val="16"/>
          <w:szCs w:val="16"/>
          <w:shd w:val="clear" w:color="auto" w:fill="FFFFFF"/>
        </w:rPr>
        <w:t> </w:t>
      </w:r>
      <w:r w:rsidRPr="00122D2E">
        <w:rPr>
          <w:spacing w:val="-2"/>
          <w:sz w:val="16"/>
          <w:szCs w:val="16"/>
          <w:shd w:val="clear" w:color="auto" w:fill="FFFFFF"/>
        </w:rPr>
        <w:t>wywiadu bezpośredniego na wywiad telefoniczny</w:t>
      </w:r>
      <w:r>
        <w:rPr>
          <w:spacing w:val="-2"/>
          <w:sz w:val="16"/>
          <w:szCs w:val="16"/>
          <w:shd w:val="clear" w:color="auto" w:fill="FFFFFF"/>
        </w:rPr>
        <w:t>.</w:t>
      </w:r>
    </w:p>
  </w:footnote>
  <w:footnote w:id="2">
    <w:p w14:paraId="1B5610A2" w14:textId="7725F491" w:rsidR="00E913EA" w:rsidRPr="00122D2E" w:rsidRDefault="00E913EA" w:rsidP="00E913EA">
      <w:pPr>
        <w:spacing w:after="0" w:line="240" w:lineRule="auto"/>
        <w:rPr>
          <w:spacing w:val="-2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122D2E">
        <w:rPr>
          <w:sz w:val="16"/>
        </w:rPr>
        <w:t xml:space="preserve">Ze względu na wprowadzenie od 2013 r. nowej klasyfikacji spożycia indywidualnego według celu, opartej na zharmonizowanej klasyfikacji </w:t>
      </w:r>
      <w:r w:rsidRPr="00AC06CA">
        <w:rPr>
          <w:sz w:val="16"/>
        </w:rPr>
        <w:t xml:space="preserve">COICOP dla wszystkich </w:t>
      </w:r>
      <w:r w:rsidRPr="00A564BA">
        <w:rPr>
          <w:sz w:val="16"/>
        </w:rPr>
        <w:t>badań Europejskiego Systemu Statystyczn</w:t>
      </w:r>
      <w:r>
        <w:rPr>
          <w:sz w:val="16"/>
        </w:rPr>
        <w:t>ego, wyniki dla okresu 2004–2020</w:t>
      </w:r>
      <w:r w:rsidRPr="00A564BA">
        <w:rPr>
          <w:sz w:val="16"/>
        </w:rPr>
        <w:t xml:space="preserve"> podano w warunkach porównywalnych i </w:t>
      </w:r>
      <w:r w:rsidRPr="00AC06CA">
        <w:rPr>
          <w:sz w:val="16"/>
        </w:rPr>
        <w:t>do pozycji „wydatki” w latach 2004–2012 doliczono pozycję „składki na ubezpieczenie na życie”.</w:t>
      </w:r>
    </w:p>
  </w:footnote>
  <w:footnote w:id="3">
    <w:p w14:paraId="2A87E904" w14:textId="256D3B87" w:rsidR="00E913EA" w:rsidRPr="00E35795" w:rsidRDefault="00E913EA" w:rsidP="00CC11A3">
      <w:pPr>
        <w:pStyle w:val="Tekstprzypisudolnego"/>
        <w:rPr>
          <w:spacing w:val="-4"/>
        </w:rPr>
      </w:pPr>
      <w:r w:rsidRPr="00E35795">
        <w:rPr>
          <w:rStyle w:val="Odwoanieprzypisudolnego"/>
          <w:sz w:val="16"/>
        </w:rPr>
        <w:footnoteRef/>
      </w:r>
      <w:r w:rsidRPr="00E35795">
        <w:rPr>
          <w:sz w:val="16"/>
        </w:rPr>
        <w:t xml:space="preserve"> </w:t>
      </w:r>
      <w:r w:rsidRPr="00E35795">
        <w:rPr>
          <w:spacing w:val="-4"/>
          <w:sz w:val="16"/>
        </w:rPr>
        <w:t xml:space="preserve">W 2020 r. z uwagi na sprzyjające warunki pogodowe w stosunku </w:t>
      </w:r>
      <w:r>
        <w:rPr>
          <w:spacing w:val="-4"/>
          <w:sz w:val="16"/>
        </w:rPr>
        <w:t xml:space="preserve">do </w:t>
      </w:r>
      <w:r w:rsidRPr="00E35795">
        <w:rPr>
          <w:spacing w:val="-4"/>
          <w:sz w:val="16"/>
        </w:rPr>
        <w:t>roku poprzedniego wzrosła szacunkowa produkcja głównych upraw rolnych i ogrodniczych (w tym m.in. zbóż o 16% oraz ziemniaków o 40%), co z kolei przełożyło się na zwiększenie w porównaniu z 2019 r. skupu produktów rolnych (w tym m.in. zbóż o 33,2% oraz ziemniaków o 24,3%).</w:t>
      </w:r>
      <w:r>
        <w:rPr>
          <w:spacing w:val="-4"/>
          <w:sz w:val="16"/>
        </w:rPr>
        <w:t xml:space="preserve"> </w:t>
      </w:r>
      <w:r w:rsidRPr="00452CE7">
        <w:rPr>
          <w:i/>
          <w:spacing w:val="-4"/>
          <w:sz w:val="16"/>
        </w:rPr>
        <w:t xml:space="preserve">(źródło: „Wynikowy szacunek głównych ziemiopłodów rolnych i ogrodniczych w 2020 r.” oraz dane </w:t>
      </w:r>
      <w:r>
        <w:rPr>
          <w:i/>
          <w:spacing w:val="-4"/>
          <w:sz w:val="16"/>
        </w:rPr>
        <w:t xml:space="preserve">z </w:t>
      </w:r>
      <w:r w:rsidRPr="00452CE7">
        <w:rPr>
          <w:i/>
          <w:spacing w:val="-4"/>
          <w:sz w:val="16"/>
        </w:rPr>
        <w:t>BDL)</w:t>
      </w:r>
      <w:r>
        <w:rPr>
          <w:i/>
          <w:spacing w:val="-4"/>
          <w:sz w:val="16"/>
        </w:rPr>
        <w:t>.</w:t>
      </w:r>
    </w:p>
  </w:footnote>
  <w:footnote w:id="4">
    <w:p w14:paraId="4DC04F1B" w14:textId="4283235C" w:rsidR="00E913EA" w:rsidRPr="008C4EF4" w:rsidRDefault="00E913EA" w:rsidP="00915D4D">
      <w:pPr>
        <w:pStyle w:val="Tekstprzypisudolnego"/>
        <w:rPr>
          <w:spacing w:val="-4"/>
        </w:rPr>
      </w:pPr>
      <w:r w:rsidRPr="008C4EF4">
        <w:rPr>
          <w:rStyle w:val="Odwoanieprzypisudolnego"/>
          <w:sz w:val="16"/>
        </w:rPr>
        <w:footnoteRef/>
      </w:r>
      <w:r w:rsidRPr="008C4EF4">
        <w:rPr>
          <w:sz w:val="16"/>
        </w:rPr>
        <w:t xml:space="preserve"> </w:t>
      </w:r>
      <w:r w:rsidRPr="00F8243D">
        <w:rPr>
          <w:sz w:val="16"/>
        </w:rPr>
        <w:t>Zmniejszenie dysproporcji</w:t>
      </w:r>
      <w:r w:rsidRPr="008C4EF4">
        <w:rPr>
          <w:sz w:val="16"/>
        </w:rPr>
        <w:t xml:space="preserve"> w zakresie dochodów z pozostałych świadczeń społecznych pomiędzy latami 2019</w:t>
      </w:r>
      <w:r>
        <w:rPr>
          <w:sz w:val="16"/>
        </w:rPr>
        <w:t> </w:t>
      </w:r>
      <w:r w:rsidRPr="008C4EF4">
        <w:rPr>
          <w:sz w:val="16"/>
        </w:rPr>
        <w:t>i</w:t>
      </w:r>
      <w:r>
        <w:rPr>
          <w:sz w:val="16"/>
        </w:rPr>
        <w:t> </w:t>
      </w:r>
      <w:r w:rsidRPr="008C4EF4">
        <w:rPr>
          <w:sz w:val="16"/>
        </w:rPr>
        <w:t xml:space="preserve">2020 </w:t>
      </w:r>
      <w:r w:rsidRPr="00F8243D">
        <w:rPr>
          <w:sz w:val="16"/>
        </w:rPr>
        <w:t>w III i IV kwartale</w:t>
      </w:r>
      <w:r w:rsidRPr="008C4EF4">
        <w:rPr>
          <w:sz w:val="16"/>
        </w:rPr>
        <w:t xml:space="preserve"> wynika z tego, że </w:t>
      </w:r>
      <w:r>
        <w:rPr>
          <w:sz w:val="16"/>
        </w:rPr>
        <w:t>przed</w:t>
      </w:r>
      <w:r w:rsidRPr="008C4EF4">
        <w:rPr>
          <w:sz w:val="16"/>
        </w:rPr>
        <w:t xml:space="preserve"> 1 lipca 2019 r. świadczenie 500+ </w:t>
      </w:r>
      <w:r>
        <w:rPr>
          <w:sz w:val="16"/>
        </w:rPr>
        <w:t>było</w:t>
      </w:r>
      <w:r w:rsidRPr="008C4EF4">
        <w:rPr>
          <w:sz w:val="16"/>
        </w:rPr>
        <w:t xml:space="preserve"> wypłaca</w:t>
      </w:r>
      <w:r>
        <w:rPr>
          <w:sz w:val="16"/>
        </w:rPr>
        <w:t>ne</w:t>
      </w:r>
      <w:r w:rsidRPr="008C4EF4">
        <w:rPr>
          <w:sz w:val="16"/>
        </w:rPr>
        <w:t xml:space="preserve"> na </w:t>
      </w:r>
      <w:r>
        <w:rPr>
          <w:sz w:val="16"/>
        </w:rPr>
        <w:t>pierwsze dziecko jedynie w rodzinach najbiedniejszych, a dopiero od tego dnia na drugie i kolejne</w:t>
      </w:r>
      <w:r w:rsidRPr="008C4EF4">
        <w:rPr>
          <w:sz w:val="16"/>
        </w:rPr>
        <w:t xml:space="preserve"> dziecko niezależnie od dochodów rodziców.</w:t>
      </w:r>
    </w:p>
  </w:footnote>
  <w:footnote w:id="5">
    <w:p w14:paraId="3F09137A" w14:textId="5BBFC91C" w:rsidR="00E913EA" w:rsidRPr="008C4EF4" w:rsidRDefault="00E913EA" w:rsidP="00A73A97">
      <w:pPr>
        <w:pStyle w:val="Tekstprzypisudolnego"/>
        <w:rPr>
          <w:spacing w:val="-4"/>
        </w:rPr>
      </w:pPr>
      <w:r w:rsidRPr="008C4EF4">
        <w:rPr>
          <w:rStyle w:val="Odwoanieprzypisudolnego"/>
          <w:sz w:val="16"/>
        </w:rPr>
        <w:footnoteRef/>
      </w:r>
      <w:r w:rsidRPr="008C4EF4">
        <w:rPr>
          <w:sz w:val="16"/>
        </w:rPr>
        <w:t xml:space="preserve"> </w:t>
      </w:r>
      <w:r>
        <w:rPr>
          <w:sz w:val="16"/>
        </w:rPr>
        <w:t>W 2020 r. nastąpił wzrost dochodów z rolnictwa w grupie społeczno-ekonomicznej rolników, natomiast spadł w grupie: pracowników, pracujących na własny rachunek oraz emerytów.</w:t>
      </w:r>
    </w:p>
  </w:footnote>
  <w:footnote w:id="6">
    <w:p w14:paraId="01606BAD" w14:textId="55F0DA43" w:rsidR="00E913EA" w:rsidRPr="008C4EF4" w:rsidRDefault="00E913EA" w:rsidP="00256284">
      <w:pPr>
        <w:pStyle w:val="Tekstprzypisudolnego"/>
        <w:rPr>
          <w:spacing w:val="-4"/>
        </w:rPr>
      </w:pPr>
      <w:r w:rsidRPr="008C4EF4">
        <w:rPr>
          <w:rStyle w:val="Odwoanieprzypisudolnego"/>
          <w:sz w:val="16"/>
        </w:rPr>
        <w:footnoteRef/>
      </w:r>
      <w:r w:rsidRPr="008C4EF4">
        <w:rPr>
          <w:sz w:val="16"/>
        </w:rPr>
        <w:t xml:space="preserve"> W ramach tej kategorii uwzględniono dodatek solidarnościowy, z którego mogły skorzystać osoby, które w następstwie </w:t>
      </w:r>
      <w:r>
        <w:rPr>
          <w:sz w:val="16"/>
        </w:rPr>
        <w:t xml:space="preserve">pandemii </w:t>
      </w:r>
      <w:r w:rsidRPr="008C4EF4">
        <w:rPr>
          <w:sz w:val="16"/>
        </w:rPr>
        <w:t xml:space="preserve">COVID-19 po 15 marca 2020 r. straciły pracę lub ich umowa wygasła. </w:t>
      </w:r>
      <w:bookmarkStart w:id="1" w:name="_Hlk71549898"/>
      <w:r w:rsidRPr="008C4EF4">
        <w:rPr>
          <w:sz w:val="16"/>
        </w:rPr>
        <w:t>Dodatek solidarnościowy w wysokości 1400 zł przysługiwał od 1 czerwca 2020 r., maksymalnie przez 3 miesiące.</w:t>
      </w:r>
      <w:bookmarkEnd w:id="1"/>
    </w:p>
  </w:footnote>
  <w:footnote w:id="7">
    <w:p w14:paraId="46ADD9DD" w14:textId="77777777" w:rsidR="00E913EA" w:rsidRDefault="00E913EA">
      <w:pPr>
        <w:pStyle w:val="Tekstprzypisudolnego"/>
      </w:pPr>
      <w:r w:rsidRPr="00683DE7">
        <w:rPr>
          <w:rStyle w:val="Odwoanieprzypisudolnego"/>
          <w:sz w:val="16"/>
        </w:rPr>
        <w:footnoteRef/>
      </w:r>
      <w:r w:rsidRPr="00683DE7">
        <w:rPr>
          <w:sz w:val="16"/>
        </w:rPr>
        <w:t xml:space="preserve"> W 20</w:t>
      </w:r>
      <w:r>
        <w:rPr>
          <w:sz w:val="16"/>
        </w:rPr>
        <w:t>20</w:t>
      </w:r>
      <w:r w:rsidRPr="00683DE7">
        <w:rPr>
          <w:sz w:val="16"/>
        </w:rPr>
        <w:t xml:space="preserve"> r. przeciętna liczba osób w gospodarstwach </w:t>
      </w:r>
      <w:r>
        <w:rPr>
          <w:sz w:val="16"/>
        </w:rPr>
        <w:t xml:space="preserve">domowych </w:t>
      </w:r>
      <w:r w:rsidRPr="00683DE7">
        <w:rPr>
          <w:sz w:val="16"/>
        </w:rPr>
        <w:t>zamieszkujących miasta wynosiła</w:t>
      </w:r>
      <w:r>
        <w:rPr>
          <w:sz w:val="16"/>
        </w:rPr>
        <w:t xml:space="preserve"> 2,31, zaś w zamieszkujących wieś – 3,04.</w:t>
      </w:r>
    </w:p>
  </w:footnote>
  <w:footnote w:id="8">
    <w:p w14:paraId="168BD66B" w14:textId="77777777" w:rsidR="00E913EA" w:rsidRPr="00A16CDF" w:rsidRDefault="00E913EA">
      <w:pPr>
        <w:pStyle w:val="Tekstprzypisudolnego"/>
        <w:rPr>
          <w:spacing w:val="-4"/>
        </w:rPr>
      </w:pPr>
      <w:r w:rsidRPr="00A16CDF">
        <w:rPr>
          <w:rStyle w:val="Odwoanieprzypisudolnego"/>
          <w:spacing w:val="-4"/>
          <w:sz w:val="16"/>
        </w:rPr>
        <w:footnoteRef/>
      </w:r>
      <w:r w:rsidRPr="00A16CDF">
        <w:rPr>
          <w:spacing w:val="-4"/>
          <w:sz w:val="16"/>
        </w:rPr>
        <w:t xml:space="preserve"> Kategoria ta obejmuje urządzenia umożliwiające połączenie z Internetem, niezależnie od rodzaju urządzenia i typu połączenia internetowego (np. komputer stacjonarny, laptop, tablet, telewizor, smartfon).</w:t>
      </w:r>
    </w:p>
  </w:footnote>
  <w:footnote w:id="9">
    <w:p w14:paraId="0DAD8644" w14:textId="77777777" w:rsidR="00E913EA" w:rsidRPr="00A16CDF" w:rsidRDefault="00E913EA">
      <w:pPr>
        <w:pStyle w:val="Tekstprzypisudolnego"/>
        <w:rPr>
          <w:spacing w:val="-5"/>
        </w:rPr>
      </w:pPr>
      <w:r w:rsidRPr="00A16CDF">
        <w:rPr>
          <w:rStyle w:val="Odwoanieprzypisudolnego"/>
          <w:spacing w:val="-5"/>
          <w:sz w:val="16"/>
        </w:rPr>
        <w:footnoteRef/>
      </w:r>
      <w:r w:rsidRPr="00A16CDF">
        <w:rPr>
          <w:spacing w:val="-5"/>
          <w:sz w:val="16"/>
        </w:rPr>
        <w:t xml:space="preserve"> Pomimo zaliczenia smartfonu do kategorii „Urządzenie z dostępem do Internetu”, prezentowany jest również poziom wyposażenia w sam smartfon</w:t>
      </w:r>
      <w:r>
        <w:rPr>
          <w:spacing w:val="-5"/>
          <w:sz w:val="16"/>
        </w:rPr>
        <w:t>,</w:t>
      </w:r>
      <w:r w:rsidRPr="00A16CDF">
        <w:rPr>
          <w:spacing w:val="-5"/>
          <w:sz w:val="16"/>
        </w:rPr>
        <w:t xml:space="preserve"> jako osobny rodzaj urządzenia, z uwagi na jego powszechność i różne zastosowania.</w:t>
      </w:r>
    </w:p>
  </w:footnote>
  <w:footnote w:id="10">
    <w:p w14:paraId="55048571" w14:textId="303E4483" w:rsidR="00E913EA" w:rsidRDefault="00E913EA" w:rsidP="00A11B25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 w:rsidRPr="00017628">
        <w:rPr>
          <w:sz w:val="16"/>
        </w:rPr>
        <w:t xml:space="preserve">Przeciętna liczba osób w gospodarstwach należących do I grupy </w:t>
      </w:r>
      <w:proofErr w:type="spellStart"/>
      <w:r w:rsidRPr="00017628">
        <w:rPr>
          <w:sz w:val="16"/>
        </w:rPr>
        <w:t>kwintylowej</w:t>
      </w:r>
      <w:proofErr w:type="spellEnd"/>
      <w:r w:rsidRPr="00017628">
        <w:rPr>
          <w:sz w:val="16"/>
        </w:rPr>
        <w:t xml:space="preserve"> wynosiła 3,</w:t>
      </w:r>
      <w:r>
        <w:rPr>
          <w:sz w:val="16"/>
        </w:rPr>
        <w:t>35</w:t>
      </w:r>
      <w:r w:rsidRPr="00017628">
        <w:rPr>
          <w:sz w:val="16"/>
        </w:rPr>
        <w:t xml:space="preserve">, a w V grupie </w:t>
      </w:r>
      <w:proofErr w:type="spellStart"/>
      <w:r w:rsidRPr="00017628">
        <w:rPr>
          <w:sz w:val="16"/>
        </w:rPr>
        <w:t>kwintylowej</w:t>
      </w:r>
      <w:proofErr w:type="spellEnd"/>
      <w:r w:rsidRPr="00017628">
        <w:rPr>
          <w:sz w:val="16"/>
        </w:rPr>
        <w:t xml:space="preserve"> </w:t>
      </w:r>
      <w:r>
        <w:rPr>
          <w:sz w:val="16"/>
        </w:rPr>
        <w:t xml:space="preserve">– </w:t>
      </w:r>
      <w:r w:rsidRPr="00017628">
        <w:rPr>
          <w:sz w:val="16"/>
        </w:rPr>
        <w:t>2,0</w:t>
      </w:r>
      <w:r>
        <w:rPr>
          <w:sz w:val="16"/>
        </w:rPr>
        <w:t>9</w:t>
      </w:r>
      <w:r w:rsidRPr="00017628">
        <w:rPr>
          <w:sz w:val="16"/>
        </w:rPr>
        <w:t>.</w:t>
      </w:r>
    </w:p>
  </w:footnote>
  <w:footnote w:id="11">
    <w:p w14:paraId="650543E7" w14:textId="1CE7F102" w:rsidR="00E913EA" w:rsidRDefault="00E913EA" w:rsidP="00A11B25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W II kwartale 2020 r. w kwestionariuszu BR-</w:t>
      </w:r>
      <w:r w:rsidRPr="00D11309">
        <w:rPr>
          <w:sz w:val="16"/>
        </w:rPr>
        <w:t>04 do</w:t>
      </w:r>
      <w:r>
        <w:rPr>
          <w:sz w:val="16"/>
        </w:rPr>
        <w:t xml:space="preserve"> badania budżetów gospodarstw domowych dodane zostały pytania dotyczące wybranych aspektów funkcjonowania gospodarstw domowych w warunkach zagrożenia epidemicznego choroby zakaźnej wywołanej wirusem SARS-CoV-2 zwanej „COVID-19”</w:t>
      </w:r>
      <w:r w:rsidRPr="00017628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5D97" w14:textId="6F47D86B" w:rsidR="00E913EA" w:rsidRDefault="00E913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3823FD" wp14:editId="4E2B542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36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3FBC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SyswIAAMYFAAAOAAAAZHJzL2Uyb0RvYy54bWysVM1u2zAMvg/YOwi6r3a8pE2NOkXQosOA&#10;rA3WDj0rshwblUVNUuJk973ZHmyU5LhpV+ww7CJI5MePPyJ5cblrJdkKYxtQBR2dpJQIxaFs1Lqg&#10;3x5uPkwpsY6pkklQoqB7Yenl7P27i07nIoMaZCkMQRJl804XtHZO50lieS1aZk9AC4XKCkzLHD7N&#10;OikN65C9lUmWpqdJB6bUBriwFqXXUUlngb+qBHd3VWWFI7KgGJsLpwnnyp/J7ILla8N03fA+DPYP&#10;UbSsUeh0oLpmjpGNaf6gahtuwELlTji0CVRVw0XIAbMZpa+yua+ZFiEXLI7VQ5ns/6Plt9ulIU1Z&#10;0I+nlCjW4h8tMUIHT79+OpKNfYU6bXME3uul8TlavQD+ZFGRvND4h+0xu8q0HosZkl0o934ot9g5&#10;wlE4mp6NJxn+Ckddlp1O0+x84v0lLD/Ya2PdJwEt8ZeCGvzQUGe2XVgXoQdICA1kU940UoaHbyJx&#10;JQ3ZMvz+1XoUTOWm/QJllJ1P0jQ0AboMPefhIQB7zCSV51PgmaNTLwnZx4RD6m4vhcdJ9VVUWFNM&#10;MQseB+bolHEulIvB2JqVIop9KG/HEgg9c4X+B+6e4GWSB+4YZY/3piIMw2Cc/i2waDxYBM+g3GDc&#10;NgrMWwQSs+o9R/yhSLE0vkorKPfYcQbiKFrNbxr82gWzbskMzh72A+4Td4dHJaErKPQ3SmowP96S&#10;ezyOBGop6XCWC2q/b5gRlMjPCoflfDQe++EPj/HkzPecOdasjjVq014B9ssIN5fm4erxTh6ulYH2&#10;EdfO3HtFFVMcfReUO3N4XLm4Y3BxcTGfBxgOvGZuoe419+S+qr51H3aPzOi+vx3Oxi0c5p7lr9o8&#10;Yr2lgvnGQdWEGXiua19vXBahifvF5rfR8Tugntfv7DcAAAD//wMAUEsDBBQABgAIAAAAIQA4YqfO&#10;4gAAAA0BAAAPAAAAZHJzL2Rvd25yZXYueG1sTI/BTsMwEETvSPyDtUjcWsdua6UhToUqVZw4UCIk&#10;bk68TSJiO8ROE/4e9wTH1TzNvM0Pi+nJFUffOSuBrRMgaGunO9tIKN9PqxSID8pq1TuLEn7Qw6G4&#10;v8tVpt1s3/B6Dg2JJdZnSkIbwpBR6usWjfJrN6CN2cWNRoV4jg3Vo5pjuekpTxJBjepsXGjVgMcW&#10;66/zZCTwctnx+fW0//gsq5dETN9HjkLKx4fl+QlIwCX8wXDTj+pQRKfKTVZ70ktIOeMRlbDiKQNy&#10;IxgTWyCVhM1uuxFAi5z+/6L4BQAA//8DAFBLAQItABQABgAIAAAAIQC2gziS/gAAAOEBAAATAAAA&#10;AAAAAAAAAAAAAAAAAABbQ29udGVudF9UeXBlc10ueG1sUEsBAi0AFAAGAAgAAAAhADj9If/WAAAA&#10;lAEAAAsAAAAAAAAAAAAAAAAALwEAAF9yZWxzLy5yZWxzUEsBAi0AFAAGAAgAAAAhANmAtLKzAgAA&#10;xgUAAA4AAAAAAAAAAAAAAAAALgIAAGRycy9lMm9Eb2MueG1sUEsBAi0AFAAGAAgAAAAhADhip87i&#10;AAAADQEAAA8AAAAAAAAAAAAAAAAADQUAAGRycy9kb3ducmV2LnhtbFBLBQYAAAAABAAEAPMAAAAc&#10;BgAAAAA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9202" w14:textId="5F34B997" w:rsidR="00E913EA" w:rsidRDefault="00E913E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6C986BD" wp14:editId="47E4102E">
              <wp:simplePos x="0" y="0"/>
              <wp:positionH relativeFrom="column">
                <wp:posOffset>5207329</wp:posOffset>
              </wp:positionH>
              <wp:positionV relativeFrom="paragraph">
                <wp:posOffset>199670</wp:posOffset>
              </wp:positionV>
              <wp:extent cx="1888383" cy="22905085"/>
              <wp:effectExtent l="0" t="0" r="0" b="0"/>
              <wp:wrapNone/>
              <wp:docPr id="35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8383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AA96A3" id="Prostokąt 10" o:spid="_x0000_s1026" style="position:absolute;margin-left:410.05pt;margin-top:15.7pt;width:148.7pt;height:1803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feqAIAAKMFAAAOAAAAZHJzL2Uyb0RvYy54bWysVNtu2zAMfR+wfxD0vvrSZkuNOkXQIsOA&#10;oAvWDn1WZDk2KouapNz2vj/bh42SbDfrij0MSwBDFA8PLyJ5dX3oJNkJY1tQJc3OUkqE4lC1alPS&#10;rw+Ld1NKrGOqYhKUKOlRWHo9e/vmaq8LkUMDshKGIImyxV6XtHFOF0lieSM6Zs9AC4XKGkzHHIpm&#10;k1SG7ZG9k0mepu+TPZhKG+DCWry9jUo6C/x1Lbj7XNdWOCJLirG58DXhu/bfZHbFio1huml5Hwb7&#10;hyg61ip0OlLdMsfI1rR/UHUtN2ChdmccugTquuUi5IDZZOmLbO4bpkXIBYtj9Vgm+/9o+d1uZUhb&#10;lfR8QoliHb7RCiN08PTzhyNZqNBe2wKB93plfI5WL4E/WSxd8pvGC7bHHGrTeSxmSA6h3Mex3OLg&#10;CMfLbDqdnk/PKeGoy/PLdJJOJ/5FElYM9tpY91FAR/yhpAYfNNSZ7ZbWRegACaGBbKtFK2UQzGZ9&#10;Iw3ZMXz8Re7/Pbs9hUnlwQq8WWT0NyG1mE3Iyx2l8DipvogaC4bx5yGS0Kpi9MM4F8plUdWwSkT3&#10;kxR/g3ff3N4iZBoIPXON/kfunmBARpKBO0bZ472pCJ0+Gqd/CywajxbBMyg3GnetAvMagcSses8R&#10;PxQplsZXaQ3VEdvJQJwzq/mixXdbMutWzOBg4QjisnCf8VNL2JcU+hMlDZjvr917PPY7ainZ46CW&#10;1H7bMiMokZ8UTsJldnHhJzsIF5MPOQrmVLM+1ahtdwPYDhmuJc3D0eOdHI61ge4Rd8rce0UVUxx9&#10;l5Q7Mwg3Li4Q3EpczOcBhtOsmVuqe809ua+q78uHwyMzum9eh41/B8NQs+JFD0est1Qw3zqo29Dg&#10;z3Xt642bIDROv7X8qjmVA+p5t85+AQAA//8DAFBLAwQUAAYACAAAACEAbgtyXuQAAAAMAQAADwAA&#10;AGRycy9kb3ducmV2LnhtbEyPwU7DMAyG70i8Q2QkbizNxkZVmk4IqITEBbZVY7esMW21xilN1hWe&#10;nuwER9uffn9/uhxNywbsXWNJgphEwJBKqxuqJGzW+U0MzHlFWrWWUMI3OlhmlxepSrQ90TsOK1+x&#10;EEIuURJq77uEc1fWaJSb2A4p3D5tb5QPY19x3atTCDctn0bRghvVUPhQqw4faywPq6ORYHfD+lXn&#10;+aEofp62b/HzR/G1e5Hy+mp8uAfmcfR/MJz1gzpkwWlvj6QdayXE00gEVMJM3AI7A0LczYHtw2Yx&#10;i+fAs5T/L5H9AgAA//8DAFBLAQItABQABgAIAAAAIQC2gziS/gAAAOEBAAATAAAAAAAAAAAAAAAA&#10;AAAAAABbQ29udGVudF9UeXBlc10ueG1sUEsBAi0AFAAGAAgAAAAhADj9If/WAAAAlAEAAAsAAAAA&#10;AAAAAAAAAAAALwEAAF9yZWxzLy5yZWxzUEsBAi0AFAAGAAgAAAAhAA/Kx96oAgAAowUAAA4AAAAA&#10;AAAAAAAAAAAALgIAAGRycy9lMm9Eb2MueG1sUEsBAi0AFAAGAAgAAAAhAG4Lcl7kAAAADAEAAA8A&#10;AAAAAAAAAAAAAAAAAgUAAGRycy9kb3ducmV2LnhtbFBLBQYAAAAABAAEAPMAAAATBgAAAAA=&#10;" fillcolor="#f2f2f2" stroked="f" strokeweight="1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C42D4BA" wp14:editId="194522D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3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4C7295" w14:textId="77777777" w:rsidR="00E913EA" w:rsidRPr="003C6C8D" w:rsidRDefault="00E913E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2D4BA" id="Schemat blokowy: opóźnienie 6" o:spid="_x0000_s1046" style="position:absolute;margin-left:396.6pt;margin-top:15.65pt;width:162.25pt;height:28.1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3BRgYAACQ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OPVQRUqo0bnefIlWBfvEttcLxOq//vj7zyqn&#10;8A/N1J5ta7EA1/P6HVdZi/qMpZ8ETEw6M+pCNDa7jJcoK/L6J+CJ3ivIHu10Ka73paA7iVL4MvBn&#10;fhRHHkphLoSRHyncCVmoOAozvRTyR8r0mFydCWlKuYaRLsS6ySZlVSVyST9C+bOygOp+N0E+2qIZ&#10;DvC0ZcBt69+61pt+64/Yih3C0mM3gO3iIxdAYAGYhTszsF2aNblQQgtlYBq2S7MwFwoQ7YBC2NYD&#10;AYA2BwB0rV2L7/Jii3ASJoE/bxrJA9IIz8IQh3MoswPi/kRqArshRlJpcCojyYTDIPZnA7bsATjl&#10;KMqRVE7efiWkUp3c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eOVrfU3NhNLX2AIYENO0l6BwMYIa8NJ6mn5nIIntjA9yhlPKdg4Ocoajx3bWP2PCTgxb&#10;Ntz9tvP0IGQ4K2znVoGkkc0Kmo3noDNTCrNCK8ykh0Bhxj0ECrOVAiSLmkhVr3aItkrUZB5P0Gbp&#10;mXfmumglu6LvmTaUt9RRAHkzW1S2VWiOD73etq6tRXq5ytMf6OeOfThPkvnsxh6WqOH2q4LEcRj7&#10;oa7VXbNGH9TuZwfjTsQ2XQg8jSPcSmYaWGs9zWaYfTOLsrK7mVUV6MC2CZuQcBYDVMe8NWj/tw2/&#10;2LWCCWpuEFU8LT3bV1FD38jPBCvy9eu8KFTZBL9YvSw4uiJKcujjV3HcbFLHrNA3XcWUm4FR32j5&#10;nFHMae2cvC6oClpUv9AMZHpKGadpogWSdI9D0pRW0sjqxIasqYGPfPhr0ZWqT3noVHRAFTkD/H3s&#10;JkBraYK0sc0qG3vlSrW+cu9sms6/LMw47z00Mqvk3rnMK8bvyqyArBpkY99uktkatUtyt9qBiRqu&#10;2Poa9IycGaGnqNPXORfyjAj5jnDQ/gErQK0q38JHVjC4DeF20yMPbRj/fNf3yh4ElzDroS0oRZee&#10;+P2ScOqh4ucKpJgJnoKMEEl9MY3iAC64PbOyZ6rL8iUDZkA/hdXpobKXRTvMOCs/gKj1VKHCFKlS&#10;wIa+LaGjmIuXEq5hCmSxKT091WOQkwI9z6rzOm31lTVk/n73gfAaqeHSk6CufMNaVSlZtLJJoPON&#10;rSpNxU4vJctypanUlDT72lyAFFVzqJHNKq2rfa2tbs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gZhNwUYGAAAk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C4C7295" w14:textId="77777777" w:rsidR="00E913EA" w:rsidRPr="003C6C8D" w:rsidRDefault="00E913E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AE7DC21" wp14:editId="0BF4C1DF">
          <wp:extent cx="1153274" cy="720000"/>
          <wp:effectExtent l="0" t="0" r="0" b="4445"/>
          <wp:docPr id="29" name="Obraz 2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205A1" w14:textId="3DD25A37" w:rsidR="00E913EA" w:rsidRDefault="00E913E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7BE405C" wp14:editId="06DF4122">
              <wp:simplePos x="0" y="0"/>
              <wp:positionH relativeFrom="column">
                <wp:posOffset>5259070</wp:posOffset>
              </wp:positionH>
              <wp:positionV relativeFrom="paragraph">
                <wp:posOffset>234315</wp:posOffset>
              </wp:positionV>
              <wp:extent cx="1432560" cy="336550"/>
              <wp:effectExtent l="0" t="0" r="0" b="0"/>
              <wp:wrapNone/>
              <wp:docPr id="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510C2" w14:textId="77777777" w:rsidR="00E913EA" w:rsidRPr="0063253C" w:rsidRDefault="00E913EA">
                          <w:pPr>
                            <w:rPr>
                              <w:rFonts w:ascii="Fira Sans SemiBold" w:hAnsi="Fira Sans SemiBold"/>
                              <w:color w:val="001D77"/>
                              <w:lang w:val="en-GB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lang w:val="en-GB"/>
                            </w:rPr>
                            <w:t>31</w:t>
                          </w:r>
                          <w:r w:rsidRPr="0063253C">
                            <w:rPr>
                              <w:rFonts w:ascii="Fira Sans SemiBold" w:hAnsi="Fira Sans SemiBold"/>
                              <w:color w:val="001D77"/>
                              <w:lang w:val="en-GB"/>
                            </w:rPr>
                            <w:t>.05.202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lang w:val="en-GB"/>
                            </w:rPr>
                            <w:t>1</w:t>
                          </w:r>
                          <w:r w:rsidRPr="0063253C">
                            <w:rPr>
                              <w:rFonts w:ascii="Fira Sans SemiBold" w:hAnsi="Fira Sans SemiBold"/>
                              <w:color w:val="001D77"/>
                              <w:lang w:val="en-GB"/>
                            </w:rPr>
                            <w:t xml:space="preserve"> r.</w:t>
                          </w:r>
                        </w:p>
                        <w:p w14:paraId="38B0D292" w14:textId="77777777" w:rsidR="00E913EA" w:rsidRPr="0063253C" w:rsidRDefault="00E913E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lang w:val="en-GB"/>
                            </w:rPr>
                          </w:pPr>
                          <w:proofErr w:type="spellStart"/>
                          <w:r w:rsidRPr="0063253C">
                            <w:rPr>
                              <w:rFonts w:ascii="Fira Sans SemiBold" w:hAnsi="Fira Sans SemiBold"/>
                              <w:color w:val="001D77"/>
                              <w:lang w:val="en-GB"/>
                            </w:rPr>
                            <w:t>dd.mm.rrrr</w:t>
                          </w:r>
                          <w:proofErr w:type="spellEnd"/>
                          <w:r w:rsidRPr="0063253C">
                            <w:rPr>
                              <w:rFonts w:ascii="Fira Sans SemiBold" w:hAnsi="Fira Sans SemiBold"/>
                              <w:color w:val="001D77"/>
                              <w:lang w:val="en-GB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E405C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14.1pt;margin-top:18.45pt;width:112.8pt;height:2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KEVEQIAAP8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+ZwSyw3O&#10;6AG0JFE+hQi9JGXSqHehxquPDi/H4RMMOOvMN7h7EE+BWLjpuN3Ka++h7yRvsMdZyizOUkeckEA2&#10;/TdosBbfRchAQ+tNEhAlIYiOszqc5iOHSEQquZiX1RJDAmPz+bKq8gALXj9nOx/iFwmGpA2jHuef&#10;0fn+PsTUDa+fr6RiFu6U1tkD2pKe0cuqrHLCWcSoiBbVyjB6MU3faJpE8rNtcnLkSo97LKDtkXUi&#10;OlKOw2bIImdJkiIbaA4og4fRkfiCcNOB/0NJj25kNPzecS8p0V8tSnk5WyySffNhUX0s8eDPI5vz&#10;CLcCoRiNlIzbm5gtP1K+RslbldV46eTYMrosi3R8EcnG5+d86+Xdrv8CAAD//wMAUEsDBBQABgAI&#10;AAAAIQCSPAcg3gAAAAoBAAAPAAAAZHJzL2Rvd25yZXYueG1sTI/LTsMwEEX3SPyDNUjsqE1KqyTE&#10;qaoitlSUh8TOjadJRDyOYrcJf9/pii5H9+jOucVqcp044RBaTxoeZwoEUuVtS7WGz4/XhxREiIas&#10;6Tyhhj8MsCpvbwqTWz/SO552sRZcQiE3GpoY+1zKUDXoTJj5Homzgx+ciXwOtbSDGbncdTJRaimd&#10;aYk/NKbHTYPV7+7oNHy9HX6+n9S2fnGLfvSTkuQyqfX93bR+BhFxiv8wXPRZHUp22vsj2SA6DWmS&#10;JoxqmC8zEBdALeY8Zs9RloEsC3k9oTwDAAD//wMAUEsBAi0AFAAGAAgAAAAhALaDOJL+AAAA4QEA&#10;ABMAAAAAAAAAAAAAAAAAAAAAAFtDb250ZW50X1R5cGVzXS54bWxQSwECLQAUAAYACAAAACEAOP0h&#10;/9YAAACUAQAACwAAAAAAAAAAAAAAAAAvAQAAX3JlbHMvLnJlbHNQSwECLQAUAAYACAAAACEA8Nyh&#10;FRECAAD/AwAADgAAAAAAAAAAAAAAAAAuAgAAZHJzL2Uyb0RvYy54bWxQSwECLQAUAAYACAAAACEA&#10;kjwHIN4AAAAKAQAADwAAAAAAAAAAAAAAAABrBAAAZHJzL2Rvd25yZXYueG1sUEsFBgAAAAAEAAQA&#10;8wAAAHYFAAAAAA==&#10;" filled="f" stroked="f">
              <v:textbox>
                <w:txbxContent>
                  <w:p w14:paraId="739510C2" w14:textId="77777777" w:rsidR="00E913EA" w:rsidRPr="0063253C" w:rsidRDefault="00E913EA">
                    <w:pPr>
                      <w:rPr>
                        <w:rFonts w:ascii="Fira Sans SemiBold" w:hAnsi="Fira Sans SemiBold"/>
                        <w:color w:val="001D77"/>
                        <w:lang w:val="en-GB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lang w:val="en-GB"/>
                      </w:rPr>
                      <w:t>31</w:t>
                    </w:r>
                    <w:r w:rsidRPr="0063253C">
                      <w:rPr>
                        <w:rFonts w:ascii="Fira Sans SemiBold" w:hAnsi="Fira Sans SemiBold"/>
                        <w:color w:val="001D77"/>
                        <w:lang w:val="en-GB"/>
                      </w:rPr>
                      <w:t>.05.202</w:t>
                    </w:r>
                    <w:r>
                      <w:rPr>
                        <w:rFonts w:ascii="Fira Sans SemiBold" w:hAnsi="Fira Sans SemiBold"/>
                        <w:color w:val="001D77"/>
                        <w:lang w:val="en-GB"/>
                      </w:rPr>
                      <w:t>1</w:t>
                    </w:r>
                    <w:r w:rsidRPr="0063253C">
                      <w:rPr>
                        <w:rFonts w:ascii="Fira Sans SemiBold" w:hAnsi="Fira Sans SemiBold"/>
                        <w:color w:val="001D77"/>
                        <w:lang w:val="en-GB"/>
                      </w:rPr>
                      <w:t xml:space="preserve"> r.</w:t>
                    </w:r>
                  </w:p>
                  <w:p w14:paraId="38B0D292" w14:textId="77777777" w:rsidR="00E913EA" w:rsidRPr="0063253C" w:rsidRDefault="00E913E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lang w:val="en-GB"/>
                      </w:rPr>
                    </w:pPr>
                    <w:proofErr w:type="spellStart"/>
                    <w:r w:rsidRPr="0063253C">
                      <w:rPr>
                        <w:rFonts w:ascii="Fira Sans SemiBold" w:hAnsi="Fira Sans SemiBold"/>
                        <w:color w:val="001D77"/>
                        <w:lang w:val="en-GB"/>
                      </w:rPr>
                      <w:t>dd.mm.rrrr</w:t>
                    </w:r>
                    <w:proofErr w:type="spellEnd"/>
                    <w:r w:rsidRPr="0063253C">
                      <w:rPr>
                        <w:rFonts w:ascii="Fira Sans SemiBold" w:hAnsi="Fira Sans SemiBold"/>
                        <w:color w:val="001D77"/>
                        <w:lang w:val="en-GB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A789" w14:textId="77777777" w:rsidR="00E913EA" w:rsidRDefault="00E913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75pt;height:125.25pt;visibility:visible" o:bullet="t">
        <v:imagedata r:id="rId1" o:title=""/>
      </v:shape>
    </w:pict>
  </w:numPicBullet>
  <w:numPicBullet w:numPicBulletId="1">
    <w:pict>
      <v:shape id="_x0000_i1053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172"/>
    <w:rsid w:val="00005756"/>
    <w:rsid w:val="000069A9"/>
    <w:rsid w:val="00006D23"/>
    <w:rsid w:val="0000709F"/>
    <w:rsid w:val="00010600"/>
    <w:rsid w:val="000108B8"/>
    <w:rsid w:val="00012126"/>
    <w:rsid w:val="000152F5"/>
    <w:rsid w:val="00015853"/>
    <w:rsid w:val="00015F03"/>
    <w:rsid w:val="00015F38"/>
    <w:rsid w:val="00017628"/>
    <w:rsid w:val="00020B67"/>
    <w:rsid w:val="00022773"/>
    <w:rsid w:val="00022B92"/>
    <w:rsid w:val="00022F61"/>
    <w:rsid w:val="00024670"/>
    <w:rsid w:val="00030FF6"/>
    <w:rsid w:val="00032877"/>
    <w:rsid w:val="00033605"/>
    <w:rsid w:val="00033C7A"/>
    <w:rsid w:val="00033E65"/>
    <w:rsid w:val="000344E3"/>
    <w:rsid w:val="00035382"/>
    <w:rsid w:val="000363C8"/>
    <w:rsid w:val="000374A2"/>
    <w:rsid w:val="00040208"/>
    <w:rsid w:val="00041D2B"/>
    <w:rsid w:val="0004297B"/>
    <w:rsid w:val="00042B02"/>
    <w:rsid w:val="00043063"/>
    <w:rsid w:val="00044796"/>
    <w:rsid w:val="0004582E"/>
    <w:rsid w:val="000470AA"/>
    <w:rsid w:val="0005030D"/>
    <w:rsid w:val="000515F2"/>
    <w:rsid w:val="000552F7"/>
    <w:rsid w:val="00055478"/>
    <w:rsid w:val="00055E44"/>
    <w:rsid w:val="00057CA1"/>
    <w:rsid w:val="00062380"/>
    <w:rsid w:val="00063858"/>
    <w:rsid w:val="00064394"/>
    <w:rsid w:val="0006514B"/>
    <w:rsid w:val="000662E2"/>
    <w:rsid w:val="00066603"/>
    <w:rsid w:val="00066883"/>
    <w:rsid w:val="00066CA6"/>
    <w:rsid w:val="00070936"/>
    <w:rsid w:val="0007113D"/>
    <w:rsid w:val="000716F1"/>
    <w:rsid w:val="00073583"/>
    <w:rsid w:val="00074DD8"/>
    <w:rsid w:val="00075074"/>
    <w:rsid w:val="000752AE"/>
    <w:rsid w:val="000806F7"/>
    <w:rsid w:val="00080EE5"/>
    <w:rsid w:val="000851EC"/>
    <w:rsid w:val="000869FC"/>
    <w:rsid w:val="00086E2F"/>
    <w:rsid w:val="00087355"/>
    <w:rsid w:val="0008735C"/>
    <w:rsid w:val="00087448"/>
    <w:rsid w:val="00090897"/>
    <w:rsid w:val="00090C58"/>
    <w:rsid w:val="000916D0"/>
    <w:rsid w:val="00092FDF"/>
    <w:rsid w:val="00095F54"/>
    <w:rsid w:val="00097840"/>
    <w:rsid w:val="000A03BF"/>
    <w:rsid w:val="000A2B97"/>
    <w:rsid w:val="000A3711"/>
    <w:rsid w:val="000A4599"/>
    <w:rsid w:val="000A4CAA"/>
    <w:rsid w:val="000A6EE6"/>
    <w:rsid w:val="000B0727"/>
    <w:rsid w:val="000B088F"/>
    <w:rsid w:val="000B3813"/>
    <w:rsid w:val="000B39CD"/>
    <w:rsid w:val="000B3E9E"/>
    <w:rsid w:val="000B3F5C"/>
    <w:rsid w:val="000B40C5"/>
    <w:rsid w:val="000B50BB"/>
    <w:rsid w:val="000B5217"/>
    <w:rsid w:val="000B54F4"/>
    <w:rsid w:val="000B5D96"/>
    <w:rsid w:val="000C0588"/>
    <w:rsid w:val="000C135D"/>
    <w:rsid w:val="000C2B9E"/>
    <w:rsid w:val="000C3538"/>
    <w:rsid w:val="000C4C55"/>
    <w:rsid w:val="000C5594"/>
    <w:rsid w:val="000C65C9"/>
    <w:rsid w:val="000C66C2"/>
    <w:rsid w:val="000C6CDA"/>
    <w:rsid w:val="000C6E7D"/>
    <w:rsid w:val="000D1D43"/>
    <w:rsid w:val="000D2215"/>
    <w:rsid w:val="000D225C"/>
    <w:rsid w:val="000D2A5C"/>
    <w:rsid w:val="000D33DA"/>
    <w:rsid w:val="000D3903"/>
    <w:rsid w:val="000D64AA"/>
    <w:rsid w:val="000D6F7C"/>
    <w:rsid w:val="000E02F4"/>
    <w:rsid w:val="000E0918"/>
    <w:rsid w:val="000E116D"/>
    <w:rsid w:val="000E1365"/>
    <w:rsid w:val="000E17FE"/>
    <w:rsid w:val="000E312A"/>
    <w:rsid w:val="000E3160"/>
    <w:rsid w:val="000E5EAC"/>
    <w:rsid w:val="000E617F"/>
    <w:rsid w:val="000E725D"/>
    <w:rsid w:val="000F04B1"/>
    <w:rsid w:val="000F1907"/>
    <w:rsid w:val="000F3240"/>
    <w:rsid w:val="000F4736"/>
    <w:rsid w:val="000F575C"/>
    <w:rsid w:val="000F5E7B"/>
    <w:rsid w:val="000F5FF3"/>
    <w:rsid w:val="001006C8"/>
    <w:rsid w:val="001011C3"/>
    <w:rsid w:val="00101679"/>
    <w:rsid w:val="00103C80"/>
    <w:rsid w:val="00103DA6"/>
    <w:rsid w:val="001053BE"/>
    <w:rsid w:val="00106775"/>
    <w:rsid w:val="00110059"/>
    <w:rsid w:val="00110B61"/>
    <w:rsid w:val="00110D87"/>
    <w:rsid w:val="00112CA9"/>
    <w:rsid w:val="00113A40"/>
    <w:rsid w:val="00113DD1"/>
    <w:rsid w:val="00114DB9"/>
    <w:rsid w:val="00115CFE"/>
    <w:rsid w:val="00115EBD"/>
    <w:rsid w:val="00116087"/>
    <w:rsid w:val="00117F16"/>
    <w:rsid w:val="00117F74"/>
    <w:rsid w:val="0012125A"/>
    <w:rsid w:val="00121317"/>
    <w:rsid w:val="00122D2E"/>
    <w:rsid w:val="0012375C"/>
    <w:rsid w:val="00123F7B"/>
    <w:rsid w:val="00124EF4"/>
    <w:rsid w:val="0012628A"/>
    <w:rsid w:val="00126772"/>
    <w:rsid w:val="001267B5"/>
    <w:rsid w:val="00126EA7"/>
    <w:rsid w:val="00126FF1"/>
    <w:rsid w:val="00130296"/>
    <w:rsid w:val="0013076E"/>
    <w:rsid w:val="00134653"/>
    <w:rsid w:val="001376D5"/>
    <w:rsid w:val="00137B5B"/>
    <w:rsid w:val="00137D32"/>
    <w:rsid w:val="0014060D"/>
    <w:rsid w:val="00141C86"/>
    <w:rsid w:val="001423B6"/>
    <w:rsid w:val="00143BC0"/>
    <w:rsid w:val="001448A7"/>
    <w:rsid w:val="0014602A"/>
    <w:rsid w:val="001465FA"/>
    <w:rsid w:val="00146621"/>
    <w:rsid w:val="00151076"/>
    <w:rsid w:val="00151655"/>
    <w:rsid w:val="001550A2"/>
    <w:rsid w:val="00155632"/>
    <w:rsid w:val="001558B0"/>
    <w:rsid w:val="00155CC9"/>
    <w:rsid w:val="00157C8F"/>
    <w:rsid w:val="0016127B"/>
    <w:rsid w:val="00162325"/>
    <w:rsid w:val="00162604"/>
    <w:rsid w:val="001638E0"/>
    <w:rsid w:val="001642DA"/>
    <w:rsid w:val="001648F5"/>
    <w:rsid w:val="0016568B"/>
    <w:rsid w:val="00167FA5"/>
    <w:rsid w:val="00170256"/>
    <w:rsid w:val="0017045C"/>
    <w:rsid w:val="001708D1"/>
    <w:rsid w:val="0017122E"/>
    <w:rsid w:val="00171D09"/>
    <w:rsid w:val="00172A3B"/>
    <w:rsid w:val="00173D6C"/>
    <w:rsid w:val="001747E2"/>
    <w:rsid w:val="00174B82"/>
    <w:rsid w:val="001756E2"/>
    <w:rsid w:val="001802EF"/>
    <w:rsid w:val="00180604"/>
    <w:rsid w:val="00181548"/>
    <w:rsid w:val="001849AA"/>
    <w:rsid w:val="00184C28"/>
    <w:rsid w:val="001864F9"/>
    <w:rsid w:val="00186B5C"/>
    <w:rsid w:val="00187226"/>
    <w:rsid w:val="00187B70"/>
    <w:rsid w:val="001915A8"/>
    <w:rsid w:val="001931C9"/>
    <w:rsid w:val="0019505E"/>
    <w:rsid w:val="001951DA"/>
    <w:rsid w:val="001953D9"/>
    <w:rsid w:val="00196AED"/>
    <w:rsid w:val="001A08FF"/>
    <w:rsid w:val="001A0DD4"/>
    <w:rsid w:val="001A1762"/>
    <w:rsid w:val="001A18B1"/>
    <w:rsid w:val="001A1FD8"/>
    <w:rsid w:val="001A3A35"/>
    <w:rsid w:val="001A3D75"/>
    <w:rsid w:val="001A47C1"/>
    <w:rsid w:val="001A4B94"/>
    <w:rsid w:val="001A5E7C"/>
    <w:rsid w:val="001A6DB4"/>
    <w:rsid w:val="001A7478"/>
    <w:rsid w:val="001B11D0"/>
    <w:rsid w:val="001B43D7"/>
    <w:rsid w:val="001B4438"/>
    <w:rsid w:val="001B5EAF"/>
    <w:rsid w:val="001B7686"/>
    <w:rsid w:val="001B77D3"/>
    <w:rsid w:val="001C013D"/>
    <w:rsid w:val="001C23FA"/>
    <w:rsid w:val="001C2BF0"/>
    <w:rsid w:val="001C2F57"/>
    <w:rsid w:val="001C3269"/>
    <w:rsid w:val="001C364E"/>
    <w:rsid w:val="001C3D59"/>
    <w:rsid w:val="001C3FBC"/>
    <w:rsid w:val="001C65E7"/>
    <w:rsid w:val="001C7EAA"/>
    <w:rsid w:val="001D00F6"/>
    <w:rsid w:val="001D1DB4"/>
    <w:rsid w:val="001D212D"/>
    <w:rsid w:val="001D2584"/>
    <w:rsid w:val="001D2DE7"/>
    <w:rsid w:val="001D3C55"/>
    <w:rsid w:val="001D3E4A"/>
    <w:rsid w:val="001D5B0C"/>
    <w:rsid w:val="001D6F16"/>
    <w:rsid w:val="001D7030"/>
    <w:rsid w:val="001E0445"/>
    <w:rsid w:val="001E3B25"/>
    <w:rsid w:val="001E4E69"/>
    <w:rsid w:val="001E5C91"/>
    <w:rsid w:val="001E7FC1"/>
    <w:rsid w:val="001F2560"/>
    <w:rsid w:val="001F2F80"/>
    <w:rsid w:val="001F43F3"/>
    <w:rsid w:val="001F4E44"/>
    <w:rsid w:val="001F633E"/>
    <w:rsid w:val="001F7447"/>
    <w:rsid w:val="001F7505"/>
    <w:rsid w:val="00200D81"/>
    <w:rsid w:val="00204FA6"/>
    <w:rsid w:val="00211078"/>
    <w:rsid w:val="00211327"/>
    <w:rsid w:val="00212A6F"/>
    <w:rsid w:val="00212E22"/>
    <w:rsid w:val="002155E0"/>
    <w:rsid w:val="0021569B"/>
    <w:rsid w:val="002167B8"/>
    <w:rsid w:val="0022280B"/>
    <w:rsid w:val="00222E56"/>
    <w:rsid w:val="00227C3D"/>
    <w:rsid w:val="00230347"/>
    <w:rsid w:val="00230679"/>
    <w:rsid w:val="00230699"/>
    <w:rsid w:val="002314CE"/>
    <w:rsid w:val="002318CF"/>
    <w:rsid w:val="00234B4A"/>
    <w:rsid w:val="00234CD1"/>
    <w:rsid w:val="002360F7"/>
    <w:rsid w:val="00236AF8"/>
    <w:rsid w:val="002400F5"/>
    <w:rsid w:val="002412B5"/>
    <w:rsid w:val="00242E02"/>
    <w:rsid w:val="00242FCB"/>
    <w:rsid w:val="0024486C"/>
    <w:rsid w:val="00245CA2"/>
    <w:rsid w:val="00246327"/>
    <w:rsid w:val="00250172"/>
    <w:rsid w:val="00250EB1"/>
    <w:rsid w:val="002520CA"/>
    <w:rsid w:val="00256284"/>
    <w:rsid w:val="002574F9"/>
    <w:rsid w:val="00261B01"/>
    <w:rsid w:val="00262B61"/>
    <w:rsid w:val="00262EE2"/>
    <w:rsid w:val="00264AF7"/>
    <w:rsid w:val="0026513B"/>
    <w:rsid w:val="00265274"/>
    <w:rsid w:val="00266292"/>
    <w:rsid w:val="002662F7"/>
    <w:rsid w:val="00271B98"/>
    <w:rsid w:val="002727F2"/>
    <w:rsid w:val="0027580C"/>
    <w:rsid w:val="00276811"/>
    <w:rsid w:val="00282699"/>
    <w:rsid w:val="00283981"/>
    <w:rsid w:val="002841EC"/>
    <w:rsid w:val="00285AE8"/>
    <w:rsid w:val="0028726B"/>
    <w:rsid w:val="002926DF"/>
    <w:rsid w:val="00294C77"/>
    <w:rsid w:val="00296697"/>
    <w:rsid w:val="00296806"/>
    <w:rsid w:val="00296D91"/>
    <w:rsid w:val="00297C48"/>
    <w:rsid w:val="002A08B3"/>
    <w:rsid w:val="002A0C15"/>
    <w:rsid w:val="002A0E52"/>
    <w:rsid w:val="002A1439"/>
    <w:rsid w:val="002A172D"/>
    <w:rsid w:val="002A4A08"/>
    <w:rsid w:val="002A6EC6"/>
    <w:rsid w:val="002A72FC"/>
    <w:rsid w:val="002A765C"/>
    <w:rsid w:val="002B0472"/>
    <w:rsid w:val="002B0F49"/>
    <w:rsid w:val="002B1B85"/>
    <w:rsid w:val="002B2234"/>
    <w:rsid w:val="002B2D77"/>
    <w:rsid w:val="002B3015"/>
    <w:rsid w:val="002B330B"/>
    <w:rsid w:val="002B4145"/>
    <w:rsid w:val="002B6440"/>
    <w:rsid w:val="002B6B12"/>
    <w:rsid w:val="002B7B1C"/>
    <w:rsid w:val="002C10F2"/>
    <w:rsid w:val="002C15EA"/>
    <w:rsid w:val="002C2735"/>
    <w:rsid w:val="002C3EA6"/>
    <w:rsid w:val="002C4152"/>
    <w:rsid w:val="002C5949"/>
    <w:rsid w:val="002C6EEE"/>
    <w:rsid w:val="002C6EFB"/>
    <w:rsid w:val="002D35B1"/>
    <w:rsid w:val="002D440E"/>
    <w:rsid w:val="002D4B5B"/>
    <w:rsid w:val="002D6744"/>
    <w:rsid w:val="002D75E9"/>
    <w:rsid w:val="002E00F8"/>
    <w:rsid w:val="002E0223"/>
    <w:rsid w:val="002E1AAF"/>
    <w:rsid w:val="002E3462"/>
    <w:rsid w:val="002E3B6E"/>
    <w:rsid w:val="002E3CE8"/>
    <w:rsid w:val="002E3D41"/>
    <w:rsid w:val="002E575D"/>
    <w:rsid w:val="002E6140"/>
    <w:rsid w:val="002E6985"/>
    <w:rsid w:val="002E71B6"/>
    <w:rsid w:val="002E7CC6"/>
    <w:rsid w:val="002E7E4C"/>
    <w:rsid w:val="002F086C"/>
    <w:rsid w:val="002F0C89"/>
    <w:rsid w:val="002F0DB0"/>
    <w:rsid w:val="002F1F81"/>
    <w:rsid w:val="002F3918"/>
    <w:rsid w:val="002F77C8"/>
    <w:rsid w:val="003033A6"/>
    <w:rsid w:val="00303707"/>
    <w:rsid w:val="0030418D"/>
    <w:rsid w:val="003042C1"/>
    <w:rsid w:val="0030485F"/>
    <w:rsid w:val="00304A8F"/>
    <w:rsid w:val="00304C1D"/>
    <w:rsid w:val="00304F22"/>
    <w:rsid w:val="00305517"/>
    <w:rsid w:val="00306C7C"/>
    <w:rsid w:val="00307A05"/>
    <w:rsid w:val="00310217"/>
    <w:rsid w:val="0031028F"/>
    <w:rsid w:val="003123D0"/>
    <w:rsid w:val="00313C08"/>
    <w:rsid w:val="00313DA4"/>
    <w:rsid w:val="00314457"/>
    <w:rsid w:val="0031645A"/>
    <w:rsid w:val="00320094"/>
    <w:rsid w:val="00320936"/>
    <w:rsid w:val="00320F7F"/>
    <w:rsid w:val="00321021"/>
    <w:rsid w:val="0032105B"/>
    <w:rsid w:val="0032219F"/>
    <w:rsid w:val="00322EDD"/>
    <w:rsid w:val="003237FB"/>
    <w:rsid w:val="00323958"/>
    <w:rsid w:val="00324B9F"/>
    <w:rsid w:val="00324BD5"/>
    <w:rsid w:val="00325329"/>
    <w:rsid w:val="00325930"/>
    <w:rsid w:val="0032757A"/>
    <w:rsid w:val="00327D1A"/>
    <w:rsid w:val="00327F5B"/>
    <w:rsid w:val="00332320"/>
    <w:rsid w:val="00332939"/>
    <w:rsid w:val="00332A25"/>
    <w:rsid w:val="00332A54"/>
    <w:rsid w:val="00332A67"/>
    <w:rsid w:val="003337D8"/>
    <w:rsid w:val="00334910"/>
    <w:rsid w:val="0033494C"/>
    <w:rsid w:val="00334BBC"/>
    <w:rsid w:val="00334C90"/>
    <w:rsid w:val="00335EA8"/>
    <w:rsid w:val="0033608A"/>
    <w:rsid w:val="0034014F"/>
    <w:rsid w:val="003402B6"/>
    <w:rsid w:val="00342218"/>
    <w:rsid w:val="00342EB3"/>
    <w:rsid w:val="003453A4"/>
    <w:rsid w:val="003457D7"/>
    <w:rsid w:val="00345959"/>
    <w:rsid w:val="00346B44"/>
    <w:rsid w:val="003475DF"/>
    <w:rsid w:val="0034767F"/>
    <w:rsid w:val="00347D72"/>
    <w:rsid w:val="003513C8"/>
    <w:rsid w:val="00352821"/>
    <w:rsid w:val="00353DE2"/>
    <w:rsid w:val="00354919"/>
    <w:rsid w:val="00354F10"/>
    <w:rsid w:val="00355C51"/>
    <w:rsid w:val="00356A96"/>
    <w:rsid w:val="00357611"/>
    <w:rsid w:val="00365C72"/>
    <w:rsid w:val="00367237"/>
    <w:rsid w:val="0037077F"/>
    <w:rsid w:val="00372411"/>
    <w:rsid w:val="003729F5"/>
    <w:rsid w:val="00373882"/>
    <w:rsid w:val="003750AC"/>
    <w:rsid w:val="0037524C"/>
    <w:rsid w:val="003768E5"/>
    <w:rsid w:val="003815F4"/>
    <w:rsid w:val="00382390"/>
    <w:rsid w:val="0038410A"/>
    <w:rsid w:val="003843DB"/>
    <w:rsid w:val="003849E2"/>
    <w:rsid w:val="0038513A"/>
    <w:rsid w:val="00385E91"/>
    <w:rsid w:val="00391AA9"/>
    <w:rsid w:val="00392539"/>
    <w:rsid w:val="00392FEF"/>
    <w:rsid w:val="00393761"/>
    <w:rsid w:val="003953D4"/>
    <w:rsid w:val="00397C2D"/>
    <w:rsid w:val="00397D18"/>
    <w:rsid w:val="003A009D"/>
    <w:rsid w:val="003A1309"/>
    <w:rsid w:val="003A1B36"/>
    <w:rsid w:val="003A3452"/>
    <w:rsid w:val="003A3998"/>
    <w:rsid w:val="003A40EC"/>
    <w:rsid w:val="003A4C31"/>
    <w:rsid w:val="003A56BE"/>
    <w:rsid w:val="003A5895"/>
    <w:rsid w:val="003A6735"/>
    <w:rsid w:val="003A76EB"/>
    <w:rsid w:val="003B0437"/>
    <w:rsid w:val="003B0C2D"/>
    <w:rsid w:val="003B1454"/>
    <w:rsid w:val="003B18B6"/>
    <w:rsid w:val="003B1F9A"/>
    <w:rsid w:val="003B33FE"/>
    <w:rsid w:val="003B3535"/>
    <w:rsid w:val="003B57C1"/>
    <w:rsid w:val="003B65FD"/>
    <w:rsid w:val="003B6FC7"/>
    <w:rsid w:val="003C1F03"/>
    <w:rsid w:val="003C425A"/>
    <w:rsid w:val="003C4B7E"/>
    <w:rsid w:val="003C59E0"/>
    <w:rsid w:val="003C66FA"/>
    <w:rsid w:val="003C6C8D"/>
    <w:rsid w:val="003D03EA"/>
    <w:rsid w:val="003D3CCA"/>
    <w:rsid w:val="003D40C1"/>
    <w:rsid w:val="003D42E1"/>
    <w:rsid w:val="003D4CB5"/>
    <w:rsid w:val="003D4F95"/>
    <w:rsid w:val="003D5409"/>
    <w:rsid w:val="003D5F42"/>
    <w:rsid w:val="003D60A9"/>
    <w:rsid w:val="003E1A58"/>
    <w:rsid w:val="003E2ACB"/>
    <w:rsid w:val="003E3394"/>
    <w:rsid w:val="003E4EDC"/>
    <w:rsid w:val="003E5529"/>
    <w:rsid w:val="003E5E11"/>
    <w:rsid w:val="003F23F8"/>
    <w:rsid w:val="003F2669"/>
    <w:rsid w:val="003F42C7"/>
    <w:rsid w:val="003F468F"/>
    <w:rsid w:val="003F4C97"/>
    <w:rsid w:val="003F7411"/>
    <w:rsid w:val="003F7FE6"/>
    <w:rsid w:val="00400193"/>
    <w:rsid w:val="0040103E"/>
    <w:rsid w:val="00401337"/>
    <w:rsid w:val="00402D1D"/>
    <w:rsid w:val="00403725"/>
    <w:rsid w:val="004078B9"/>
    <w:rsid w:val="00411654"/>
    <w:rsid w:val="0041587E"/>
    <w:rsid w:val="00415F50"/>
    <w:rsid w:val="004170F6"/>
    <w:rsid w:val="004212E7"/>
    <w:rsid w:val="00421A4D"/>
    <w:rsid w:val="00422A69"/>
    <w:rsid w:val="004236D1"/>
    <w:rsid w:val="0042446D"/>
    <w:rsid w:val="00424C18"/>
    <w:rsid w:val="00425450"/>
    <w:rsid w:val="00427BF8"/>
    <w:rsid w:val="00430580"/>
    <w:rsid w:val="00430F84"/>
    <w:rsid w:val="00431C02"/>
    <w:rsid w:val="00431E65"/>
    <w:rsid w:val="00432B4A"/>
    <w:rsid w:val="0043404D"/>
    <w:rsid w:val="00437395"/>
    <w:rsid w:val="00440700"/>
    <w:rsid w:val="0044076B"/>
    <w:rsid w:val="004417FA"/>
    <w:rsid w:val="00441A8B"/>
    <w:rsid w:val="00442185"/>
    <w:rsid w:val="00445047"/>
    <w:rsid w:val="004455D9"/>
    <w:rsid w:val="004462D1"/>
    <w:rsid w:val="004470D2"/>
    <w:rsid w:val="00447255"/>
    <w:rsid w:val="004477C2"/>
    <w:rsid w:val="00451F26"/>
    <w:rsid w:val="00452CE7"/>
    <w:rsid w:val="00455144"/>
    <w:rsid w:val="004579C8"/>
    <w:rsid w:val="00460304"/>
    <w:rsid w:val="00460559"/>
    <w:rsid w:val="00461556"/>
    <w:rsid w:val="00461BDE"/>
    <w:rsid w:val="0046260A"/>
    <w:rsid w:val="00463E39"/>
    <w:rsid w:val="0046539D"/>
    <w:rsid w:val="004657FC"/>
    <w:rsid w:val="00465D44"/>
    <w:rsid w:val="00466210"/>
    <w:rsid w:val="004673B0"/>
    <w:rsid w:val="004673F1"/>
    <w:rsid w:val="00467BE9"/>
    <w:rsid w:val="004716FD"/>
    <w:rsid w:val="00471D75"/>
    <w:rsid w:val="004722FA"/>
    <w:rsid w:val="004733F6"/>
    <w:rsid w:val="00474A3A"/>
    <w:rsid w:val="00474E69"/>
    <w:rsid w:val="0047614A"/>
    <w:rsid w:val="00476524"/>
    <w:rsid w:val="00476B05"/>
    <w:rsid w:val="004815D6"/>
    <w:rsid w:val="00482D0F"/>
    <w:rsid w:val="00483EDF"/>
    <w:rsid w:val="00484EFF"/>
    <w:rsid w:val="0048561A"/>
    <w:rsid w:val="004875F8"/>
    <w:rsid w:val="00490E03"/>
    <w:rsid w:val="00492488"/>
    <w:rsid w:val="00492B21"/>
    <w:rsid w:val="00493BA8"/>
    <w:rsid w:val="004942C8"/>
    <w:rsid w:val="0049621B"/>
    <w:rsid w:val="004A072E"/>
    <w:rsid w:val="004A2E81"/>
    <w:rsid w:val="004A311F"/>
    <w:rsid w:val="004A3305"/>
    <w:rsid w:val="004A5B9E"/>
    <w:rsid w:val="004A7549"/>
    <w:rsid w:val="004A7B44"/>
    <w:rsid w:val="004B0936"/>
    <w:rsid w:val="004B1ED2"/>
    <w:rsid w:val="004B235A"/>
    <w:rsid w:val="004B298F"/>
    <w:rsid w:val="004B3033"/>
    <w:rsid w:val="004B49AE"/>
    <w:rsid w:val="004B7E27"/>
    <w:rsid w:val="004C1895"/>
    <w:rsid w:val="004C23D2"/>
    <w:rsid w:val="004C348C"/>
    <w:rsid w:val="004C3E99"/>
    <w:rsid w:val="004C6D40"/>
    <w:rsid w:val="004D0683"/>
    <w:rsid w:val="004D0F47"/>
    <w:rsid w:val="004D1923"/>
    <w:rsid w:val="004D2DD3"/>
    <w:rsid w:val="004D36D5"/>
    <w:rsid w:val="004D507F"/>
    <w:rsid w:val="004D5B08"/>
    <w:rsid w:val="004D7A31"/>
    <w:rsid w:val="004E0604"/>
    <w:rsid w:val="004E07D3"/>
    <w:rsid w:val="004E0E9A"/>
    <w:rsid w:val="004E2B0A"/>
    <w:rsid w:val="004E4803"/>
    <w:rsid w:val="004E497C"/>
    <w:rsid w:val="004E4EF6"/>
    <w:rsid w:val="004E5048"/>
    <w:rsid w:val="004E584D"/>
    <w:rsid w:val="004E625B"/>
    <w:rsid w:val="004E67B9"/>
    <w:rsid w:val="004F0C3C"/>
    <w:rsid w:val="004F1F24"/>
    <w:rsid w:val="004F43BC"/>
    <w:rsid w:val="004F492A"/>
    <w:rsid w:val="004F5B56"/>
    <w:rsid w:val="004F63FC"/>
    <w:rsid w:val="004F7174"/>
    <w:rsid w:val="004F75C3"/>
    <w:rsid w:val="00500599"/>
    <w:rsid w:val="00501812"/>
    <w:rsid w:val="00501A4C"/>
    <w:rsid w:val="0050322B"/>
    <w:rsid w:val="00503737"/>
    <w:rsid w:val="0050497E"/>
    <w:rsid w:val="00505977"/>
    <w:rsid w:val="00505A92"/>
    <w:rsid w:val="00506D33"/>
    <w:rsid w:val="00506EDA"/>
    <w:rsid w:val="005116B3"/>
    <w:rsid w:val="005120CB"/>
    <w:rsid w:val="005123BF"/>
    <w:rsid w:val="00513DB5"/>
    <w:rsid w:val="005140B7"/>
    <w:rsid w:val="00515B9C"/>
    <w:rsid w:val="00516B7A"/>
    <w:rsid w:val="005203F1"/>
    <w:rsid w:val="005206C8"/>
    <w:rsid w:val="00521212"/>
    <w:rsid w:val="00521974"/>
    <w:rsid w:val="00521A37"/>
    <w:rsid w:val="00521BC3"/>
    <w:rsid w:val="00522898"/>
    <w:rsid w:val="0052341E"/>
    <w:rsid w:val="0052522E"/>
    <w:rsid w:val="005260D6"/>
    <w:rsid w:val="00527729"/>
    <w:rsid w:val="00533632"/>
    <w:rsid w:val="005336BB"/>
    <w:rsid w:val="00533E00"/>
    <w:rsid w:val="005358B1"/>
    <w:rsid w:val="00541339"/>
    <w:rsid w:val="00541E6E"/>
    <w:rsid w:val="00541ECD"/>
    <w:rsid w:val="00541EF7"/>
    <w:rsid w:val="0054251F"/>
    <w:rsid w:val="00543423"/>
    <w:rsid w:val="00543B74"/>
    <w:rsid w:val="00544FB7"/>
    <w:rsid w:val="00550622"/>
    <w:rsid w:val="00550CFB"/>
    <w:rsid w:val="00550F40"/>
    <w:rsid w:val="005511C9"/>
    <w:rsid w:val="005520D8"/>
    <w:rsid w:val="00552CDC"/>
    <w:rsid w:val="005532EE"/>
    <w:rsid w:val="005533BC"/>
    <w:rsid w:val="00553690"/>
    <w:rsid w:val="0055643F"/>
    <w:rsid w:val="00556CF1"/>
    <w:rsid w:val="00556E49"/>
    <w:rsid w:val="005606B0"/>
    <w:rsid w:val="00561286"/>
    <w:rsid w:val="00561AE5"/>
    <w:rsid w:val="00562055"/>
    <w:rsid w:val="00564A74"/>
    <w:rsid w:val="00564DBF"/>
    <w:rsid w:val="00564F88"/>
    <w:rsid w:val="005652D8"/>
    <w:rsid w:val="005664CC"/>
    <w:rsid w:val="00567186"/>
    <w:rsid w:val="00571D0C"/>
    <w:rsid w:val="00572FE5"/>
    <w:rsid w:val="005731B7"/>
    <w:rsid w:val="00574652"/>
    <w:rsid w:val="00574DAD"/>
    <w:rsid w:val="005757FE"/>
    <w:rsid w:val="00575D05"/>
    <w:rsid w:val="005762A7"/>
    <w:rsid w:val="00580004"/>
    <w:rsid w:val="005828C3"/>
    <w:rsid w:val="00582A3E"/>
    <w:rsid w:val="00582D3F"/>
    <w:rsid w:val="00584951"/>
    <w:rsid w:val="005878F7"/>
    <w:rsid w:val="00587E37"/>
    <w:rsid w:val="00587FA0"/>
    <w:rsid w:val="0059075A"/>
    <w:rsid w:val="005916D7"/>
    <w:rsid w:val="00591BA7"/>
    <w:rsid w:val="0059538A"/>
    <w:rsid w:val="00596464"/>
    <w:rsid w:val="0059710B"/>
    <w:rsid w:val="0059748C"/>
    <w:rsid w:val="005A2AEF"/>
    <w:rsid w:val="005A3C7F"/>
    <w:rsid w:val="005A420C"/>
    <w:rsid w:val="005A6159"/>
    <w:rsid w:val="005A698C"/>
    <w:rsid w:val="005A7BB3"/>
    <w:rsid w:val="005B0772"/>
    <w:rsid w:val="005B1FEB"/>
    <w:rsid w:val="005B22F0"/>
    <w:rsid w:val="005B2FB6"/>
    <w:rsid w:val="005B6140"/>
    <w:rsid w:val="005C0D7D"/>
    <w:rsid w:val="005C13CD"/>
    <w:rsid w:val="005C14BD"/>
    <w:rsid w:val="005C196B"/>
    <w:rsid w:val="005C313C"/>
    <w:rsid w:val="005C34F9"/>
    <w:rsid w:val="005C577E"/>
    <w:rsid w:val="005C7031"/>
    <w:rsid w:val="005C7710"/>
    <w:rsid w:val="005C7B5D"/>
    <w:rsid w:val="005D2934"/>
    <w:rsid w:val="005D46D8"/>
    <w:rsid w:val="005D5835"/>
    <w:rsid w:val="005D789E"/>
    <w:rsid w:val="005E01DA"/>
    <w:rsid w:val="005E0799"/>
    <w:rsid w:val="005E0A61"/>
    <w:rsid w:val="005E1826"/>
    <w:rsid w:val="005E1D1E"/>
    <w:rsid w:val="005E27D5"/>
    <w:rsid w:val="005E4031"/>
    <w:rsid w:val="005E4CC8"/>
    <w:rsid w:val="005E4FC0"/>
    <w:rsid w:val="005E6676"/>
    <w:rsid w:val="005E7471"/>
    <w:rsid w:val="005F11DF"/>
    <w:rsid w:val="005F1EA9"/>
    <w:rsid w:val="005F1F3D"/>
    <w:rsid w:val="005F2B8E"/>
    <w:rsid w:val="005F2C48"/>
    <w:rsid w:val="005F44BD"/>
    <w:rsid w:val="005F4861"/>
    <w:rsid w:val="005F5A80"/>
    <w:rsid w:val="005F5E6B"/>
    <w:rsid w:val="005F6CCC"/>
    <w:rsid w:val="005F7FD8"/>
    <w:rsid w:val="006000F9"/>
    <w:rsid w:val="00600D5C"/>
    <w:rsid w:val="00600DFE"/>
    <w:rsid w:val="00602A7C"/>
    <w:rsid w:val="006044FF"/>
    <w:rsid w:val="0060484B"/>
    <w:rsid w:val="006051FF"/>
    <w:rsid w:val="00607CC5"/>
    <w:rsid w:val="006109D8"/>
    <w:rsid w:val="006111C4"/>
    <w:rsid w:val="006135D3"/>
    <w:rsid w:val="00623E67"/>
    <w:rsid w:val="00625E5B"/>
    <w:rsid w:val="00626BD1"/>
    <w:rsid w:val="00627528"/>
    <w:rsid w:val="006319E3"/>
    <w:rsid w:val="0063253C"/>
    <w:rsid w:val="00632CC4"/>
    <w:rsid w:val="00633014"/>
    <w:rsid w:val="00633332"/>
    <w:rsid w:val="00633882"/>
    <w:rsid w:val="0063437B"/>
    <w:rsid w:val="00634948"/>
    <w:rsid w:val="0063564F"/>
    <w:rsid w:val="00636FBD"/>
    <w:rsid w:val="0064144A"/>
    <w:rsid w:val="00641496"/>
    <w:rsid w:val="006431EF"/>
    <w:rsid w:val="006466E2"/>
    <w:rsid w:val="00646B54"/>
    <w:rsid w:val="00646F3A"/>
    <w:rsid w:val="00647316"/>
    <w:rsid w:val="00647D55"/>
    <w:rsid w:val="00651D5E"/>
    <w:rsid w:val="00653ADD"/>
    <w:rsid w:val="00654166"/>
    <w:rsid w:val="006545F0"/>
    <w:rsid w:val="00654D2E"/>
    <w:rsid w:val="00654EA6"/>
    <w:rsid w:val="006552FE"/>
    <w:rsid w:val="00655460"/>
    <w:rsid w:val="00655E21"/>
    <w:rsid w:val="00660624"/>
    <w:rsid w:val="006616CB"/>
    <w:rsid w:val="0066227B"/>
    <w:rsid w:val="0066338E"/>
    <w:rsid w:val="006670D3"/>
    <w:rsid w:val="006673CA"/>
    <w:rsid w:val="00670DB1"/>
    <w:rsid w:val="00671BFE"/>
    <w:rsid w:val="006726D5"/>
    <w:rsid w:val="00673C26"/>
    <w:rsid w:val="00673FC8"/>
    <w:rsid w:val="00674978"/>
    <w:rsid w:val="00674A5B"/>
    <w:rsid w:val="00675755"/>
    <w:rsid w:val="00675EE8"/>
    <w:rsid w:val="006812AF"/>
    <w:rsid w:val="0068157C"/>
    <w:rsid w:val="0068241E"/>
    <w:rsid w:val="0068327D"/>
    <w:rsid w:val="006836F9"/>
    <w:rsid w:val="00683DE7"/>
    <w:rsid w:val="00684881"/>
    <w:rsid w:val="00684E9B"/>
    <w:rsid w:val="0068627A"/>
    <w:rsid w:val="006863A7"/>
    <w:rsid w:val="0068741D"/>
    <w:rsid w:val="00687461"/>
    <w:rsid w:val="006929FE"/>
    <w:rsid w:val="00692C33"/>
    <w:rsid w:val="00692D54"/>
    <w:rsid w:val="00692FD9"/>
    <w:rsid w:val="00693338"/>
    <w:rsid w:val="00694465"/>
    <w:rsid w:val="00694AF0"/>
    <w:rsid w:val="00694BB4"/>
    <w:rsid w:val="00694DE3"/>
    <w:rsid w:val="0069681B"/>
    <w:rsid w:val="00697D5A"/>
    <w:rsid w:val="006A2F59"/>
    <w:rsid w:val="006A45AE"/>
    <w:rsid w:val="006A4686"/>
    <w:rsid w:val="006A4D40"/>
    <w:rsid w:val="006A5D92"/>
    <w:rsid w:val="006A71F6"/>
    <w:rsid w:val="006A78FC"/>
    <w:rsid w:val="006B0966"/>
    <w:rsid w:val="006B09C4"/>
    <w:rsid w:val="006B0E9E"/>
    <w:rsid w:val="006B14B8"/>
    <w:rsid w:val="006B1CD5"/>
    <w:rsid w:val="006B1F19"/>
    <w:rsid w:val="006B23AC"/>
    <w:rsid w:val="006B4BF3"/>
    <w:rsid w:val="006B5679"/>
    <w:rsid w:val="006B5AE4"/>
    <w:rsid w:val="006B7C37"/>
    <w:rsid w:val="006C10C8"/>
    <w:rsid w:val="006C2B81"/>
    <w:rsid w:val="006C3C6D"/>
    <w:rsid w:val="006C41A1"/>
    <w:rsid w:val="006C46C0"/>
    <w:rsid w:val="006C621F"/>
    <w:rsid w:val="006C6F58"/>
    <w:rsid w:val="006C7EEC"/>
    <w:rsid w:val="006D0CB7"/>
    <w:rsid w:val="006D1507"/>
    <w:rsid w:val="006D1D38"/>
    <w:rsid w:val="006D3D65"/>
    <w:rsid w:val="006D4054"/>
    <w:rsid w:val="006D5D15"/>
    <w:rsid w:val="006D5D61"/>
    <w:rsid w:val="006D7790"/>
    <w:rsid w:val="006E02EC"/>
    <w:rsid w:val="006E2056"/>
    <w:rsid w:val="006E23F6"/>
    <w:rsid w:val="006E2BD8"/>
    <w:rsid w:val="006E2E50"/>
    <w:rsid w:val="006E37C6"/>
    <w:rsid w:val="006E504B"/>
    <w:rsid w:val="006E7636"/>
    <w:rsid w:val="006E7F78"/>
    <w:rsid w:val="006F08B9"/>
    <w:rsid w:val="006F2DD9"/>
    <w:rsid w:val="006F3146"/>
    <w:rsid w:val="006F413B"/>
    <w:rsid w:val="006F5A67"/>
    <w:rsid w:val="006F5D3C"/>
    <w:rsid w:val="006F6749"/>
    <w:rsid w:val="006F6DCF"/>
    <w:rsid w:val="006F7343"/>
    <w:rsid w:val="00702C2F"/>
    <w:rsid w:val="00702D89"/>
    <w:rsid w:val="00705CD4"/>
    <w:rsid w:val="007065EB"/>
    <w:rsid w:val="00706A79"/>
    <w:rsid w:val="00707906"/>
    <w:rsid w:val="007116B6"/>
    <w:rsid w:val="00711880"/>
    <w:rsid w:val="00715D29"/>
    <w:rsid w:val="00716DE0"/>
    <w:rsid w:val="0072040E"/>
    <w:rsid w:val="007211B1"/>
    <w:rsid w:val="00724030"/>
    <w:rsid w:val="007275B6"/>
    <w:rsid w:val="00727703"/>
    <w:rsid w:val="007325B4"/>
    <w:rsid w:val="00734691"/>
    <w:rsid w:val="007347E4"/>
    <w:rsid w:val="00734888"/>
    <w:rsid w:val="00734FEF"/>
    <w:rsid w:val="007369FD"/>
    <w:rsid w:val="0074000C"/>
    <w:rsid w:val="007415C0"/>
    <w:rsid w:val="00742452"/>
    <w:rsid w:val="00743D1C"/>
    <w:rsid w:val="007454E5"/>
    <w:rsid w:val="00745C49"/>
    <w:rsid w:val="00746187"/>
    <w:rsid w:val="00747599"/>
    <w:rsid w:val="007502F3"/>
    <w:rsid w:val="0075195D"/>
    <w:rsid w:val="00751FAC"/>
    <w:rsid w:val="0075267D"/>
    <w:rsid w:val="00752DAC"/>
    <w:rsid w:val="007554B0"/>
    <w:rsid w:val="00760DE9"/>
    <w:rsid w:val="0076254F"/>
    <w:rsid w:val="00762FF2"/>
    <w:rsid w:val="00764D9C"/>
    <w:rsid w:val="007664AD"/>
    <w:rsid w:val="00771116"/>
    <w:rsid w:val="0077146E"/>
    <w:rsid w:val="00771914"/>
    <w:rsid w:val="00771A5A"/>
    <w:rsid w:val="00772223"/>
    <w:rsid w:val="007731D8"/>
    <w:rsid w:val="00773CE5"/>
    <w:rsid w:val="0077402D"/>
    <w:rsid w:val="00774D61"/>
    <w:rsid w:val="00774D62"/>
    <w:rsid w:val="00775896"/>
    <w:rsid w:val="007758FD"/>
    <w:rsid w:val="007764D2"/>
    <w:rsid w:val="00777CB1"/>
    <w:rsid w:val="00780055"/>
    <w:rsid w:val="007801F5"/>
    <w:rsid w:val="00780479"/>
    <w:rsid w:val="00783CA4"/>
    <w:rsid w:val="00783CAA"/>
    <w:rsid w:val="007842FB"/>
    <w:rsid w:val="00785540"/>
    <w:rsid w:val="00785705"/>
    <w:rsid w:val="00786124"/>
    <w:rsid w:val="00787167"/>
    <w:rsid w:val="00790C3E"/>
    <w:rsid w:val="0079514B"/>
    <w:rsid w:val="007A0B71"/>
    <w:rsid w:val="007A11BD"/>
    <w:rsid w:val="007A2DC1"/>
    <w:rsid w:val="007A3E0B"/>
    <w:rsid w:val="007A668D"/>
    <w:rsid w:val="007A6DAD"/>
    <w:rsid w:val="007B08F3"/>
    <w:rsid w:val="007B0BAB"/>
    <w:rsid w:val="007B0D8F"/>
    <w:rsid w:val="007B1C71"/>
    <w:rsid w:val="007B3C4A"/>
    <w:rsid w:val="007B411B"/>
    <w:rsid w:val="007B5D32"/>
    <w:rsid w:val="007B74AB"/>
    <w:rsid w:val="007C0412"/>
    <w:rsid w:val="007C2354"/>
    <w:rsid w:val="007C4094"/>
    <w:rsid w:val="007C73A0"/>
    <w:rsid w:val="007D1C31"/>
    <w:rsid w:val="007D3319"/>
    <w:rsid w:val="007D335D"/>
    <w:rsid w:val="007D3642"/>
    <w:rsid w:val="007D4EB8"/>
    <w:rsid w:val="007D6267"/>
    <w:rsid w:val="007D6B06"/>
    <w:rsid w:val="007E04C5"/>
    <w:rsid w:val="007E0DB2"/>
    <w:rsid w:val="007E1352"/>
    <w:rsid w:val="007E13D4"/>
    <w:rsid w:val="007E1DF3"/>
    <w:rsid w:val="007E1F14"/>
    <w:rsid w:val="007E2298"/>
    <w:rsid w:val="007E23E5"/>
    <w:rsid w:val="007E3314"/>
    <w:rsid w:val="007E4B03"/>
    <w:rsid w:val="007E716F"/>
    <w:rsid w:val="007F04F4"/>
    <w:rsid w:val="007F229C"/>
    <w:rsid w:val="007F275E"/>
    <w:rsid w:val="007F28BB"/>
    <w:rsid w:val="007F324B"/>
    <w:rsid w:val="007F36F4"/>
    <w:rsid w:val="007F3898"/>
    <w:rsid w:val="007F41C8"/>
    <w:rsid w:val="007F4A26"/>
    <w:rsid w:val="007F6485"/>
    <w:rsid w:val="007F7BFB"/>
    <w:rsid w:val="008021BD"/>
    <w:rsid w:val="00802DC2"/>
    <w:rsid w:val="00803B35"/>
    <w:rsid w:val="00804408"/>
    <w:rsid w:val="008054BE"/>
    <w:rsid w:val="0080553C"/>
    <w:rsid w:val="00805B46"/>
    <w:rsid w:val="0081004B"/>
    <w:rsid w:val="008119BB"/>
    <w:rsid w:val="008127B9"/>
    <w:rsid w:val="0081438B"/>
    <w:rsid w:val="00814632"/>
    <w:rsid w:val="0081668A"/>
    <w:rsid w:val="00816E06"/>
    <w:rsid w:val="0081743F"/>
    <w:rsid w:val="0081757B"/>
    <w:rsid w:val="008205A7"/>
    <w:rsid w:val="008216FE"/>
    <w:rsid w:val="008223FB"/>
    <w:rsid w:val="00823BF7"/>
    <w:rsid w:val="00824CBC"/>
    <w:rsid w:val="00824CFE"/>
    <w:rsid w:val="00825DC2"/>
    <w:rsid w:val="00826CD5"/>
    <w:rsid w:val="00830977"/>
    <w:rsid w:val="00830A13"/>
    <w:rsid w:val="0083126D"/>
    <w:rsid w:val="0083283E"/>
    <w:rsid w:val="0083335F"/>
    <w:rsid w:val="008335A8"/>
    <w:rsid w:val="00834AD3"/>
    <w:rsid w:val="00834DE5"/>
    <w:rsid w:val="0083520C"/>
    <w:rsid w:val="00835284"/>
    <w:rsid w:val="0083594F"/>
    <w:rsid w:val="00841551"/>
    <w:rsid w:val="00843795"/>
    <w:rsid w:val="00843C5B"/>
    <w:rsid w:val="0084551C"/>
    <w:rsid w:val="00847F0F"/>
    <w:rsid w:val="0085014A"/>
    <w:rsid w:val="00850E07"/>
    <w:rsid w:val="00852448"/>
    <w:rsid w:val="008540F0"/>
    <w:rsid w:val="00860BA6"/>
    <w:rsid w:val="00861137"/>
    <w:rsid w:val="00862119"/>
    <w:rsid w:val="008622F6"/>
    <w:rsid w:val="0086798B"/>
    <w:rsid w:val="008706A0"/>
    <w:rsid w:val="008707CF"/>
    <w:rsid w:val="00872C2A"/>
    <w:rsid w:val="0087427F"/>
    <w:rsid w:val="00874735"/>
    <w:rsid w:val="00874865"/>
    <w:rsid w:val="0087524B"/>
    <w:rsid w:val="008752CA"/>
    <w:rsid w:val="00875393"/>
    <w:rsid w:val="00875BA4"/>
    <w:rsid w:val="00875D6D"/>
    <w:rsid w:val="00875EF1"/>
    <w:rsid w:val="00875F84"/>
    <w:rsid w:val="008770E5"/>
    <w:rsid w:val="008802BF"/>
    <w:rsid w:val="0088258A"/>
    <w:rsid w:val="00884D73"/>
    <w:rsid w:val="00884EDE"/>
    <w:rsid w:val="00886332"/>
    <w:rsid w:val="0088655F"/>
    <w:rsid w:val="0088757B"/>
    <w:rsid w:val="0088797D"/>
    <w:rsid w:val="0089152C"/>
    <w:rsid w:val="00894293"/>
    <w:rsid w:val="00895151"/>
    <w:rsid w:val="00895898"/>
    <w:rsid w:val="0089665A"/>
    <w:rsid w:val="00896D71"/>
    <w:rsid w:val="00897B0C"/>
    <w:rsid w:val="008A0964"/>
    <w:rsid w:val="008A0C4A"/>
    <w:rsid w:val="008A20A8"/>
    <w:rsid w:val="008A26D9"/>
    <w:rsid w:val="008A278B"/>
    <w:rsid w:val="008A2B30"/>
    <w:rsid w:val="008A2D61"/>
    <w:rsid w:val="008A3AA7"/>
    <w:rsid w:val="008A3C4A"/>
    <w:rsid w:val="008A5AE9"/>
    <w:rsid w:val="008A63C3"/>
    <w:rsid w:val="008A7009"/>
    <w:rsid w:val="008A7200"/>
    <w:rsid w:val="008A7CF0"/>
    <w:rsid w:val="008B18FF"/>
    <w:rsid w:val="008B1E05"/>
    <w:rsid w:val="008B52D7"/>
    <w:rsid w:val="008B57F2"/>
    <w:rsid w:val="008B657E"/>
    <w:rsid w:val="008B6867"/>
    <w:rsid w:val="008B6991"/>
    <w:rsid w:val="008B6DA9"/>
    <w:rsid w:val="008B6E82"/>
    <w:rsid w:val="008C046A"/>
    <w:rsid w:val="008C0C29"/>
    <w:rsid w:val="008C4EF4"/>
    <w:rsid w:val="008C6D2A"/>
    <w:rsid w:val="008D0957"/>
    <w:rsid w:val="008D2898"/>
    <w:rsid w:val="008D28A2"/>
    <w:rsid w:val="008D6FF2"/>
    <w:rsid w:val="008E0021"/>
    <w:rsid w:val="008E119E"/>
    <w:rsid w:val="008E24D9"/>
    <w:rsid w:val="008E2986"/>
    <w:rsid w:val="008E2C60"/>
    <w:rsid w:val="008E2FED"/>
    <w:rsid w:val="008E431C"/>
    <w:rsid w:val="008E5389"/>
    <w:rsid w:val="008E55F4"/>
    <w:rsid w:val="008F15F3"/>
    <w:rsid w:val="008F2245"/>
    <w:rsid w:val="008F2641"/>
    <w:rsid w:val="008F2B9C"/>
    <w:rsid w:val="008F319B"/>
    <w:rsid w:val="008F3638"/>
    <w:rsid w:val="008F4441"/>
    <w:rsid w:val="008F4694"/>
    <w:rsid w:val="008F615E"/>
    <w:rsid w:val="008F6964"/>
    <w:rsid w:val="008F6C3C"/>
    <w:rsid w:val="008F6F31"/>
    <w:rsid w:val="008F74DF"/>
    <w:rsid w:val="00901007"/>
    <w:rsid w:val="009014EF"/>
    <w:rsid w:val="00901ED6"/>
    <w:rsid w:val="0090248C"/>
    <w:rsid w:val="0090252D"/>
    <w:rsid w:val="00903151"/>
    <w:rsid w:val="009034B4"/>
    <w:rsid w:val="00903DA5"/>
    <w:rsid w:val="00903E49"/>
    <w:rsid w:val="0090573A"/>
    <w:rsid w:val="00906F75"/>
    <w:rsid w:val="00907511"/>
    <w:rsid w:val="0091010B"/>
    <w:rsid w:val="0091214B"/>
    <w:rsid w:val="009127BA"/>
    <w:rsid w:val="009143A0"/>
    <w:rsid w:val="00915485"/>
    <w:rsid w:val="00915D4D"/>
    <w:rsid w:val="00920460"/>
    <w:rsid w:val="00921FC2"/>
    <w:rsid w:val="009227A6"/>
    <w:rsid w:val="00923404"/>
    <w:rsid w:val="00924E7F"/>
    <w:rsid w:val="009255B9"/>
    <w:rsid w:val="00926858"/>
    <w:rsid w:val="0093054B"/>
    <w:rsid w:val="00930703"/>
    <w:rsid w:val="009317DD"/>
    <w:rsid w:val="009320D1"/>
    <w:rsid w:val="0093262A"/>
    <w:rsid w:val="009327D7"/>
    <w:rsid w:val="00933EC1"/>
    <w:rsid w:val="00933F58"/>
    <w:rsid w:val="00933F94"/>
    <w:rsid w:val="00936260"/>
    <w:rsid w:val="0093751C"/>
    <w:rsid w:val="00937540"/>
    <w:rsid w:val="00937F39"/>
    <w:rsid w:val="00940A2B"/>
    <w:rsid w:val="009415FC"/>
    <w:rsid w:val="009445C3"/>
    <w:rsid w:val="00944BA9"/>
    <w:rsid w:val="00947876"/>
    <w:rsid w:val="00951B99"/>
    <w:rsid w:val="0095200D"/>
    <w:rsid w:val="00952578"/>
    <w:rsid w:val="009530DB"/>
    <w:rsid w:val="00953676"/>
    <w:rsid w:val="00954B27"/>
    <w:rsid w:val="00955D29"/>
    <w:rsid w:val="00956B79"/>
    <w:rsid w:val="00957676"/>
    <w:rsid w:val="0095783A"/>
    <w:rsid w:val="00957F9D"/>
    <w:rsid w:val="00960CD8"/>
    <w:rsid w:val="00961F59"/>
    <w:rsid w:val="00962F81"/>
    <w:rsid w:val="00963117"/>
    <w:rsid w:val="00963B2F"/>
    <w:rsid w:val="00964741"/>
    <w:rsid w:val="00965571"/>
    <w:rsid w:val="009705EE"/>
    <w:rsid w:val="00971706"/>
    <w:rsid w:val="00971731"/>
    <w:rsid w:val="00972330"/>
    <w:rsid w:val="0097394C"/>
    <w:rsid w:val="00973C01"/>
    <w:rsid w:val="00974385"/>
    <w:rsid w:val="00974594"/>
    <w:rsid w:val="00974AA6"/>
    <w:rsid w:val="0097699E"/>
    <w:rsid w:val="00976BE8"/>
    <w:rsid w:val="00977219"/>
    <w:rsid w:val="00977927"/>
    <w:rsid w:val="009804A8"/>
    <w:rsid w:val="00980AA6"/>
    <w:rsid w:val="0098135C"/>
    <w:rsid w:val="0098156A"/>
    <w:rsid w:val="0098290C"/>
    <w:rsid w:val="009838FE"/>
    <w:rsid w:val="00984466"/>
    <w:rsid w:val="00985670"/>
    <w:rsid w:val="00991260"/>
    <w:rsid w:val="00991BAC"/>
    <w:rsid w:val="009978F7"/>
    <w:rsid w:val="009A02F6"/>
    <w:rsid w:val="009A0387"/>
    <w:rsid w:val="009A0BA1"/>
    <w:rsid w:val="009A235F"/>
    <w:rsid w:val="009A3549"/>
    <w:rsid w:val="009A3FCA"/>
    <w:rsid w:val="009A6187"/>
    <w:rsid w:val="009A64A7"/>
    <w:rsid w:val="009A6EA0"/>
    <w:rsid w:val="009A77B4"/>
    <w:rsid w:val="009B0038"/>
    <w:rsid w:val="009B0189"/>
    <w:rsid w:val="009B17BF"/>
    <w:rsid w:val="009B1F53"/>
    <w:rsid w:val="009B2FD4"/>
    <w:rsid w:val="009B34C9"/>
    <w:rsid w:val="009B3D2D"/>
    <w:rsid w:val="009B3FDD"/>
    <w:rsid w:val="009B5377"/>
    <w:rsid w:val="009B6E36"/>
    <w:rsid w:val="009B6F21"/>
    <w:rsid w:val="009C0323"/>
    <w:rsid w:val="009C087A"/>
    <w:rsid w:val="009C09C9"/>
    <w:rsid w:val="009C1164"/>
    <w:rsid w:val="009C1335"/>
    <w:rsid w:val="009C1564"/>
    <w:rsid w:val="009C1A80"/>
    <w:rsid w:val="009C1AB2"/>
    <w:rsid w:val="009C22E5"/>
    <w:rsid w:val="009C46C0"/>
    <w:rsid w:val="009C4C33"/>
    <w:rsid w:val="009C51C9"/>
    <w:rsid w:val="009C5ABA"/>
    <w:rsid w:val="009C6326"/>
    <w:rsid w:val="009C6E51"/>
    <w:rsid w:val="009C721A"/>
    <w:rsid w:val="009C7251"/>
    <w:rsid w:val="009D022C"/>
    <w:rsid w:val="009D064D"/>
    <w:rsid w:val="009D1B1C"/>
    <w:rsid w:val="009D1E1D"/>
    <w:rsid w:val="009D288E"/>
    <w:rsid w:val="009D29A8"/>
    <w:rsid w:val="009D4395"/>
    <w:rsid w:val="009D4BF7"/>
    <w:rsid w:val="009D504A"/>
    <w:rsid w:val="009D6A03"/>
    <w:rsid w:val="009D7071"/>
    <w:rsid w:val="009E08DF"/>
    <w:rsid w:val="009E2E91"/>
    <w:rsid w:val="009E33BA"/>
    <w:rsid w:val="009E34DB"/>
    <w:rsid w:val="009E6844"/>
    <w:rsid w:val="009F0544"/>
    <w:rsid w:val="009F0633"/>
    <w:rsid w:val="009F0BAB"/>
    <w:rsid w:val="009F5388"/>
    <w:rsid w:val="009F6AA2"/>
    <w:rsid w:val="00A012CB"/>
    <w:rsid w:val="00A02CE3"/>
    <w:rsid w:val="00A03FD9"/>
    <w:rsid w:val="00A05E8C"/>
    <w:rsid w:val="00A1024B"/>
    <w:rsid w:val="00A11B25"/>
    <w:rsid w:val="00A12677"/>
    <w:rsid w:val="00A139F5"/>
    <w:rsid w:val="00A13B58"/>
    <w:rsid w:val="00A16CDF"/>
    <w:rsid w:val="00A17319"/>
    <w:rsid w:val="00A17AA1"/>
    <w:rsid w:val="00A20E77"/>
    <w:rsid w:val="00A212B2"/>
    <w:rsid w:val="00A215C4"/>
    <w:rsid w:val="00A219FA"/>
    <w:rsid w:val="00A2518C"/>
    <w:rsid w:val="00A25898"/>
    <w:rsid w:val="00A258B3"/>
    <w:rsid w:val="00A25D35"/>
    <w:rsid w:val="00A26F2C"/>
    <w:rsid w:val="00A275BC"/>
    <w:rsid w:val="00A27749"/>
    <w:rsid w:val="00A301BE"/>
    <w:rsid w:val="00A301D8"/>
    <w:rsid w:val="00A305D4"/>
    <w:rsid w:val="00A313FF"/>
    <w:rsid w:val="00A325CB"/>
    <w:rsid w:val="00A34416"/>
    <w:rsid w:val="00A365F4"/>
    <w:rsid w:val="00A36CBA"/>
    <w:rsid w:val="00A37950"/>
    <w:rsid w:val="00A401E4"/>
    <w:rsid w:val="00A40C0F"/>
    <w:rsid w:val="00A40D40"/>
    <w:rsid w:val="00A40F01"/>
    <w:rsid w:val="00A4107E"/>
    <w:rsid w:val="00A411EE"/>
    <w:rsid w:val="00A4600B"/>
    <w:rsid w:val="00A46406"/>
    <w:rsid w:val="00A47D80"/>
    <w:rsid w:val="00A5010A"/>
    <w:rsid w:val="00A50C9D"/>
    <w:rsid w:val="00A517AB"/>
    <w:rsid w:val="00A51E94"/>
    <w:rsid w:val="00A529D6"/>
    <w:rsid w:val="00A53132"/>
    <w:rsid w:val="00A54137"/>
    <w:rsid w:val="00A55889"/>
    <w:rsid w:val="00A55A05"/>
    <w:rsid w:val="00A55CA7"/>
    <w:rsid w:val="00A563F2"/>
    <w:rsid w:val="00A564BA"/>
    <w:rsid w:val="00A566E8"/>
    <w:rsid w:val="00A56EB5"/>
    <w:rsid w:val="00A60645"/>
    <w:rsid w:val="00A61095"/>
    <w:rsid w:val="00A62492"/>
    <w:rsid w:val="00A62A87"/>
    <w:rsid w:val="00A6314A"/>
    <w:rsid w:val="00A63893"/>
    <w:rsid w:val="00A656F8"/>
    <w:rsid w:val="00A65B90"/>
    <w:rsid w:val="00A65F18"/>
    <w:rsid w:val="00A66E8F"/>
    <w:rsid w:val="00A6711F"/>
    <w:rsid w:val="00A672EA"/>
    <w:rsid w:val="00A67471"/>
    <w:rsid w:val="00A72341"/>
    <w:rsid w:val="00A72BCA"/>
    <w:rsid w:val="00A731F9"/>
    <w:rsid w:val="00A73A97"/>
    <w:rsid w:val="00A74163"/>
    <w:rsid w:val="00A752B2"/>
    <w:rsid w:val="00A77A42"/>
    <w:rsid w:val="00A80E5C"/>
    <w:rsid w:val="00A810F9"/>
    <w:rsid w:val="00A84095"/>
    <w:rsid w:val="00A844AB"/>
    <w:rsid w:val="00A8595F"/>
    <w:rsid w:val="00A8690B"/>
    <w:rsid w:val="00A86AF8"/>
    <w:rsid w:val="00A86DDA"/>
    <w:rsid w:val="00A86EAA"/>
    <w:rsid w:val="00A86ECC"/>
    <w:rsid w:val="00A86FCC"/>
    <w:rsid w:val="00A9012A"/>
    <w:rsid w:val="00A91B28"/>
    <w:rsid w:val="00A942A6"/>
    <w:rsid w:val="00A97E1E"/>
    <w:rsid w:val="00AA0161"/>
    <w:rsid w:val="00AA1035"/>
    <w:rsid w:val="00AA20C0"/>
    <w:rsid w:val="00AA2E9B"/>
    <w:rsid w:val="00AA710D"/>
    <w:rsid w:val="00AB1674"/>
    <w:rsid w:val="00AB2F6D"/>
    <w:rsid w:val="00AB3E7F"/>
    <w:rsid w:val="00AB436F"/>
    <w:rsid w:val="00AB5D35"/>
    <w:rsid w:val="00AB6184"/>
    <w:rsid w:val="00AB678D"/>
    <w:rsid w:val="00AB6D25"/>
    <w:rsid w:val="00AB6FFC"/>
    <w:rsid w:val="00AB7D66"/>
    <w:rsid w:val="00AC1180"/>
    <w:rsid w:val="00AC213B"/>
    <w:rsid w:val="00AC2753"/>
    <w:rsid w:val="00AC2BAA"/>
    <w:rsid w:val="00AC5B86"/>
    <w:rsid w:val="00AC637A"/>
    <w:rsid w:val="00AC69B9"/>
    <w:rsid w:val="00AC6E12"/>
    <w:rsid w:val="00AD0033"/>
    <w:rsid w:val="00AD49E7"/>
    <w:rsid w:val="00AD60A7"/>
    <w:rsid w:val="00AD66DA"/>
    <w:rsid w:val="00AE1FD1"/>
    <w:rsid w:val="00AE2D4B"/>
    <w:rsid w:val="00AE2F21"/>
    <w:rsid w:val="00AE3139"/>
    <w:rsid w:val="00AE4ABC"/>
    <w:rsid w:val="00AE4C2E"/>
    <w:rsid w:val="00AE4F99"/>
    <w:rsid w:val="00AE4FB0"/>
    <w:rsid w:val="00AE5B87"/>
    <w:rsid w:val="00AF0D2A"/>
    <w:rsid w:val="00AF0F9C"/>
    <w:rsid w:val="00AF1539"/>
    <w:rsid w:val="00AF3F7E"/>
    <w:rsid w:val="00AF56E8"/>
    <w:rsid w:val="00AF77A4"/>
    <w:rsid w:val="00B00099"/>
    <w:rsid w:val="00B00D02"/>
    <w:rsid w:val="00B01B2A"/>
    <w:rsid w:val="00B0297A"/>
    <w:rsid w:val="00B034B0"/>
    <w:rsid w:val="00B038E8"/>
    <w:rsid w:val="00B04660"/>
    <w:rsid w:val="00B04E85"/>
    <w:rsid w:val="00B0586D"/>
    <w:rsid w:val="00B060EF"/>
    <w:rsid w:val="00B071EF"/>
    <w:rsid w:val="00B10DE1"/>
    <w:rsid w:val="00B118D1"/>
    <w:rsid w:val="00B11B69"/>
    <w:rsid w:val="00B12CF3"/>
    <w:rsid w:val="00B13879"/>
    <w:rsid w:val="00B1437C"/>
    <w:rsid w:val="00B14952"/>
    <w:rsid w:val="00B14A84"/>
    <w:rsid w:val="00B174C8"/>
    <w:rsid w:val="00B17824"/>
    <w:rsid w:val="00B20166"/>
    <w:rsid w:val="00B21244"/>
    <w:rsid w:val="00B21D78"/>
    <w:rsid w:val="00B22FD9"/>
    <w:rsid w:val="00B246C8"/>
    <w:rsid w:val="00B2483D"/>
    <w:rsid w:val="00B26284"/>
    <w:rsid w:val="00B26CBA"/>
    <w:rsid w:val="00B30012"/>
    <w:rsid w:val="00B30DB9"/>
    <w:rsid w:val="00B31E54"/>
    <w:rsid w:val="00B31E5A"/>
    <w:rsid w:val="00B33ED6"/>
    <w:rsid w:val="00B3634E"/>
    <w:rsid w:val="00B37F13"/>
    <w:rsid w:val="00B40B6A"/>
    <w:rsid w:val="00B41FE2"/>
    <w:rsid w:val="00B42323"/>
    <w:rsid w:val="00B42CC6"/>
    <w:rsid w:val="00B4519C"/>
    <w:rsid w:val="00B4735A"/>
    <w:rsid w:val="00B4789E"/>
    <w:rsid w:val="00B50B0D"/>
    <w:rsid w:val="00B525F3"/>
    <w:rsid w:val="00B5372D"/>
    <w:rsid w:val="00B541D2"/>
    <w:rsid w:val="00B55329"/>
    <w:rsid w:val="00B55639"/>
    <w:rsid w:val="00B5591A"/>
    <w:rsid w:val="00B56291"/>
    <w:rsid w:val="00B5772B"/>
    <w:rsid w:val="00B61381"/>
    <w:rsid w:val="00B6377A"/>
    <w:rsid w:val="00B63EFD"/>
    <w:rsid w:val="00B646AB"/>
    <w:rsid w:val="00B648F5"/>
    <w:rsid w:val="00B653AB"/>
    <w:rsid w:val="00B65F9E"/>
    <w:rsid w:val="00B66B19"/>
    <w:rsid w:val="00B7097E"/>
    <w:rsid w:val="00B70C76"/>
    <w:rsid w:val="00B71955"/>
    <w:rsid w:val="00B74EC0"/>
    <w:rsid w:val="00B762AE"/>
    <w:rsid w:val="00B76AB2"/>
    <w:rsid w:val="00B800D0"/>
    <w:rsid w:val="00B82E07"/>
    <w:rsid w:val="00B849B0"/>
    <w:rsid w:val="00B8591B"/>
    <w:rsid w:val="00B86250"/>
    <w:rsid w:val="00B914E9"/>
    <w:rsid w:val="00B924B1"/>
    <w:rsid w:val="00B929EA"/>
    <w:rsid w:val="00B92D7C"/>
    <w:rsid w:val="00B9348E"/>
    <w:rsid w:val="00B956EE"/>
    <w:rsid w:val="00B96807"/>
    <w:rsid w:val="00B9714F"/>
    <w:rsid w:val="00B97537"/>
    <w:rsid w:val="00BA0380"/>
    <w:rsid w:val="00BA2879"/>
    <w:rsid w:val="00BA2BA1"/>
    <w:rsid w:val="00BA3562"/>
    <w:rsid w:val="00BA56A1"/>
    <w:rsid w:val="00BA65CA"/>
    <w:rsid w:val="00BA6CA9"/>
    <w:rsid w:val="00BA6DD5"/>
    <w:rsid w:val="00BA6E7A"/>
    <w:rsid w:val="00BA7DD0"/>
    <w:rsid w:val="00BB17FA"/>
    <w:rsid w:val="00BB1970"/>
    <w:rsid w:val="00BB22F2"/>
    <w:rsid w:val="00BB2737"/>
    <w:rsid w:val="00BB3756"/>
    <w:rsid w:val="00BB4F09"/>
    <w:rsid w:val="00BB61D1"/>
    <w:rsid w:val="00BB78DB"/>
    <w:rsid w:val="00BC10EE"/>
    <w:rsid w:val="00BC1F96"/>
    <w:rsid w:val="00BC2008"/>
    <w:rsid w:val="00BC312C"/>
    <w:rsid w:val="00BC3AB4"/>
    <w:rsid w:val="00BC5C72"/>
    <w:rsid w:val="00BC616E"/>
    <w:rsid w:val="00BD029E"/>
    <w:rsid w:val="00BD0BE3"/>
    <w:rsid w:val="00BD2000"/>
    <w:rsid w:val="00BD33F9"/>
    <w:rsid w:val="00BD3FA5"/>
    <w:rsid w:val="00BD4E33"/>
    <w:rsid w:val="00BD54FB"/>
    <w:rsid w:val="00BD5544"/>
    <w:rsid w:val="00BD5800"/>
    <w:rsid w:val="00BD77C8"/>
    <w:rsid w:val="00BE1396"/>
    <w:rsid w:val="00BE18F4"/>
    <w:rsid w:val="00BE368B"/>
    <w:rsid w:val="00BE69A1"/>
    <w:rsid w:val="00BE6B43"/>
    <w:rsid w:val="00BF0788"/>
    <w:rsid w:val="00BF0A8B"/>
    <w:rsid w:val="00BF2D56"/>
    <w:rsid w:val="00BF2DBA"/>
    <w:rsid w:val="00BF2F0A"/>
    <w:rsid w:val="00BF3D54"/>
    <w:rsid w:val="00BF5D23"/>
    <w:rsid w:val="00BF6E08"/>
    <w:rsid w:val="00C00E33"/>
    <w:rsid w:val="00C010C7"/>
    <w:rsid w:val="00C0130C"/>
    <w:rsid w:val="00C01B88"/>
    <w:rsid w:val="00C030DE"/>
    <w:rsid w:val="00C03634"/>
    <w:rsid w:val="00C05FAE"/>
    <w:rsid w:val="00C062FF"/>
    <w:rsid w:val="00C068AD"/>
    <w:rsid w:val="00C068FD"/>
    <w:rsid w:val="00C070F9"/>
    <w:rsid w:val="00C1042C"/>
    <w:rsid w:val="00C10821"/>
    <w:rsid w:val="00C1268F"/>
    <w:rsid w:val="00C13E53"/>
    <w:rsid w:val="00C15724"/>
    <w:rsid w:val="00C166F5"/>
    <w:rsid w:val="00C16714"/>
    <w:rsid w:val="00C16B49"/>
    <w:rsid w:val="00C16E19"/>
    <w:rsid w:val="00C17751"/>
    <w:rsid w:val="00C17D01"/>
    <w:rsid w:val="00C201DA"/>
    <w:rsid w:val="00C212CA"/>
    <w:rsid w:val="00C214B7"/>
    <w:rsid w:val="00C21932"/>
    <w:rsid w:val="00C22105"/>
    <w:rsid w:val="00C2292C"/>
    <w:rsid w:val="00C244B6"/>
    <w:rsid w:val="00C25C16"/>
    <w:rsid w:val="00C26D31"/>
    <w:rsid w:val="00C30C14"/>
    <w:rsid w:val="00C32F5B"/>
    <w:rsid w:val="00C338D8"/>
    <w:rsid w:val="00C33A8D"/>
    <w:rsid w:val="00C3702F"/>
    <w:rsid w:val="00C400F3"/>
    <w:rsid w:val="00C41804"/>
    <w:rsid w:val="00C424DA"/>
    <w:rsid w:val="00C4254F"/>
    <w:rsid w:val="00C43298"/>
    <w:rsid w:val="00C43B66"/>
    <w:rsid w:val="00C44200"/>
    <w:rsid w:val="00C4500A"/>
    <w:rsid w:val="00C45227"/>
    <w:rsid w:val="00C471BB"/>
    <w:rsid w:val="00C50705"/>
    <w:rsid w:val="00C510F5"/>
    <w:rsid w:val="00C5176F"/>
    <w:rsid w:val="00C51790"/>
    <w:rsid w:val="00C519F3"/>
    <w:rsid w:val="00C52028"/>
    <w:rsid w:val="00C52C5C"/>
    <w:rsid w:val="00C52D1F"/>
    <w:rsid w:val="00C52D7B"/>
    <w:rsid w:val="00C52EFA"/>
    <w:rsid w:val="00C534A1"/>
    <w:rsid w:val="00C53EBB"/>
    <w:rsid w:val="00C54A56"/>
    <w:rsid w:val="00C561C4"/>
    <w:rsid w:val="00C562F3"/>
    <w:rsid w:val="00C6033B"/>
    <w:rsid w:val="00C61E79"/>
    <w:rsid w:val="00C62B85"/>
    <w:rsid w:val="00C64A37"/>
    <w:rsid w:val="00C64B5E"/>
    <w:rsid w:val="00C65B7D"/>
    <w:rsid w:val="00C67546"/>
    <w:rsid w:val="00C6759F"/>
    <w:rsid w:val="00C7158E"/>
    <w:rsid w:val="00C7250B"/>
    <w:rsid w:val="00C7267A"/>
    <w:rsid w:val="00C730E2"/>
    <w:rsid w:val="00C7346B"/>
    <w:rsid w:val="00C73A6C"/>
    <w:rsid w:val="00C752A3"/>
    <w:rsid w:val="00C75340"/>
    <w:rsid w:val="00C76AC8"/>
    <w:rsid w:val="00C7771A"/>
    <w:rsid w:val="00C77C0E"/>
    <w:rsid w:val="00C821D3"/>
    <w:rsid w:val="00C844C7"/>
    <w:rsid w:val="00C87B5B"/>
    <w:rsid w:val="00C90F6D"/>
    <w:rsid w:val="00C91687"/>
    <w:rsid w:val="00C924A8"/>
    <w:rsid w:val="00C94162"/>
    <w:rsid w:val="00C945FE"/>
    <w:rsid w:val="00C9529D"/>
    <w:rsid w:val="00C95539"/>
    <w:rsid w:val="00C95BB6"/>
    <w:rsid w:val="00C96FAA"/>
    <w:rsid w:val="00C978E4"/>
    <w:rsid w:val="00C97A04"/>
    <w:rsid w:val="00C97EC9"/>
    <w:rsid w:val="00CA107B"/>
    <w:rsid w:val="00CA331F"/>
    <w:rsid w:val="00CA35A0"/>
    <w:rsid w:val="00CA484D"/>
    <w:rsid w:val="00CA4FB6"/>
    <w:rsid w:val="00CA65A7"/>
    <w:rsid w:val="00CA67DB"/>
    <w:rsid w:val="00CA7650"/>
    <w:rsid w:val="00CA7722"/>
    <w:rsid w:val="00CA7CCF"/>
    <w:rsid w:val="00CB209B"/>
    <w:rsid w:val="00CB2843"/>
    <w:rsid w:val="00CB3F07"/>
    <w:rsid w:val="00CB55C2"/>
    <w:rsid w:val="00CB577F"/>
    <w:rsid w:val="00CB5E24"/>
    <w:rsid w:val="00CB6B70"/>
    <w:rsid w:val="00CB7248"/>
    <w:rsid w:val="00CB7485"/>
    <w:rsid w:val="00CC11A3"/>
    <w:rsid w:val="00CC2A7A"/>
    <w:rsid w:val="00CC3509"/>
    <w:rsid w:val="00CC4178"/>
    <w:rsid w:val="00CC4217"/>
    <w:rsid w:val="00CC69AE"/>
    <w:rsid w:val="00CC739E"/>
    <w:rsid w:val="00CD19F7"/>
    <w:rsid w:val="00CD2A8E"/>
    <w:rsid w:val="00CD394F"/>
    <w:rsid w:val="00CD41F1"/>
    <w:rsid w:val="00CD4A0A"/>
    <w:rsid w:val="00CD5555"/>
    <w:rsid w:val="00CD556F"/>
    <w:rsid w:val="00CD58B7"/>
    <w:rsid w:val="00CD722E"/>
    <w:rsid w:val="00CD76EE"/>
    <w:rsid w:val="00CE1326"/>
    <w:rsid w:val="00CE3297"/>
    <w:rsid w:val="00CE3326"/>
    <w:rsid w:val="00CE3D8D"/>
    <w:rsid w:val="00CE6A9C"/>
    <w:rsid w:val="00CE70B9"/>
    <w:rsid w:val="00CE755A"/>
    <w:rsid w:val="00CE7934"/>
    <w:rsid w:val="00CF1B8A"/>
    <w:rsid w:val="00CF1BC8"/>
    <w:rsid w:val="00CF3141"/>
    <w:rsid w:val="00CF34B7"/>
    <w:rsid w:val="00CF4099"/>
    <w:rsid w:val="00CF49D0"/>
    <w:rsid w:val="00CF6F1A"/>
    <w:rsid w:val="00CF7C9E"/>
    <w:rsid w:val="00CF7F84"/>
    <w:rsid w:val="00D00796"/>
    <w:rsid w:val="00D010B3"/>
    <w:rsid w:val="00D011D1"/>
    <w:rsid w:val="00D02248"/>
    <w:rsid w:val="00D02826"/>
    <w:rsid w:val="00D03AE3"/>
    <w:rsid w:val="00D04BE9"/>
    <w:rsid w:val="00D04F5A"/>
    <w:rsid w:val="00D06BA6"/>
    <w:rsid w:val="00D06E6A"/>
    <w:rsid w:val="00D10D36"/>
    <w:rsid w:val="00D11309"/>
    <w:rsid w:val="00D119F1"/>
    <w:rsid w:val="00D13CC2"/>
    <w:rsid w:val="00D217A4"/>
    <w:rsid w:val="00D244D7"/>
    <w:rsid w:val="00D24F57"/>
    <w:rsid w:val="00D25EA0"/>
    <w:rsid w:val="00D26146"/>
    <w:rsid w:val="00D261A2"/>
    <w:rsid w:val="00D27A55"/>
    <w:rsid w:val="00D30959"/>
    <w:rsid w:val="00D3099D"/>
    <w:rsid w:val="00D30F4A"/>
    <w:rsid w:val="00D33C61"/>
    <w:rsid w:val="00D340D2"/>
    <w:rsid w:val="00D349B5"/>
    <w:rsid w:val="00D353A5"/>
    <w:rsid w:val="00D36A4B"/>
    <w:rsid w:val="00D410F9"/>
    <w:rsid w:val="00D41B07"/>
    <w:rsid w:val="00D43609"/>
    <w:rsid w:val="00D44FF9"/>
    <w:rsid w:val="00D467D5"/>
    <w:rsid w:val="00D46F4B"/>
    <w:rsid w:val="00D505E6"/>
    <w:rsid w:val="00D51E5E"/>
    <w:rsid w:val="00D5213F"/>
    <w:rsid w:val="00D5343E"/>
    <w:rsid w:val="00D53B7B"/>
    <w:rsid w:val="00D5687B"/>
    <w:rsid w:val="00D609A6"/>
    <w:rsid w:val="00D616D2"/>
    <w:rsid w:val="00D622A2"/>
    <w:rsid w:val="00D63247"/>
    <w:rsid w:val="00D63B5F"/>
    <w:rsid w:val="00D64DFD"/>
    <w:rsid w:val="00D65059"/>
    <w:rsid w:val="00D65651"/>
    <w:rsid w:val="00D65C9B"/>
    <w:rsid w:val="00D67AB6"/>
    <w:rsid w:val="00D67E76"/>
    <w:rsid w:val="00D70EF7"/>
    <w:rsid w:val="00D71339"/>
    <w:rsid w:val="00D71E97"/>
    <w:rsid w:val="00D72798"/>
    <w:rsid w:val="00D73824"/>
    <w:rsid w:val="00D75766"/>
    <w:rsid w:val="00D75AB4"/>
    <w:rsid w:val="00D75C9E"/>
    <w:rsid w:val="00D763AB"/>
    <w:rsid w:val="00D81499"/>
    <w:rsid w:val="00D815CD"/>
    <w:rsid w:val="00D8397C"/>
    <w:rsid w:val="00D84642"/>
    <w:rsid w:val="00D901C1"/>
    <w:rsid w:val="00D9328D"/>
    <w:rsid w:val="00D93998"/>
    <w:rsid w:val="00D94EED"/>
    <w:rsid w:val="00D951E1"/>
    <w:rsid w:val="00D96026"/>
    <w:rsid w:val="00D97805"/>
    <w:rsid w:val="00DA1A33"/>
    <w:rsid w:val="00DA1ADF"/>
    <w:rsid w:val="00DA210F"/>
    <w:rsid w:val="00DA2233"/>
    <w:rsid w:val="00DA2277"/>
    <w:rsid w:val="00DA29D8"/>
    <w:rsid w:val="00DA44D1"/>
    <w:rsid w:val="00DA7178"/>
    <w:rsid w:val="00DA7C1C"/>
    <w:rsid w:val="00DB01CF"/>
    <w:rsid w:val="00DB071F"/>
    <w:rsid w:val="00DB147A"/>
    <w:rsid w:val="00DB1B7A"/>
    <w:rsid w:val="00DB1D8F"/>
    <w:rsid w:val="00DB3316"/>
    <w:rsid w:val="00DB37FB"/>
    <w:rsid w:val="00DB4202"/>
    <w:rsid w:val="00DB4FE3"/>
    <w:rsid w:val="00DB5878"/>
    <w:rsid w:val="00DB65FE"/>
    <w:rsid w:val="00DB78BB"/>
    <w:rsid w:val="00DC0849"/>
    <w:rsid w:val="00DC1AC0"/>
    <w:rsid w:val="00DC2C5D"/>
    <w:rsid w:val="00DC2F55"/>
    <w:rsid w:val="00DC3B7B"/>
    <w:rsid w:val="00DC5D12"/>
    <w:rsid w:val="00DC6708"/>
    <w:rsid w:val="00DC7F8C"/>
    <w:rsid w:val="00DD32AB"/>
    <w:rsid w:val="00DD43AB"/>
    <w:rsid w:val="00DD75CE"/>
    <w:rsid w:val="00DD7B3E"/>
    <w:rsid w:val="00DE392E"/>
    <w:rsid w:val="00DE6AAB"/>
    <w:rsid w:val="00DF20E4"/>
    <w:rsid w:val="00DF2ED5"/>
    <w:rsid w:val="00DF50E2"/>
    <w:rsid w:val="00DF68D3"/>
    <w:rsid w:val="00DF7F9A"/>
    <w:rsid w:val="00E0029A"/>
    <w:rsid w:val="00E01436"/>
    <w:rsid w:val="00E0272F"/>
    <w:rsid w:val="00E02D1F"/>
    <w:rsid w:val="00E044A1"/>
    <w:rsid w:val="00E045BD"/>
    <w:rsid w:val="00E04C9B"/>
    <w:rsid w:val="00E05430"/>
    <w:rsid w:val="00E05CAE"/>
    <w:rsid w:val="00E0657E"/>
    <w:rsid w:val="00E108A8"/>
    <w:rsid w:val="00E11688"/>
    <w:rsid w:val="00E13E32"/>
    <w:rsid w:val="00E16090"/>
    <w:rsid w:val="00E16FA5"/>
    <w:rsid w:val="00E17B77"/>
    <w:rsid w:val="00E20190"/>
    <w:rsid w:val="00E23337"/>
    <w:rsid w:val="00E240FE"/>
    <w:rsid w:val="00E2506B"/>
    <w:rsid w:val="00E259EA"/>
    <w:rsid w:val="00E30306"/>
    <w:rsid w:val="00E32061"/>
    <w:rsid w:val="00E32350"/>
    <w:rsid w:val="00E33AFA"/>
    <w:rsid w:val="00E33F53"/>
    <w:rsid w:val="00E34426"/>
    <w:rsid w:val="00E35795"/>
    <w:rsid w:val="00E36370"/>
    <w:rsid w:val="00E36A24"/>
    <w:rsid w:val="00E41430"/>
    <w:rsid w:val="00E4241C"/>
    <w:rsid w:val="00E42FF9"/>
    <w:rsid w:val="00E4627B"/>
    <w:rsid w:val="00E46AA5"/>
    <w:rsid w:val="00E4714C"/>
    <w:rsid w:val="00E475BA"/>
    <w:rsid w:val="00E5006E"/>
    <w:rsid w:val="00E500F5"/>
    <w:rsid w:val="00E51AEB"/>
    <w:rsid w:val="00E522A7"/>
    <w:rsid w:val="00E52E6F"/>
    <w:rsid w:val="00E53FB8"/>
    <w:rsid w:val="00E54452"/>
    <w:rsid w:val="00E55AFD"/>
    <w:rsid w:val="00E5650A"/>
    <w:rsid w:val="00E61D2C"/>
    <w:rsid w:val="00E62583"/>
    <w:rsid w:val="00E62745"/>
    <w:rsid w:val="00E62D8A"/>
    <w:rsid w:val="00E63765"/>
    <w:rsid w:val="00E65ED8"/>
    <w:rsid w:val="00E65F46"/>
    <w:rsid w:val="00E664C5"/>
    <w:rsid w:val="00E671A2"/>
    <w:rsid w:val="00E71E3B"/>
    <w:rsid w:val="00E7297F"/>
    <w:rsid w:val="00E74146"/>
    <w:rsid w:val="00E76D26"/>
    <w:rsid w:val="00E7798C"/>
    <w:rsid w:val="00E81BB3"/>
    <w:rsid w:val="00E8363B"/>
    <w:rsid w:val="00E84EE4"/>
    <w:rsid w:val="00E8513B"/>
    <w:rsid w:val="00E852B8"/>
    <w:rsid w:val="00E85DBC"/>
    <w:rsid w:val="00E8667C"/>
    <w:rsid w:val="00E86B59"/>
    <w:rsid w:val="00E8747B"/>
    <w:rsid w:val="00E913EA"/>
    <w:rsid w:val="00E93D2F"/>
    <w:rsid w:val="00E95110"/>
    <w:rsid w:val="00E95607"/>
    <w:rsid w:val="00EA0A80"/>
    <w:rsid w:val="00EA2819"/>
    <w:rsid w:val="00EA3A97"/>
    <w:rsid w:val="00EA5BDF"/>
    <w:rsid w:val="00EA74B1"/>
    <w:rsid w:val="00EA75E7"/>
    <w:rsid w:val="00EA7C01"/>
    <w:rsid w:val="00EB11CD"/>
    <w:rsid w:val="00EB1390"/>
    <w:rsid w:val="00EB139C"/>
    <w:rsid w:val="00EB2A4D"/>
    <w:rsid w:val="00EB2C71"/>
    <w:rsid w:val="00EB4340"/>
    <w:rsid w:val="00EB556D"/>
    <w:rsid w:val="00EB5A7D"/>
    <w:rsid w:val="00EB6145"/>
    <w:rsid w:val="00EB6B30"/>
    <w:rsid w:val="00EB7901"/>
    <w:rsid w:val="00EC001A"/>
    <w:rsid w:val="00EC0AF6"/>
    <w:rsid w:val="00EC0F11"/>
    <w:rsid w:val="00EC1171"/>
    <w:rsid w:val="00EC2033"/>
    <w:rsid w:val="00EC32BB"/>
    <w:rsid w:val="00ED0AB4"/>
    <w:rsid w:val="00ED0E89"/>
    <w:rsid w:val="00ED48F8"/>
    <w:rsid w:val="00ED55C0"/>
    <w:rsid w:val="00ED682B"/>
    <w:rsid w:val="00EE3087"/>
    <w:rsid w:val="00EE347A"/>
    <w:rsid w:val="00EE41D5"/>
    <w:rsid w:val="00EE5AAC"/>
    <w:rsid w:val="00EE63BD"/>
    <w:rsid w:val="00EE70D6"/>
    <w:rsid w:val="00EE739F"/>
    <w:rsid w:val="00EF1839"/>
    <w:rsid w:val="00EF28CA"/>
    <w:rsid w:val="00EF3520"/>
    <w:rsid w:val="00EF3714"/>
    <w:rsid w:val="00EF3840"/>
    <w:rsid w:val="00EF4008"/>
    <w:rsid w:val="00EF42ED"/>
    <w:rsid w:val="00EF46A1"/>
    <w:rsid w:val="00EF496C"/>
    <w:rsid w:val="00EF5E11"/>
    <w:rsid w:val="00EF704F"/>
    <w:rsid w:val="00EF72B5"/>
    <w:rsid w:val="00F0064F"/>
    <w:rsid w:val="00F01CED"/>
    <w:rsid w:val="00F01D0F"/>
    <w:rsid w:val="00F037A4"/>
    <w:rsid w:val="00F045BB"/>
    <w:rsid w:val="00F05C7A"/>
    <w:rsid w:val="00F10B18"/>
    <w:rsid w:val="00F11D84"/>
    <w:rsid w:val="00F120A6"/>
    <w:rsid w:val="00F120F5"/>
    <w:rsid w:val="00F13611"/>
    <w:rsid w:val="00F13855"/>
    <w:rsid w:val="00F14660"/>
    <w:rsid w:val="00F14E66"/>
    <w:rsid w:val="00F15FFD"/>
    <w:rsid w:val="00F20F4D"/>
    <w:rsid w:val="00F22792"/>
    <w:rsid w:val="00F23108"/>
    <w:rsid w:val="00F236CD"/>
    <w:rsid w:val="00F23B27"/>
    <w:rsid w:val="00F26FCB"/>
    <w:rsid w:val="00F274AF"/>
    <w:rsid w:val="00F27C8F"/>
    <w:rsid w:val="00F27CAF"/>
    <w:rsid w:val="00F30925"/>
    <w:rsid w:val="00F31B7A"/>
    <w:rsid w:val="00F31B85"/>
    <w:rsid w:val="00F3200D"/>
    <w:rsid w:val="00F3249F"/>
    <w:rsid w:val="00F32749"/>
    <w:rsid w:val="00F32C55"/>
    <w:rsid w:val="00F354AD"/>
    <w:rsid w:val="00F355CD"/>
    <w:rsid w:val="00F35E1A"/>
    <w:rsid w:val="00F363EC"/>
    <w:rsid w:val="00F367EB"/>
    <w:rsid w:val="00F37172"/>
    <w:rsid w:val="00F413A0"/>
    <w:rsid w:val="00F42313"/>
    <w:rsid w:val="00F4477E"/>
    <w:rsid w:val="00F44903"/>
    <w:rsid w:val="00F461C5"/>
    <w:rsid w:val="00F465A6"/>
    <w:rsid w:val="00F46F5C"/>
    <w:rsid w:val="00F479CD"/>
    <w:rsid w:val="00F55B3A"/>
    <w:rsid w:val="00F6053D"/>
    <w:rsid w:val="00F606EF"/>
    <w:rsid w:val="00F6162B"/>
    <w:rsid w:val="00F61FA6"/>
    <w:rsid w:val="00F62F42"/>
    <w:rsid w:val="00F6328B"/>
    <w:rsid w:val="00F65E7B"/>
    <w:rsid w:val="00F67D8F"/>
    <w:rsid w:val="00F67ED7"/>
    <w:rsid w:val="00F70270"/>
    <w:rsid w:val="00F70787"/>
    <w:rsid w:val="00F70C29"/>
    <w:rsid w:val="00F72A70"/>
    <w:rsid w:val="00F73145"/>
    <w:rsid w:val="00F7354E"/>
    <w:rsid w:val="00F73A86"/>
    <w:rsid w:val="00F74BCF"/>
    <w:rsid w:val="00F75D7E"/>
    <w:rsid w:val="00F76E61"/>
    <w:rsid w:val="00F7759F"/>
    <w:rsid w:val="00F8009F"/>
    <w:rsid w:val="00F802BE"/>
    <w:rsid w:val="00F80BBF"/>
    <w:rsid w:val="00F80E93"/>
    <w:rsid w:val="00F8243D"/>
    <w:rsid w:val="00F86024"/>
    <w:rsid w:val="00F8611A"/>
    <w:rsid w:val="00F87B2C"/>
    <w:rsid w:val="00F909A5"/>
    <w:rsid w:val="00F91151"/>
    <w:rsid w:val="00F9411A"/>
    <w:rsid w:val="00F9538F"/>
    <w:rsid w:val="00F961BB"/>
    <w:rsid w:val="00FA025A"/>
    <w:rsid w:val="00FA1CA9"/>
    <w:rsid w:val="00FA31C7"/>
    <w:rsid w:val="00FA36EF"/>
    <w:rsid w:val="00FA5128"/>
    <w:rsid w:val="00FA7215"/>
    <w:rsid w:val="00FB067A"/>
    <w:rsid w:val="00FB0943"/>
    <w:rsid w:val="00FB1161"/>
    <w:rsid w:val="00FB1A84"/>
    <w:rsid w:val="00FB42D4"/>
    <w:rsid w:val="00FB526D"/>
    <w:rsid w:val="00FB5906"/>
    <w:rsid w:val="00FB59DE"/>
    <w:rsid w:val="00FB5B02"/>
    <w:rsid w:val="00FB6221"/>
    <w:rsid w:val="00FB701C"/>
    <w:rsid w:val="00FB762F"/>
    <w:rsid w:val="00FC1CC0"/>
    <w:rsid w:val="00FC2330"/>
    <w:rsid w:val="00FC2AED"/>
    <w:rsid w:val="00FC69C3"/>
    <w:rsid w:val="00FC6D97"/>
    <w:rsid w:val="00FC6E7E"/>
    <w:rsid w:val="00FD0499"/>
    <w:rsid w:val="00FD33FC"/>
    <w:rsid w:val="00FD376B"/>
    <w:rsid w:val="00FD3856"/>
    <w:rsid w:val="00FD4CA6"/>
    <w:rsid w:val="00FD5EA7"/>
    <w:rsid w:val="00FD79BD"/>
    <w:rsid w:val="00FE0E1C"/>
    <w:rsid w:val="00FE1D52"/>
    <w:rsid w:val="00FE1D70"/>
    <w:rsid w:val="00FE1E2D"/>
    <w:rsid w:val="00FE2BD4"/>
    <w:rsid w:val="00FE4659"/>
    <w:rsid w:val="00FE4F24"/>
    <w:rsid w:val="00FE5229"/>
    <w:rsid w:val="00FE5C39"/>
    <w:rsid w:val="00FF0615"/>
    <w:rsid w:val="00FF08C3"/>
    <w:rsid w:val="00FF11A5"/>
    <w:rsid w:val="00FF2706"/>
    <w:rsid w:val="00FF4509"/>
    <w:rsid w:val="00FF4F84"/>
    <w:rsid w:val="00FF5840"/>
    <w:rsid w:val="00FF66B2"/>
    <w:rsid w:val="00FF6B6E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83388"/>
  <w15:docId w15:val="{113D1279-C6B8-4E06-8464-B1436BC2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559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E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1559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559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001559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000E3B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0015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001559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6288FF" w:themeColor="accent1" w:themeTint="66"/>
        <w:left w:val="single" w:sz="4" w:space="0" w:color="6288FF" w:themeColor="accent1" w:themeTint="66"/>
        <w:bottom w:val="single" w:sz="4" w:space="0" w:color="6288FF" w:themeColor="accent1" w:themeTint="66"/>
        <w:right w:val="single" w:sz="4" w:space="0" w:color="6288FF" w:themeColor="accent1" w:themeTint="66"/>
        <w:insideH w:val="single" w:sz="4" w:space="0" w:color="6288FF" w:themeColor="accent1" w:themeTint="66"/>
        <w:insideV w:val="single" w:sz="4" w:space="0" w:color="628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44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44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A4C31"/>
    <w:rPr>
      <w:color w:val="605D5C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04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E8C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3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73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7343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7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7343"/>
    <w:rPr>
      <w:rFonts w:ascii="Fira Sans" w:hAnsi="Fira Sans"/>
      <w:b/>
      <w:bCs/>
      <w:sz w:val="20"/>
      <w:szCs w:val="20"/>
    </w:rPr>
  </w:style>
  <w:style w:type="table" w:customStyle="1" w:styleId="Siatkatabelijasna2">
    <w:name w:val="Siatka tabeli — jasna2"/>
    <w:basedOn w:val="Standardowy"/>
    <w:uiPriority w:val="40"/>
    <w:rsid w:val="00CD39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3469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5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4.xml"/><Relationship Id="rId21" Type="http://schemas.openxmlformats.org/officeDocument/2006/relationships/image" Target="media/image5.jpeg"/><Relationship Id="rId42" Type="http://schemas.openxmlformats.org/officeDocument/2006/relationships/hyperlink" Target="http://swaid.stat.gov.pl/WarunkiZyciaLudnosci_dashboards/Raporty_predefiniowane/RAP_DBD_WZL_3.aspx" TargetMode="External"/><Relationship Id="rId47" Type="http://schemas.openxmlformats.org/officeDocument/2006/relationships/hyperlink" Target="https://stat.gov.pl/metainformacje/slownik-pojec/pojecia-stosowane-w-statystyce-publicznej/2585,pojecie.html" TargetMode="External"/><Relationship Id="rId63" Type="http://schemas.openxmlformats.org/officeDocument/2006/relationships/hyperlink" Target="https://stat.gov.pl/metainformacje/slownik-pojec/pojecia-stosowane-w-statystyce-publicznej/62,pojecie.html" TargetMode="External"/><Relationship Id="rId68" Type="http://schemas.openxmlformats.org/officeDocument/2006/relationships/hyperlink" Target="https://stat.gov.pl/metainformacje/slownik-pojec/pojecia-stosowane-w-statystyce-publicznej/468,pojecie.html" TargetMode="External"/><Relationship Id="rId16" Type="http://schemas.openxmlformats.org/officeDocument/2006/relationships/chart" Target="charts/chart6.xml"/><Relationship Id="rId11" Type="http://schemas.openxmlformats.org/officeDocument/2006/relationships/chart" Target="charts/chart1.xml"/><Relationship Id="rId32" Type="http://schemas.openxmlformats.org/officeDocument/2006/relationships/header" Target="header1.xml"/><Relationship Id="rId37" Type="http://schemas.openxmlformats.org/officeDocument/2006/relationships/hyperlink" Target="https://stat.gov.pl/obszary-tematyczne/warunki-zycia/dochody-wydatki-i-warunki-zycia-ludnosci/sytuacja-gospodarstw-domowych-w-2019-r-w-swietle-badania-budzetow-gospodarstw-domowych,3,19.html" TargetMode="External"/><Relationship Id="rId53" Type="http://schemas.openxmlformats.org/officeDocument/2006/relationships/hyperlink" Target="https://stat.gov.pl/metainformacje/slownik-pojec/pojecia-stosowane-w-statystyce-publicznej/873,pojecie.html" TargetMode="External"/><Relationship Id="rId58" Type="http://schemas.openxmlformats.org/officeDocument/2006/relationships/hyperlink" Target="https://bdl.stat.gov.pl/BDL/metadane/podgrupy/10?back=True" TargetMode="External"/><Relationship Id="rId74" Type="http://schemas.openxmlformats.org/officeDocument/2006/relationships/hyperlink" Target="mailto:obslugaprasowa@stat.ob.pl" TargetMode="External"/><Relationship Id="rId79" Type="http://schemas.openxmlformats.org/officeDocument/2006/relationships/footer" Target="footer3.xml"/><Relationship Id="rId5" Type="http://schemas.openxmlformats.org/officeDocument/2006/relationships/styles" Target="styles.xml"/><Relationship Id="rId61" Type="http://schemas.openxmlformats.org/officeDocument/2006/relationships/hyperlink" Target="http://swaid.stat.gov.pl/WarunkiZyciaLudnosci_dashboards/Raporty_predefiniowane/RAP_DBD_WZL_3.aspx" TargetMode="External"/><Relationship Id="rId19" Type="http://schemas.openxmlformats.org/officeDocument/2006/relationships/chart" Target="charts/chart9.xml"/><Relationship Id="rId14" Type="http://schemas.openxmlformats.org/officeDocument/2006/relationships/chart" Target="charts/chart4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chart" Target="charts/chart18.xml"/><Relationship Id="rId35" Type="http://schemas.openxmlformats.org/officeDocument/2006/relationships/footer" Target="footer2.xml"/><Relationship Id="rId43" Type="http://schemas.openxmlformats.org/officeDocument/2006/relationships/hyperlink" Target="https://stat.gov.pl/metainformacje/slownik-pojec/pojecia-stosowane-w-statystyce-publicznej/28,pojecie.html" TargetMode="External"/><Relationship Id="rId48" Type="http://schemas.openxmlformats.org/officeDocument/2006/relationships/hyperlink" Target="https://stat.gov.pl/metainformacje/slownik-pojec/pojecia-stosowane-w-statystyce-publicznej/2858,pojecie.html" TargetMode="External"/><Relationship Id="rId56" Type="http://schemas.openxmlformats.org/officeDocument/2006/relationships/hyperlink" Target="https://stat.gov.pl/obszary-tematyczne/warunki-zycia/dochody-wydatki-i-warunki-zycia-ludnosci/sytuacja-gospodarstw-domowych-w-2019-r-w-swietle-badania-budzetow-gospodarstw-domowych,3,19.html" TargetMode="External"/><Relationship Id="rId64" Type="http://schemas.openxmlformats.org/officeDocument/2006/relationships/hyperlink" Target="https://stat.gov.pl/metainformacje/slownik-pojec/pojecia-stosowane-w-statystyce-publicznej/63,pojecie.html" TargetMode="External"/><Relationship Id="rId69" Type="http://schemas.openxmlformats.org/officeDocument/2006/relationships/hyperlink" Target="https://stat.gov.pl/metainformacje/slownik-pojec/pojecia-stosowane-w-statystyce-publicznej/3590,pojecie.html" TargetMode="External"/><Relationship Id="rId77" Type="http://schemas.openxmlformats.org/officeDocument/2006/relationships/image" Target="media/image9.png"/><Relationship Id="rId8" Type="http://schemas.openxmlformats.org/officeDocument/2006/relationships/footnotes" Target="footnotes.xml"/><Relationship Id="rId51" Type="http://schemas.openxmlformats.org/officeDocument/2006/relationships/hyperlink" Target="https://stat.gov.pl/metainformacje/slownik-pojec/pojecia-stosowane-w-statystyce-publicznej/3580,pojecie.html" TargetMode="External"/><Relationship Id="rId72" Type="http://schemas.openxmlformats.org/officeDocument/2006/relationships/hyperlink" Target="https://stat.gov.pl/metainformacje/slownik-pojec/pojecia-stosowane-w-statystyce-publicznej/873,pojecie.html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3.xml"/><Relationship Id="rId33" Type="http://schemas.openxmlformats.org/officeDocument/2006/relationships/footer" Target="footer1.xml"/><Relationship Id="rId38" Type="http://schemas.openxmlformats.org/officeDocument/2006/relationships/hyperlink" Target="http://stat.gov.pl/obszary-tematyczne/warunki-zycia/dochody-wydatki-i-warunki-zycia-ludnosci/sytuacja-spoleczno-ekonomiczna-gospodarstw-domowych-w-latach-2000-2015-zroznicowanie-miasto-wies,5,2.html" TargetMode="External"/><Relationship Id="rId46" Type="http://schemas.openxmlformats.org/officeDocument/2006/relationships/hyperlink" Target="https://stat.gov.pl/metainformacje/slownik-pojec/pojecia-stosowane-w-statystyce-publicznej/103,pojecie.html" TargetMode="External"/><Relationship Id="rId59" Type="http://schemas.openxmlformats.org/officeDocument/2006/relationships/hyperlink" Target="http://swaid.stat.gov.pl/WarunkiZyciaLudnosci_dashboards/Raporty_predefiniowane/RAP_DBD_WZL_1.aspx" TargetMode="External"/><Relationship Id="rId67" Type="http://schemas.openxmlformats.org/officeDocument/2006/relationships/hyperlink" Target="https://stat.gov.pl/metainformacje/slownik-pojec/pojecia-stosowane-w-statystyce-publicznej/2858,pojecie.html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://swaid.stat.gov.pl/WarunkiZyciaLudnosci_dashboards/Raporty_predefiniowane/RAP_DBD_WZL_2.aspx" TargetMode="External"/><Relationship Id="rId54" Type="http://schemas.openxmlformats.org/officeDocument/2006/relationships/hyperlink" Target="https://stat.gov.pl/metainformacje/slownik-pojec/pojecia-stosowane-w-statystyce-publicznej/3583,pojecie.html" TargetMode="External"/><Relationship Id="rId62" Type="http://schemas.openxmlformats.org/officeDocument/2006/relationships/hyperlink" Target="https://stat.gov.pl/metainformacje/slownik-pojec/pojecia-stosowane-w-statystyce-publicznej/28,pojecie.html" TargetMode="External"/><Relationship Id="rId70" Type="http://schemas.openxmlformats.org/officeDocument/2006/relationships/hyperlink" Target="https://stat.gov.pl/metainformacje/slownik-pojec/pojecia-stosowane-w-statystyce-publicznej/3580,pojecie.html" TargetMode="External"/><Relationship Id="rId75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36" Type="http://schemas.openxmlformats.org/officeDocument/2006/relationships/hyperlink" Target="https://stat.gov.pl/obszary-tematyczne/warunki-zycia/dochody-wydatki-i-warunki-zycia-ludnosci/budzety-gospodarstw-domowych-w-2019-roku,9,14.html" TargetMode="External"/><Relationship Id="rId49" Type="http://schemas.openxmlformats.org/officeDocument/2006/relationships/hyperlink" Target="https://stat.gov.pl/metainformacje/slownik-pojec/pojecia-stosowane-w-statystyce-publicznej/468,pojecie.html" TargetMode="External"/><Relationship Id="rId57" Type="http://schemas.openxmlformats.org/officeDocument/2006/relationships/hyperlink" Target="http://stat.gov.pl/obszary-tematyczne/warunki-zycia/dochody-wydatki-i-warunki-zycia-ludnosci/sytuacja-spoleczno-ekonomiczna-gospodarstw-domowych-w-latach-2000-2015-zroznicowanie-miasto-wies,5,2.html" TargetMode="External"/><Relationship Id="rId10" Type="http://schemas.openxmlformats.org/officeDocument/2006/relationships/image" Target="media/image3.emf"/><Relationship Id="rId31" Type="http://schemas.openxmlformats.org/officeDocument/2006/relationships/chart" Target="charts/chart19.xml"/><Relationship Id="rId44" Type="http://schemas.openxmlformats.org/officeDocument/2006/relationships/hyperlink" Target="https://stat.gov.pl/metainformacje/slownik-pojec/pojecia-stosowane-w-statystyce-publicznej/62,pojecie.html" TargetMode="External"/><Relationship Id="rId52" Type="http://schemas.openxmlformats.org/officeDocument/2006/relationships/hyperlink" Target="https://stat.gov.pl/metainformacje/slownik-pojec/pojecia-stosowane-w-statystyce-publicznej/601,pojecie.html" TargetMode="External"/><Relationship Id="rId60" Type="http://schemas.openxmlformats.org/officeDocument/2006/relationships/hyperlink" Target="http://swaid.stat.gov.pl/WarunkiZyciaLudnosci_dashboards/Raporty_predefiniowane/RAP_DBD_WZL_2.aspx" TargetMode="External"/><Relationship Id="rId65" Type="http://schemas.openxmlformats.org/officeDocument/2006/relationships/hyperlink" Target="https://stat.gov.pl/metainformacje/slownik-pojec/pojecia-stosowane-w-statystyce-publicznej/103,pojecie.html" TargetMode="External"/><Relationship Id="rId73" Type="http://schemas.openxmlformats.org/officeDocument/2006/relationships/hyperlink" Target="https://stat.gov.pl/metainformacje/slownik-pojec/pojecia-stosowane-w-statystyce-publicznej/3583,pojecie.html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9" Type="http://schemas.openxmlformats.org/officeDocument/2006/relationships/hyperlink" Target="https://bdl.stat.gov.pl/BDL/metadane/podgrupy/10?back=True" TargetMode="External"/><Relationship Id="rId34" Type="http://schemas.openxmlformats.org/officeDocument/2006/relationships/header" Target="header2.xml"/><Relationship Id="rId50" Type="http://schemas.openxmlformats.org/officeDocument/2006/relationships/hyperlink" Target="https://stat.gov.pl/metainformacje/slownik-pojec/pojecia-stosowane-w-statystyce-publicznej/3590,pojecie.html" TargetMode="External"/><Relationship Id="rId55" Type="http://schemas.openxmlformats.org/officeDocument/2006/relationships/hyperlink" Target="https://stat.gov.pl/obszary-tematyczne/warunki-zycia/dochody-wydatki-i-warunki-zycia-ludnosci/budzety-gospodarstw-domowych-w-2019-roku,9,14.html" TargetMode="External"/><Relationship Id="rId76" Type="http://schemas.openxmlformats.org/officeDocument/2006/relationships/image" Target="media/image8.png"/><Relationship Id="rId7" Type="http://schemas.openxmlformats.org/officeDocument/2006/relationships/webSettings" Target="webSettings.xml"/><Relationship Id="rId71" Type="http://schemas.openxmlformats.org/officeDocument/2006/relationships/hyperlink" Target="https://stat.gov.pl/metainformacje/slownik-pojec/pojecia-stosowane-w-statystyce-publicznej/601,pojecie.html" TargetMode="External"/><Relationship Id="rId2" Type="http://schemas.openxmlformats.org/officeDocument/2006/relationships/customXml" Target="../customXml/item2.xml"/><Relationship Id="rId29" Type="http://schemas.openxmlformats.org/officeDocument/2006/relationships/chart" Target="charts/chart17.xml"/><Relationship Id="rId24" Type="http://schemas.openxmlformats.org/officeDocument/2006/relationships/chart" Target="charts/chart12.xml"/><Relationship Id="rId40" Type="http://schemas.openxmlformats.org/officeDocument/2006/relationships/hyperlink" Target="http://swaid.stat.gov.pl/WarunkiZyciaLudnosci_dashboards/Raporty_predefiniowane/RAP_DBD_WZL_1.aspx" TargetMode="External"/><Relationship Id="rId45" Type="http://schemas.openxmlformats.org/officeDocument/2006/relationships/hyperlink" Target="https://stat.gov.pl/metainformacje/slownik-pojec/pojecia-stosowane-w-statystyce-publicznej/63,pojecie.html" TargetMode="External"/><Relationship Id="rId66" Type="http://schemas.openxmlformats.org/officeDocument/2006/relationships/hyperlink" Target="https://stat.gov.pl/metainformacje/slownik-pojec/pojecia-stosowane-w-statystyce-publicznej/258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\\cmfgus01a\D20b\BS06\P%20U%20B%20L%20I%20K%20A%20C%20J%20E\Notatka%20-%20Sytuacja%20gospodarstw%20domowych%20w%20&#347;wietle%20wynik&#243;w%20badania%20bud&#380;et&#243;w%20gospodarstw%20domowych\2020\pomoce\BGD%20Notatka_Publikacja%20za%202020%20wykresy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\\cmfgus01a\D20b\BS06\P%20U%20B%20L%20I%20K%20A%20C%20J%20E\Notatka%20-%20Sytuacja%20gospodarstw%20domowych%20w%20&#347;wietle%20wynik&#243;w%20badania%20bud&#380;et&#243;w%20gospodarstw%20domowych\2020\pomoce\BGD%20Notatka_Publikacja%20za%202020%20wykresy.xlsx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\\cmfgus01a\D20b\BS06\P%20U%20B%20L%20I%20K%20A%20C%20J%20E\Notatka%20-%20Sytuacja%20gospodarstw%20domowych%20w%20&#347;wietle%20wynik&#243;w%20badania%20bud&#380;et&#243;w%20gospodarstw%20domowych\2020\pomoce\BGD%20Notatka_Publikacja%20za%202020%20wykresy.xlsx" TargetMode="External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\\cmfgus01a\D20b\BS06\P%20U%20B%20L%20I%20K%20A%20C%20J%20E\Notatka%20-%20Sytuacja%20gospodarstw%20domowych%20w%20&#347;wietle%20wynik&#243;w%20badania%20bud&#380;et&#243;w%20gospodarstw%20domowych\2020\pomoce\BGD%20Notatka_Publikacja%20za%202020%20wykresy.xlsx" TargetMode="External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\\cmfgus01a\D20b\BS06\P%20U%20B%20L%20I%20K%20A%20C%20J%20E\Notatka%20-%20Sytuacja%20gospodarstw%20domowych%20w%20&#347;wietle%20wynik&#243;w%20badania%20bud&#380;et&#243;w%20gospodarstw%20domowych\2020\pomoce\BGD%20Notatka_Publikacja%20za%202020%20wykresy.xlsx" TargetMode="External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\\cmfgus01a\D20b\BS06\P%20U%20B%20L%20I%20K%20A%20C%20J%20E\Notatka%20-%20Sytuacja%20gospodarstw%20domowych%20w%20&#347;wietle%20wynik&#243;w%20badania%20bud&#380;et&#243;w%20gospodarstw%20domowych\2020\pomoce\BGD%20Notatka_Publikacja%20za%202020%20wykresy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C:\Users\kowalewiczm1\Desktop\BGD%20Notatka_Publikacja%20za%202020%20wykresy_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C:\Users\kowalewiczm1\Documents\Sytuacja%20gospodarstw%20domowych%20w%202019%20r\BGD%20Notatka_Publikacja%20za%202020%20wykresy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8914745031871025E-2"/>
          <c:y val="0.29940194467523717"/>
          <c:w val="0.9200892857142855"/>
          <c:h val="0.612434002882770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 dochody,wydatki lata'!$C$4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C9D-4C89-B6B2-053529C2BB25}"/>
              </c:ext>
            </c:extLst>
          </c:dPt>
          <c:dLbls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 dochody,wydatki lata'!$B$6:$B$22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'1 dochody,wydatki lata'!$C$6:$C$22</c:f>
              <c:numCache>
                <c:formatCode>General</c:formatCode>
                <c:ptCount val="17"/>
                <c:pt idx="0" formatCode="0.00">
                  <c:v>735.4</c:v>
                </c:pt>
                <c:pt idx="1">
                  <c:v>761.45999999999947</c:v>
                </c:pt>
                <c:pt idx="2">
                  <c:v>834.68000000000052</c:v>
                </c:pt>
                <c:pt idx="3">
                  <c:v>928.87</c:v>
                </c:pt>
                <c:pt idx="4">
                  <c:v>1045.52</c:v>
                </c:pt>
                <c:pt idx="5">
                  <c:v>1114.49</c:v>
                </c:pt>
                <c:pt idx="6">
                  <c:v>1200.82</c:v>
                </c:pt>
                <c:pt idx="7">
                  <c:v>1234.6299999999999</c:v>
                </c:pt>
                <c:pt idx="8">
                  <c:v>1278.43</c:v>
                </c:pt>
                <c:pt idx="9" formatCode="0.00">
                  <c:v>1299.07</c:v>
                </c:pt>
                <c:pt idx="10" formatCode="0.00">
                  <c:v>1340.44</c:v>
                </c:pt>
                <c:pt idx="11" formatCode="0.00">
                  <c:v>1386.1599999999999</c:v>
                </c:pt>
                <c:pt idx="12" formatCode="0.00">
                  <c:v>1474.56</c:v>
                </c:pt>
                <c:pt idx="13" formatCode="0.00">
                  <c:v>1598.1299999999999</c:v>
                </c:pt>
                <c:pt idx="14">
                  <c:v>1693.46</c:v>
                </c:pt>
                <c:pt idx="15">
                  <c:v>1819.1399999999999</c:v>
                </c:pt>
                <c:pt idx="16">
                  <c:v>1919.21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9D-4C89-B6B2-053529C2BB25}"/>
            </c:ext>
          </c:extLst>
        </c:ser>
        <c:ser>
          <c:idx val="1"/>
          <c:order val="1"/>
          <c:tx>
            <c:strRef>
              <c:f>'1 dochody,wydatki lata'!$D$4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 dochody,wydatki lata'!$B$6:$B$22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'1 dochody,wydatki lata'!$D$6:$D$22</c:f>
              <c:numCache>
                <c:formatCode>0.00</c:formatCode>
                <c:ptCount val="17"/>
                <c:pt idx="0">
                  <c:v>701.83999999999946</c:v>
                </c:pt>
                <c:pt idx="1">
                  <c:v>696.58999999999992</c:v>
                </c:pt>
                <c:pt idx="2">
                  <c:v>751.46999999999946</c:v>
                </c:pt>
                <c:pt idx="3">
                  <c:v>816.1400000000001</c:v>
                </c:pt>
                <c:pt idx="4">
                  <c:v>910.76</c:v>
                </c:pt>
                <c:pt idx="5">
                  <c:v>963.94999999999948</c:v>
                </c:pt>
                <c:pt idx="6">
                  <c:v>1005.0300000000001</c:v>
                </c:pt>
                <c:pt idx="7">
                  <c:v>1027.6899999999998</c:v>
                </c:pt>
                <c:pt idx="8">
                  <c:v>1058.9100000000001</c:v>
                </c:pt>
                <c:pt idx="9">
                  <c:v>1061.7</c:v>
                </c:pt>
                <c:pt idx="10">
                  <c:v>1078.74</c:v>
                </c:pt>
                <c:pt idx="11">
                  <c:v>1091.1899999999998</c:v>
                </c:pt>
                <c:pt idx="12">
                  <c:v>1131.6399999999999</c:v>
                </c:pt>
                <c:pt idx="13">
                  <c:v>1176.44</c:v>
                </c:pt>
                <c:pt idx="14" formatCode="General">
                  <c:v>1186.8599999999999</c:v>
                </c:pt>
                <c:pt idx="15" formatCode="General">
                  <c:v>1251.73</c:v>
                </c:pt>
                <c:pt idx="16" formatCode="General">
                  <c:v>1209.58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C9D-4C89-B6B2-053529C2BB25}"/>
            </c:ext>
          </c:extLst>
        </c:ser>
        <c:ser>
          <c:idx val="2"/>
          <c:order val="2"/>
          <c:tx>
            <c:strRef>
              <c:f>'1 dochody,wydatki lata'!$E$4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ysClr val="window" lastClr="FFFFFF">
                  <a:lumMod val="75000"/>
                </a:sysClr>
              </a:solidFill>
            </a:ln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05-CC9D-4C89-B6B2-053529C2BB25}"/>
              </c:ext>
            </c:extLst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07-CC9D-4C89-B6B2-053529C2BB25}"/>
              </c:ext>
            </c:extLst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09-CC9D-4C89-B6B2-053529C2BB25}"/>
              </c:ext>
            </c:extLst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0B-CC9D-4C89-B6B2-053529C2BB25}"/>
              </c:ext>
            </c:extLst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0D-CC9D-4C89-B6B2-053529C2BB25}"/>
              </c:ext>
            </c:extLst>
          </c:dPt>
          <c:dPt>
            <c:idx val="5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0F-CC9D-4C89-B6B2-053529C2BB25}"/>
              </c:ext>
            </c:extLst>
          </c:dPt>
          <c:dPt>
            <c:idx val="6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11-CC9D-4C89-B6B2-053529C2BB25}"/>
              </c:ext>
            </c:extLst>
          </c:dPt>
          <c:dPt>
            <c:idx val="7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13-CC9D-4C89-B6B2-053529C2BB25}"/>
              </c:ext>
            </c:extLst>
          </c:dPt>
          <c:dPt>
            <c:idx val="8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15-CC9D-4C89-B6B2-053529C2BB25}"/>
              </c:ext>
            </c:extLst>
          </c:dPt>
          <c:dPt>
            <c:idx val="9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17-CC9D-4C89-B6B2-053529C2BB25}"/>
              </c:ext>
            </c:extLst>
          </c:dPt>
          <c:dPt>
            <c:idx val="10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19-CC9D-4C89-B6B2-053529C2BB25}"/>
              </c:ext>
            </c:extLst>
          </c:dPt>
          <c:dPt>
            <c:idx val="11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1B-CC9D-4C89-B6B2-053529C2BB25}"/>
              </c:ext>
            </c:extLst>
          </c:dPt>
          <c:dPt>
            <c:idx val="12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1D-CC9D-4C89-B6B2-053529C2BB25}"/>
              </c:ext>
            </c:extLst>
          </c:dPt>
          <c:dPt>
            <c:idx val="13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1F-CC9D-4C89-B6B2-053529C2BB25}"/>
              </c:ext>
            </c:extLst>
          </c:dPt>
          <c:dPt>
            <c:idx val="14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21-CC9D-4C89-B6B2-053529C2BB25}"/>
              </c:ext>
            </c:extLst>
          </c:dPt>
          <c:dPt>
            <c:idx val="15"/>
            <c:invertIfNegative val="0"/>
            <c:bubble3D val="0"/>
            <c:spPr>
              <a:noFill/>
              <a:ln w="3175">
                <a:noFill/>
              </a:ln>
            </c:spPr>
            <c:extLst>
              <c:ext xmlns:c16="http://schemas.microsoft.com/office/drawing/2014/chart" uri="{C3380CC4-5D6E-409C-BE32-E72D297353CC}">
                <c16:uniqueId val="{00000023-CC9D-4C89-B6B2-053529C2BB25}"/>
              </c:ext>
            </c:extLst>
          </c:dPt>
          <c:dLbls>
            <c:spPr>
              <a:solidFill>
                <a:sysClr val="window" lastClr="FFFFFF">
                  <a:lumMod val="85000"/>
                </a:sysClr>
              </a:solidFill>
            </c:spPr>
            <c:txPr>
              <a:bodyPr/>
              <a:lstStyle/>
              <a:p>
                <a:pPr>
                  <a:defRPr sz="800" spc="-30" baseline="0">
                    <a:latin typeface="Fira Sans Extra Condensed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 dochody,wydatki lata'!$B$6:$B$22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'1 dochody,wydatki lata'!$E$6:$E$22</c:f>
              <c:numCache>
                <c:formatCode>0.0%</c:formatCode>
                <c:ptCount val="17"/>
                <c:pt idx="0">
                  <c:v>0.95436497144411214</c:v>
                </c:pt>
                <c:pt idx="1">
                  <c:v>0.91480839440023098</c:v>
                </c:pt>
                <c:pt idx="2">
                  <c:v>0.90030910049360224</c:v>
                </c:pt>
                <c:pt idx="3">
                  <c:v>0.87863748425506272</c:v>
                </c:pt>
                <c:pt idx="4">
                  <c:v>0.87110720024485488</c:v>
                </c:pt>
                <c:pt idx="5">
                  <c:v>0.86492476379330463</c:v>
                </c:pt>
                <c:pt idx="6">
                  <c:v>0.83695308206059293</c:v>
                </c:pt>
                <c:pt idx="7">
                  <c:v>0.83238703093234356</c:v>
                </c:pt>
                <c:pt idx="8">
                  <c:v>0.82828938620026127</c:v>
                </c:pt>
                <c:pt idx="9">
                  <c:v>0.81727697506677854</c:v>
                </c:pt>
                <c:pt idx="10">
                  <c:v>0.80476559935543568</c:v>
                </c:pt>
                <c:pt idx="11">
                  <c:v>0.78720349743175388</c:v>
                </c:pt>
                <c:pt idx="12">
                  <c:v>0.76744249131944464</c:v>
                </c:pt>
                <c:pt idx="13">
                  <c:v>0.73613535819989706</c:v>
                </c:pt>
                <c:pt idx="14">
                  <c:v>0.70084914907940021</c:v>
                </c:pt>
                <c:pt idx="15">
                  <c:v>0.68808887716173583</c:v>
                </c:pt>
                <c:pt idx="16">
                  <c:v>0.63024890449716353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4-CC9D-4C89-B6B2-053529C2BB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-188970736"/>
        <c:axId val="-188957680"/>
      </c:barChart>
      <c:catAx>
        <c:axId val="-18897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pc="-30" baseline="0"/>
            </a:pPr>
            <a:endParaRPr lang="pl-PL"/>
          </a:p>
        </c:txPr>
        <c:crossAx val="-188957680"/>
        <c:crosses val="autoZero"/>
        <c:auto val="1"/>
        <c:lblAlgn val="ctr"/>
        <c:lblOffset val="100"/>
        <c:noMultiLvlLbl val="0"/>
      </c:catAx>
      <c:valAx>
        <c:axId val="-188957680"/>
        <c:scaling>
          <c:orientation val="minMax"/>
          <c:max val="20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88970736"/>
        <c:crosses val="autoZero"/>
        <c:crossBetween val="between"/>
        <c:majorUnit val="200"/>
      </c:valAx>
    </c:plotArea>
    <c:legend>
      <c:legendPos val="r"/>
      <c:layout>
        <c:manualLayout>
          <c:xMode val="edge"/>
          <c:yMode val="edge"/>
          <c:x val="6.6475550727226426E-2"/>
          <c:y val="0.17526460972450073"/>
          <c:w val="0.92112358212568168"/>
          <c:h val="9.7542915625119214E-2"/>
        </c:manualLayout>
      </c:layout>
      <c:overlay val="0"/>
      <c:spPr>
        <a:noFill/>
        <a:ln w="6350">
          <a:noFill/>
        </a:ln>
      </c:spPr>
      <c:txPr>
        <a:bodyPr/>
        <a:lstStyle/>
        <a:p>
          <a:pPr rtl="0">
            <a:defRPr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122668517309266E-2"/>
          <c:y val="0.27403557087738273"/>
          <c:w val="0.95977812253022277"/>
          <c:h val="0.55267658046922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'30 spożycie kwintyle'!$B$4</c:f>
              <c:strCache>
                <c:ptCount val="1"/>
                <c:pt idx="0">
                  <c:v>I grupa kwintylowa</c:v>
                </c:pt>
              </c:strCache>
            </c:strRef>
          </c:tx>
          <c:spPr>
            <a:solidFill>
              <a:srgbClr val="99CEB3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'30 spożycie kwintyle'!$C$3:$I$3</c:f>
              <c:strCache>
                <c:ptCount val="7"/>
                <c:pt idx="0">
                  <c:v>pieczywo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mineralne
i źródlane (w l.)</c:v>
                </c:pt>
              </c:strCache>
            </c:strRef>
          </c:cat>
          <c:val>
            <c:numRef>
              <c:f>'30 spożycie kwintyle'!$C$4:$I$4</c:f>
              <c:numCache>
                <c:formatCode>0.0</c:formatCode>
                <c:ptCount val="7"/>
                <c:pt idx="0">
                  <c:v>4.84</c:v>
                </c:pt>
                <c:pt idx="1">
                  <c:v>4.5199999999999996</c:v>
                </c:pt>
                <c:pt idx="2">
                  <c:v>6.63</c:v>
                </c:pt>
                <c:pt idx="3">
                  <c:v>2.85</c:v>
                </c:pt>
                <c:pt idx="4">
                  <c:v>0.74</c:v>
                </c:pt>
                <c:pt idx="5">
                  <c:v>0.8</c:v>
                </c:pt>
                <c:pt idx="6">
                  <c:v>4.6100000000000003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5D-40AC-85F1-4B25488ED092}"/>
            </c:ext>
          </c:extLst>
        </c:ser>
        <c:ser>
          <c:idx val="2"/>
          <c:order val="2"/>
          <c:tx>
            <c:strRef>
              <c:f>'30 spożycie kwintyle'!$B$6</c:f>
              <c:strCache>
                <c:ptCount val="1"/>
                <c:pt idx="0">
                  <c:v>V grupa kwintylowa</c:v>
                </c:pt>
              </c:strCache>
            </c:strRef>
          </c:tx>
          <c:spPr>
            <a:solidFill>
              <a:srgbClr val="339D68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2"/>
              <c:layout>
                <c:manualLayout>
                  <c:x val="0"/>
                  <c:y val="8.93255917820455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D-40AC-85F1-4B25488ED092}"/>
                </c:ext>
              </c:extLst>
            </c:dLbl>
            <c:dLbl>
              <c:idx val="5"/>
              <c:layout>
                <c:manualLayout>
                  <c:x val="-9.0904284356260265E-17"/>
                  <c:y val="-4.64360343626654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CF-42C4-AE83-7912F63B7CD5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'30 spożycie kwintyle'!$C$3:$I$3</c:f>
              <c:strCache>
                <c:ptCount val="7"/>
                <c:pt idx="0">
                  <c:v>pieczywo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mineralne
i źródlane (w l.)</c:v>
                </c:pt>
              </c:strCache>
            </c:strRef>
          </c:cat>
          <c:val>
            <c:numRef>
              <c:f>'30 spożycie kwintyle'!$C$6:$I$6</c:f>
              <c:numCache>
                <c:formatCode>0.0</c:formatCode>
                <c:ptCount val="7"/>
                <c:pt idx="0">
                  <c:v>5.72</c:v>
                </c:pt>
                <c:pt idx="1">
                  <c:v>5.38</c:v>
                </c:pt>
                <c:pt idx="2">
                  <c:v>8.9700000000000006</c:v>
                </c:pt>
                <c:pt idx="3">
                  <c:v>5.27</c:v>
                </c:pt>
                <c:pt idx="4">
                  <c:v>1.25</c:v>
                </c:pt>
                <c:pt idx="5">
                  <c:v>0.76</c:v>
                </c:pt>
                <c:pt idx="6">
                  <c:v>7.41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5D-40AC-85F1-4B25488ED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2291872"/>
        <c:axId val="-142293504"/>
      </c:barChart>
      <c:barChart>
        <c:barDir val="col"/>
        <c:grouping val="clustered"/>
        <c:varyColors val="0"/>
        <c:ser>
          <c:idx val="1"/>
          <c:order val="1"/>
          <c:tx>
            <c:strRef>
              <c:f>'30 spożycie kwintyle'!$B$5</c:f>
              <c:strCache>
                <c:ptCount val="1"/>
                <c:pt idx="0">
                  <c:v>w tym pieczywo</c:v>
                </c:pt>
              </c:strCache>
            </c:strRef>
          </c:tx>
          <c:spPr>
            <a:solidFill>
              <a:srgbClr val="6677AD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4-A65D-40AC-85F1-4B25488ED092}"/>
              </c:ext>
            </c:extLst>
          </c:dPt>
          <c:dPt>
            <c:idx val="2"/>
            <c:invertIfNegative val="0"/>
            <c:bubble3D val="0"/>
            <c:spPr>
              <a:solidFill>
                <a:srgbClr val="969696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6-A65D-40AC-85F1-4B25488ED092}"/>
              </c:ext>
            </c:extLst>
          </c:dPt>
          <c:dLbls>
            <c:dLbl>
              <c:idx val="0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A65D-40AC-85F1-4B25488ED09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5D-40AC-85F1-4B25488ED092}"/>
                </c:ext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A65D-40AC-85F1-4B25488ED09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65D-40AC-85F1-4B25488ED09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5D-40AC-85F1-4B25488ED09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65D-40AC-85F1-4B25488ED09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65D-40AC-85F1-4B25488ED092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'30 spożycie kwintyle'!$C$3:$I$3</c:f>
              <c:strCache>
                <c:ptCount val="7"/>
                <c:pt idx="0">
                  <c:v>pieczywo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mineralne
i źródlane (w l.)</c:v>
                </c:pt>
              </c:strCache>
            </c:strRef>
          </c:cat>
          <c:val>
            <c:numRef>
              <c:f>'30 spożycie kwintyle'!$C$5:$I$5</c:f>
              <c:numCache>
                <c:formatCode>General</c:formatCode>
                <c:ptCount val="7"/>
                <c:pt idx="0" formatCode="0.0">
                  <c:v>2.58</c:v>
                </c:pt>
                <c:pt idx="2" formatCode="0.0">
                  <c:v>2.58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65D-40AC-85F1-4B25488ED092}"/>
            </c:ext>
          </c:extLst>
        </c:ser>
        <c:ser>
          <c:idx val="3"/>
          <c:order val="3"/>
          <c:tx>
            <c:strRef>
              <c:f>'30 spożycie kwintyle'!$B$7</c:f>
              <c:strCache>
                <c:ptCount val="1"/>
                <c:pt idx="0">
                  <c:v>w tym ziemniaki</c:v>
                </c:pt>
              </c:strCache>
            </c:strRef>
          </c:tx>
          <c:spPr>
            <a:solidFill>
              <a:srgbClr val="5F5F5F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E-A65D-40AC-85F1-4B25488ED09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A65D-40AC-85F1-4B25488ED092}"/>
              </c:ext>
            </c:extLst>
          </c:dPt>
          <c:dLbls>
            <c:dLbl>
              <c:idx val="0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A65D-40AC-85F1-4B25488ED09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65D-40AC-85F1-4B25488ED092}"/>
                </c:ext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A65D-40AC-85F1-4B25488ED09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65D-40AC-85F1-4B25488ED09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65D-40AC-85F1-4B25488ED09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65D-40AC-85F1-4B25488ED09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65D-40AC-85F1-4B25488ED092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'30 spożycie kwintyle'!$C$3:$I$3</c:f>
              <c:strCache>
                <c:ptCount val="7"/>
                <c:pt idx="0">
                  <c:v>pieczywo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mineralne
i źródlane (w l.)</c:v>
                </c:pt>
              </c:strCache>
            </c:strRef>
          </c:cat>
          <c:val>
            <c:numRef>
              <c:f>'30 spożycie kwintyle'!$C$7:$I$7</c:f>
              <c:numCache>
                <c:formatCode>General</c:formatCode>
                <c:ptCount val="7"/>
                <c:pt idx="0" formatCode="0.0">
                  <c:v>2.83</c:v>
                </c:pt>
                <c:pt idx="2" formatCode="0.0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A65D-40AC-85F1-4B25488ED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2297856"/>
        <c:axId val="-142298400"/>
      </c:barChart>
      <c:catAx>
        <c:axId val="-14229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800" spc="-20" baseline="0"/>
            </a:pPr>
            <a:endParaRPr lang="pl-PL"/>
          </a:p>
        </c:txPr>
        <c:crossAx val="-142293504"/>
        <c:crosses val="autoZero"/>
        <c:auto val="1"/>
        <c:lblAlgn val="ctr"/>
        <c:lblOffset val="100"/>
        <c:noMultiLvlLbl val="0"/>
      </c:catAx>
      <c:valAx>
        <c:axId val="-142293504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2291872"/>
        <c:crosses val="autoZero"/>
        <c:crossBetween val="between"/>
        <c:majorUnit val="2"/>
      </c:valAx>
      <c:valAx>
        <c:axId val="-142298400"/>
        <c:scaling>
          <c:orientation val="minMax"/>
          <c:max val="12"/>
        </c:scaling>
        <c:delete val="1"/>
        <c:axPos val="r"/>
        <c:numFmt formatCode="0.0" sourceLinked="1"/>
        <c:majorTickMark val="out"/>
        <c:minorTickMark val="none"/>
        <c:tickLblPos val="none"/>
        <c:crossAx val="-142297856"/>
        <c:crosses val="max"/>
        <c:crossBetween val="between"/>
      </c:valAx>
      <c:catAx>
        <c:axId val="-142297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229840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4.3389565147792741E-2"/>
          <c:y val="0.17501362629072564"/>
          <c:w val="0.94252310130999339"/>
          <c:h val="7.3468174968694955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815330075187238E-2"/>
          <c:y val="0.26467946761901534"/>
          <c:w val="0.94354954422069504"/>
          <c:h val="0.558391908328532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'31 spożycie miasto wieś'!$C$3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rgbClr val="99CEB3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'31 spożycie miasto wieś'!$B$4:$B$10</c:f>
              <c:strCache>
                <c:ptCount val="7"/>
                <c:pt idx="0">
                  <c:v>pieczywo 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mineralne
i źródlane (w l.)</c:v>
                </c:pt>
              </c:strCache>
            </c:strRef>
          </c:cat>
          <c:val>
            <c:numRef>
              <c:f>'31 spożycie miasto wieś'!$C$4:$C$10</c:f>
              <c:numCache>
                <c:formatCode>0.0</c:formatCode>
                <c:ptCount val="7"/>
                <c:pt idx="0">
                  <c:v>5.0999999999999996</c:v>
                </c:pt>
                <c:pt idx="1">
                  <c:v>4.84</c:v>
                </c:pt>
                <c:pt idx="2">
                  <c:v>7.75</c:v>
                </c:pt>
                <c:pt idx="3">
                  <c:v>4.25</c:v>
                </c:pt>
                <c:pt idx="4">
                  <c:v>1.03</c:v>
                </c:pt>
                <c:pt idx="5">
                  <c:v>0.7</c:v>
                </c:pt>
                <c:pt idx="6">
                  <c:v>6.11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DC-4119-BDD2-502B49B0355A}"/>
            </c:ext>
          </c:extLst>
        </c:ser>
        <c:ser>
          <c:idx val="2"/>
          <c:order val="2"/>
          <c:tx>
            <c:strRef>
              <c:f>'31 spożycie miasto wieś'!$E$3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rgbClr val="339D68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'31 spożycie miasto wieś'!$B$4:$B$10</c:f>
              <c:strCache>
                <c:ptCount val="7"/>
                <c:pt idx="0">
                  <c:v>pieczywo 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mineralne
i źródlane (w l.)</c:v>
                </c:pt>
              </c:strCache>
            </c:strRef>
          </c:cat>
          <c:val>
            <c:numRef>
              <c:f>'31 spożycie miasto wieś'!$E$4:$E$10</c:f>
              <c:numCache>
                <c:formatCode>0.0</c:formatCode>
                <c:ptCount val="7"/>
                <c:pt idx="0">
                  <c:v>5.65</c:v>
                </c:pt>
                <c:pt idx="1">
                  <c:v>5.5</c:v>
                </c:pt>
                <c:pt idx="2">
                  <c:v>7.67</c:v>
                </c:pt>
                <c:pt idx="3">
                  <c:v>3.26</c:v>
                </c:pt>
                <c:pt idx="4">
                  <c:v>0.83</c:v>
                </c:pt>
                <c:pt idx="5">
                  <c:v>1.05</c:v>
                </c:pt>
                <c:pt idx="6">
                  <c:v>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DC-4119-BDD2-502B49B035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2297312"/>
        <c:axId val="-188969648"/>
      </c:barChart>
      <c:barChart>
        <c:barDir val="col"/>
        <c:grouping val="clustered"/>
        <c:varyColors val="0"/>
        <c:ser>
          <c:idx val="1"/>
          <c:order val="1"/>
          <c:tx>
            <c:strRef>
              <c:f>'31 spożycie miasto wieś'!$D$3</c:f>
              <c:strCache>
                <c:ptCount val="1"/>
                <c:pt idx="0">
                  <c:v>w tym pieczywo</c:v>
                </c:pt>
              </c:strCache>
            </c:strRef>
          </c:tx>
          <c:spPr>
            <a:solidFill>
              <a:srgbClr val="6677AD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89DC-4119-BDD2-502B49B0355A}"/>
              </c:ext>
            </c:extLst>
          </c:dPt>
          <c:dPt>
            <c:idx val="2"/>
            <c:invertIfNegative val="0"/>
            <c:bubble3D val="0"/>
            <c:spPr>
              <a:solidFill>
                <a:srgbClr val="969696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89DC-4119-BDD2-502B49B0355A}"/>
              </c:ext>
            </c:extLst>
          </c:dPt>
          <c:dLbls>
            <c:dLbl>
              <c:idx val="0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9DC-4119-BDD2-502B49B0355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DC-4119-BDD2-502B49B0355A}"/>
                </c:ext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9DC-4119-BDD2-502B49B0355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9DC-4119-BDD2-502B49B0355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9DC-4119-BDD2-502B49B0355A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9DC-4119-BDD2-502B49B0355A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9DC-4119-BDD2-502B49B0355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'31 spożycie miasto wieś'!$B$4:$B$10</c:f>
              <c:strCache>
                <c:ptCount val="7"/>
                <c:pt idx="0">
                  <c:v>pieczywo 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mineralne
i źródlane (w l.)</c:v>
                </c:pt>
              </c:strCache>
            </c:strRef>
          </c:cat>
          <c:val>
            <c:numRef>
              <c:f>'31 spożycie miasto wieś'!$D$4:$D$10</c:f>
              <c:numCache>
                <c:formatCode>General</c:formatCode>
                <c:ptCount val="7"/>
                <c:pt idx="0" formatCode="0.0">
                  <c:v>2.56</c:v>
                </c:pt>
                <c:pt idx="2" formatCode="0.0">
                  <c:v>2.4700000000000002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9DC-4119-BDD2-502B49B0355A}"/>
            </c:ext>
          </c:extLst>
        </c:ser>
        <c:ser>
          <c:idx val="3"/>
          <c:order val="3"/>
          <c:tx>
            <c:strRef>
              <c:f>'31 spożycie miasto wieś'!$F$3</c:f>
              <c:strCache>
                <c:ptCount val="1"/>
                <c:pt idx="0">
                  <c:v>w tym ziemniaki</c:v>
                </c:pt>
              </c:strCache>
            </c:strRef>
          </c:tx>
          <c:spPr>
            <a:solidFill>
              <a:srgbClr val="5F5F5F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D-89DC-4119-BDD2-502B49B0355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9DC-4119-BDD2-502B49B0355A}"/>
              </c:ext>
            </c:extLst>
          </c:dPt>
          <c:dLbls>
            <c:dLbl>
              <c:idx val="0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89DC-4119-BDD2-502B49B0355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9DC-4119-BDD2-502B49B0355A}"/>
                </c:ext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89DC-4119-BDD2-502B49B0355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9DC-4119-BDD2-502B49B0355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9DC-4119-BDD2-502B49B0355A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9DC-4119-BDD2-502B49B0355A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9DC-4119-BDD2-502B49B0355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'31 spożycie miasto wieś'!$B$4:$B$10</c:f>
              <c:strCache>
                <c:ptCount val="7"/>
                <c:pt idx="0">
                  <c:v>pieczywo 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mineralne
i źródlane (w l.)</c:v>
                </c:pt>
              </c:strCache>
            </c:strRef>
          </c:cat>
          <c:val>
            <c:numRef>
              <c:f>'31 spożycie miasto wieś'!$F$4:$F$10</c:f>
              <c:numCache>
                <c:formatCode>General</c:formatCode>
                <c:ptCount val="7"/>
                <c:pt idx="0" formatCode="0.0">
                  <c:v>3.05</c:v>
                </c:pt>
                <c:pt idx="2" formatCode="0.0">
                  <c:v>3.01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9DC-4119-BDD2-502B49B035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1785648"/>
        <c:axId val="-141787280"/>
      </c:barChart>
      <c:catAx>
        <c:axId val="-142297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800" spc="-10" baseline="0"/>
            </a:pPr>
            <a:endParaRPr lang="pl-PL"/>
          </a:p>
        </c:txPr>
        <c:crossAx val="-188969648"/>
        <c:crosses val="autoZero"/>
        <c:auto val="1"/>
        <c:lblAlgn val="ctr"/>
        <c:lblOffset val="100"/>
        <c:noMultiLvlLbl val="0"/>
      </c:catAx>
      <c:valAx>
        <c:axId val="-18896964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2297312"/>
        <c:crosses val="autoZero"/>
        <c:crossBetween val="between"/>
        <c:majorUnit val="2"/>
      </c:valAx>
      <c:valAx>
        <c:axId val="-141787280"/>
        <c:scaling>
          <c:orientation val="minMax"/>
          <c:max val="12"/>
        </c:scaling>
        <c:delete val="1"/>
        <c:axPos val="r"/>
        <c:numFmt formatCode="0.0" sourceLinked="1"/>
        <c:majorTickMark val="out"/>
        <c:minorTickMark val="none"/>
        <c:tickLblPos val="none"/>
        <c:crossAx val="-141785648"/>
        <c:crosses val="max"/>
        <c:crossBetween val="between"/>
      </c:valAx>
      <c:catAx>
        <c:axId val="-1417856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178728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4.1308568299546419E-2"/>
          <c:y val="0.17001122165118582"/>
          <c:w val="0.93624341025798696"/>
          <c:h val="8.6040359877828307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013728302549628E-2"/>
          <c:y val="0.27043037037037038"/>
          <c:w val="0.9155513274595326"/>
          <c:h val="0.52824592592592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'33 wyposażenie kwintyl I i V'!$C$10</c:f>
              <c:strCache>
                <c:ptCount val="1"/>
                <c:pt idx="0">
                  <c:v>I grupa kwintylowa </c:v>
                </c:pt>
              </c:strCache>
            </c:strRef>
          </c:tx>
          <c:spPr>
            <a:solidFill>
              <a:srgbClr val="99A5C9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'33 wyposażenie kwintyl I i V'!$B$11:$B$15</c:f>
              <c:strCache>
                <c:ptCount val="5"/>
                <c:pt idx="0">
                  <c:v>urządzenie
z dostępem
do Internetu</c:v>
                </c:pt>
                <c:pt idx="1">
                  <c:v>smartfon</c:v>
                </c:pt>
                <c:pt idx="2">
                  <c:v>telewizor plazmowy
lub LCD</c:v>
                </c:pt>
                <c:pt idx="3">
                  <c:v>zmywarka 
do naczyń</c:v>
                </c:pt>
                <c:pt idx="4">
                  <c:v>samochód 
osobowy</c:v>
                </c:pt>
              </c:strCache>
            </c:strRef>
          </c:cat>
          <c:val>
            <c:numRef>
              <c:f>'33 wyposażenie kwintyl I i V'!$C$11:$C$15</c:f>
              <c:numCache>
                <c:formatCode>0.0%</c:formatCode>
                <c:ptCount val="5"/>
                <c:pt idx="0">
                  <c:v>0.88900000000000001</c:v>
                </c:pt>
                <c:pt idx="1">
                  <c:v>0.82000000000000062</c:v>
                </c:pt>
                <c:pt idx="2">
                  <c:v>0.92099999999999993</c:v>
                </c:pt>
                <c:pt idx="3">
                  <c:v>0.42800000000000032</c:v>
                </c:pt>
                <c:pt idx="4">
                  <c:v>0.73500000000000065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1B-49D9-9876-7D26DA4995B2}"/>
            </c:ext>
          </c:extLst>
        </c:ser>
        <c:ser>
          <c:idx val="1"/>
          <c:order val="1"/>
          <c:tx>
            <c:strRef>
              <c:f>'33 wyposażenie kwintyl I i V'!$D$10</c:f>
              <c:strCache>
                <c:ptCount val="1"/>
                <c:pt idx="0">
                  <c:v>V grupa kwintylowa  </c:v>
                </c:pt>
              </c:strCache>
            </c:strRef>
          </c:tx>
          <c:spPr>
            <a:solidFill>
              <a:srgbClr val="6677AD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'33 wyposażenie kwintyl I i V'!$B$11:$B$15</c:f>
              <c:strCache>
                <c:ptCount val="5"/>
                <c:pt idx="0">
                  <c:v>urządzenie
z dostępem
do Internetu</c:v>
                </c:pt>
                <c:pt idx="1">
                  <c:v>smartfon</c:v>
                </c:pt>
                <c:pt idx="2">
                  <c:v>telewizor plazmowy
lub LCD</c:v>
                </c:pt>
                <c:pt idx="3">
                  <c:v>zmywarka 
do naczyń</c:v>
                </c:pt>
                <c:pt idx="4">
                  <c:v>samochód 
osobowy</c:v>
                </c:pt>
              </c:strCache>
            </c:strRef>
          </c:cat>
          <c:val>
            <c:numRef>
              <c:f>'33 wyposażenie kwintyl I i V'!$D$11:$D$15</c:f>
              <c:numCache>
                <c:formatCode>0.0%</c:formatCode>
                <c:ptCount val="5"/>
                <c:pt idx="0">
                  <c:v>0.93200000000000005</c:v>
                </c:pt>
                <c:pt idx="1">
                  <c:v>0.87300000000000066</c:v>
                </c:pt>
                <c:pt idx="2">
                  <c:v>0.91</c:v>
                </c:pt>
                <c:pt idx="3">
                  <c:v>0.55500000000000005</c:v>
                </c:pt>
                <c:pt idx="4">
                  <c:v>0.78099999999999992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81B-49D9-9876-7D26DA4995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1791088"/>
        <c:axId val="-141784560"/>
      </c:barChart>
      <c:catAx>
        <c:axId val="-14179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 spc="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41784560"/>
        <c:crosses val="autoZero"/>
        <c:auto val="1"/>
        <c:lblAlgn val="ctr"/>
        <c:lblOffset val="100"/>
        <c:noMultiLvlLbl val="0"/>
      </c:catAx>
      <c:valAx>
        <c:axId val="-141784560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41791088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0.53190093709472364"/>
          <c:y val="0.13414962962962962"/>
          <c:w val="0.46426231107728638"/>
          <c:h val="7.4279620227326149E-2"/>
        </c:manualLayout>
      </c:layout>
      <c:overlay val="0"/>
      <c:spPr>
        <a:solidFill>
          <a:schemeClr val="bg1"/>
        </a:solidFill>
        <a:ln w="6350">
          <a:noFill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013728302549628E-2"/>
          <c:y val="0.23289258653989028"/>
          <c:w val="0.91304068583096798"/>
          <c:h val="0.563524070640398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'34 wyposażenie miasto wieś'!$C$10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rgbClr val="99A5C9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'34 wyposażenie miasto wieś'!$B$11:$B$15</c:f>
              <c:strCache>
                <c:ptCount val="5"/>
                <c:pt idx="0">
                  <c:v>urządzenie 
z dostępem 
do Internetu</c:v>
                </c:pt>
                <c:pt idx="1">
                  <c:v>smartfon</c:v>
                </c:pt>
                <c:pt idx="2">
                  <c:v>telewizor plazmowy
lub LCD</c:v>
                </c:pt>
                <c:pt idx="3">
                  <c:v>zmywarka 
do naczyń</c:v>
                </c:pt>
                <c:pt idx="4">
                  <c:v>samochód 
osobowy</c:v>
                </c:pt>
              </c:strCache>
            </c:strRef>
          </c:cat>
          <c:val>
            <c:numRef>
              <c:f>'34 wyposażenie miasto wieś'!$C$11:$C$15</c:f>
              <c:numCache>
                <c:formatCode>0.0%</c:formatCode>
                <c:ptCount val="5"/>
                <c:pt idx="0">
                  <c:v>0.86300000000000066</c:v>
                </c:pt>
                <c:pt idx="1">
                  <c:v>0.80400000000000005</c:v>
                </c:pt>
                <c:pt idx="2">
                  <c:v>0.91900000000000004</c:v>
                </c:pt>
                <c:pt idx="3">
                  <c:v>0.45200000000000001</c:v>
                </c:pt>
                <c:pt idx="4">
                  <c:v>0.66800000000000082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89-443A-B61F-8D3B24E6E9D6}"/>
            </c:ext>
          </c:extLst>
        </c:ser>
        <c:ser>
          <c:idx val="1"/>
          <c:order val="1"/>
          <c:tx>
            <c:strRef>
              <c:f>'34 wyposażenie miasto wieś'!$D$10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rgbClr val="6677AD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'34 wyposażenie miasto wieś'!$B$11:$B$15</c:f>
              <c:strCache>
                <c:ptCount val="5"/>
                <c:pt idx="0">
                  <c:v>urządzenie 
z dostępem 
do Internetu</c:v>
                </c:pt>
                <c:pt idx="1">
                  <c:v>smartfon</c:v>
                </c:pt>
                <c:pt idx="2">
                  <c:v>telewizor plazmowy
lub LCD</c:v>
                </c:pt>
                <c:pt idx="3">
                  <c:v>zmywarka 
do naczyń</c:v>
                </c:pt>
                <c:pt idx="4">
                  <c:v>samochód 
osobowy</c:v>
                </c:pt>
              </c:strCache>
            </c:strRef>
          </c:cat>
          <c:val>
            <c:numRef>
              <c:f>'34 wyposażenie miasto wieś'!$D$11:$D$15</c:f>
              <c:numCache>
                <c:formatCode>0.0%</c:formatCode>
                <c:ptCount val="5"/>
                <c:pt idx="0">
                  <c:v>0.82600000000000062</c:v>
                </c:pt>
                <c:pt idx="1">
                  <c:v>0.76100000000000056</c:v>
                </c:pt>
                <c:pt idx="2">
                  <c:v>0.94200000000000061</c:v>
                </c:pt>
                <c:pt idx="3">
                  <c:v>0.46700000000000008</c:v>
                </c:pt>
                <c:pt idx="4">
                  <c:v>0.80900000000000005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F89-443A-B61F-8D3B24E6E9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1788912"/>
        <c:axId val="-141786736"/>
      </c:barChart>
      <c:catAx>
        <c:axId val="-141788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 spc="-10" baseline="0"/>
            </a:pPr>
            <a:endParaRPr lang="pl-PL"/>
          </a:p>
        </c:txPr>
        <c:crossAx val="-141786736"/>
        <c:crosses val="autoZero"/>
        <c:auto val="1"/>
        <c:lblAlgn val="ctr"/>
        <c:lblOffset val="100"/>
        <c:noMultiLvlLbl val="0"/>
      </c:catAx>
      <c:valAx>
        <c:axId val="-141786736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1788912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0.66293787625989342"/>
          <c:y val="0.13173414192791139"/>
          <c:w val="0.32277295758260843"/>
          <c:h val="7.5330826184040509E-2"/>
        </c:manualLayout>
      </c:layout>
      <c:overlay val="0"/>
      <c:spPr>
        <a:solidFill>
          <a:schemeClr val="bg1"/>
        </a:solidFill>
        <a:ln w="6350">
          <a:noFill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0010975190601174E-2"/>
          <c:y val="0.30539819963262888"/>
          <c:w val="0.91059469796758674"/>
          <c:h val="0.540307698691813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'39 w. sanit-tech. miasto wieś'!$C$3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rgbClr val="99CEB3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>
                <c:manualLayout>
                  <c:x val="0"/>
                  <c:y val="-4.83325277912034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C3-4BDA-95DD-F5F42BA4388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'39 w. sanit-tech. miasto wieś'!$B$4:$B$9</c:f>
              <c:strCache>
                <c:ptCount val="6"/>
                <c:pt idx="0">
                  <c:v>wodociąg</c:v>
                </c:pt>
                <c:pt idx="1">
                  <c:v>ustęp spłukiwany</c:v>
                </c:pt>
                <c:pt idx="2">
                  <c:v>łazienka</c:v>
                </c:pt>
                <c:pt idx="3">
                  <c:v>ciepła woda bieżąca</c:v>
                </c:pt>
                <c:pt idx="4">
                  <c:v>gaz</c:v>
                </c:pt>
                <c:pt idx="5">
                  <c:v>centralne ogrzewanie</c:v>
                </c:pt>
              </c:strCache>
            </c:strRef>
          </c:cat>
          <c:val>
            <c:numRef>
              <c:f>'39 w. sanit-tech. miasto wieś'!$C$4:$C$9</c:f>
              <c:numCache>
                <c:formatCode>0.0%</c:formatCode>
                <c:ptCount val="6"/>
                <c:pt idx="0">
                  <c:v>0.99950000000000006</c:v>
                </c:pt>
                <c:pt idx="1">
                  <c:v>0.99470000000000003</c:v>
                </c:pt>
                <c:pt idx="2">
                  <c:v>0.99199999999999999</c:v>
                </c:pt>
                <c:pt idx="3">
                  <c:v>0.99569999999999992</c:v>
                </c:pt>
                <c:pt idx="4">
                  <c:v>0.85569999999999991</c:v>
                </c:pt>
                <c:pt idx="5">
                  <c:v>0.87470000000000003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C3-4BDA-95DD-F5F42BA43884}"/>
            </c:ext>
          </c:extLst>
        </c:ser>
        <c:ser>
          <c:idx val="1"/>
          <c:order val="1"/>
          <c:tx>
            <c:strRef>
              <c:f>'39 w. sanit-tech. miasto wieś'!$D$3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rgbClr val="339D68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>
                <c:manualLayout>
                  <c:x val="7.435865658693743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C3-4BDA-95DD-F5F42BA43884}"/>
                </c:ext>
              </c:extLst>
            </c:dLbl>
            <c:dLbl>
              <c:idx val="2"/>
              <c:layout>
                <c:manualLayout>
                  <c:x val="7.43586565869376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C3-4BDA-95DD-F5F42BA4388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'39 w. sanit-tech. miasto wieś'!$B$4:$B$9</c:f>
              <c:strCache>
                <c:ptCount val="6"/>
                <c:pt idx="0">
                  <c:v>wodociąg</c:v>
                </c:pt>
                <c:pt idx="1">
                  <c:v>ustęp spłukiwany</c:v>
                </c:pt>
                <c:pt idx="2">
                  <c:v>łazienka</c:v>
                </c:pt>
                <c:pt idx="3">
                  <c:v>ciepła woda bieżąca</c:v>
                </c:pt>
                <c:pt idx="4">
                  <c:v>gaz</c:v>
                </c:pt>
                <c:pt idx="5">
                  <c:v>centralne ogrzewanie</c:v>
                </c:pt>
              </c:strCache>
            </c:strRef>
          </c:cat>
          <c:val>
            <c:numRef>
              <c:f>'39 w. sanit-tech. miasto wieś'!$D$4:$D$9</c:f>
              <c:numCache>
                <c:formatCode>0.0%</c:formatCode>
                <c:ptCount val="6"/>
                <c:pt idx="0">
                  <c:v>0.99739999999999995</c:v>
                </c:pt>
                <c:pt idx="1">
                  <c:v>0.97739999999999994</c:v>
                </c:pt>
                <c:pt idx="2">
                  <c:v>0.9758</c:v>
                </c:pt>
                <c:pt idx="3">
                  <c:v>0.98349999999999993</c:v>
                </c:pt>
                <c:pt idx="4">
                  <c:v>0.91650000000000009</c:v>
                </c:pt>
                <c:pt idx="5">
                  <c:v>0.86560000000000004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C3-4BDA-95DD-F5F42BA43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-141786192"/>
        <c:axId val="-141790544"/>
      </c:barChart>
      <c:catAx>
        <c:axId val="-141786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1790544"/>
        <c:crosses val="autoZero"/>
        <c:auto val="1"/>
        <c:lblAlgn val="ctr"/>
        <c:lblOffset val="100"/>
        <c:noMultiLvlLbl val="0"/>
      </c:catAx>
      <c:valAx>
        <c:axId val="-141790544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1786192"/>
        <c:crosses val="autoZero"/>
        <c:crossBetween val="between"/>
        <c:majorUnit val="0.2"/>
        <c:min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586472694630652"/>
          <c:y val="0.14226841313082311"/>
          <c:w val="0.28772121886251206"/>
          <c:h val="7.0315775142928541E-2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0010975190601191E-2"/>
          <c:y val="0.31961164807005782"/>
          <c:w val="0.91307301271356023"/>
          <c:h val="0.529083647152801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'40 w.sanit-tech kwintyle'!$C$3</c:f>
              <c:strCache>
                <c:ptCount val="1"/>
                <c:pt idx="0">
                  <c:v>pierwsza grupa kwintylowa</c:v>
                </c:pt>
              </c:strCache>
            </c:strRef>
          </c:tx>
          <c:spPr>
            <a:solidFill>
              <a:srgbClr val="99CEB3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'40 w.sanit-tech kwintyle'!$B$4:$B$9</c:f>
              <c:strCache>
                <c:ptCount val="6"/>
                <c:pt idx="0">
                  <c:v>wodociąg</c:v>
                </c:pt>
                <c:pt idx="1">
                  <c:v>ustęp spłukiwany</c:v>
                </c:pt>
                <c:pt idx="2">
                  <c:v>łazienka</c:v>
                </c:pt>
                <c:pt idx="3">
                  <c:v>ciepła woda 
bieżąca</c:v>
                </c:pt>
                <c:pt idx="4">
                  <c:v>gaz</c:v>
                </c:pt>
                <c:pt idx="5">
                  <c:v>centralne ogrzewanie</c:v>
                </c:pt>
              </c:strCache>
            </c:strRef>
          </c:cat>
          <c:val>
            <c:numRef>
              <c:f>'40 w.sanit-tech kwintyle'!$C$4:$C$9</c:f>
              <c:numCache>
                <c:formatCode>0.0%</c:formatCode>
                <c:ptCount val="6"/>
                <c:pt idx="0">
                  <c:v>0.99639999999999951</c:v>
                </c:pt>
                <c:pt idx="1">
                  <c:v>0.97210000000000063</c:v>
                </c:pt>
                <c:pt idx="2">
                  <c:v>0.96650000000000003</c:v>
                </c:pt>
                <c:pt idx="3">
                  <c:v>0.97750000000000004</c:v>
                </c:pt>
                <c:pt idx="4">
                  <c:v>0.88390000000000002</c:v>
                </c:pt>
                <c:pt idx="5">
                  <c:v>0.82780000000000065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4C-40D8-84B8-A4A499D9A0D3}"/>
            </c:ext>
          </c:extLst>
        </c:ser>
        <c:ser>
          <c:idx val="1"/>
          <c:order val="1"/>
          <c:tx>
            <c:strRef>
              <c:f>'40 w.sanit-tech kwintyle'!$D$3</c:f>
              <c:strCache>
                <c:ptCount val="1"/>
                <c:pt idx="0">
                  <c:v>piąta grupa kwintylowa</c:v>
                </c:pt>
              </c:strCache>
            </c:strRef>
          </c:tx>
          <c:spPr>
            <a:solidFill>
              <a:srgbClr val="339D68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>
                <c:manualLayout>
                  <c:x val="7.434944237918215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4C-40D8-84B8-A4A499D9A0D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'40 w.sanit-tech kwintyle'!$B$4:$B$9</c:f>
              <c:strCache>
                <c:ptCount val="6"/>
                <c:pt idx="0">
                  <c:v>wodociąg</c:v>
                </c:pt>
                <c:pt idx="1">
                  <c:v>ustęp spłukiwany</c:v>
                </c:pt>
                <c:pt idx="2">
                  <c:v>łazienka</c:v>
                </c:pt>
                <c:pt idx="3">
                  <c:v>ciepła woda 
bieżąca</c:v>
                </c:pt>
                <c:pt idx="4">
                  <c:v>gaz</c:v>
                </c:pt>
                <c:pt idx="5">
                  <c:v>centralne ogrzewanie</c:v>
                </c:pt>
              </c:strCache>
            </c:strRef>
          </c:cat>
          <c:val>
            <c:numRef>
              <c:f>'40 w.sanit-tech kwintyle'!$D$4:$D$9</c:f>
              <c:numCache>
                <c:formatCode>0.0%</c:formatCode>
                <c:ptCount val="6"/>
                <c:pt idx="0">
                  <c:v>0.99980000000000002</c:v>
                </c:pt>
                <c:pt idx="1">
                  <c:v>0.99739999999999951</c:v>
                </c:pt>
                <c:pt idx="2">
                  <c:v>0.99730000000000008</c:v>
                </c:pt>
                <c:pt idx="3">
                  <c:v>0.99860000000000004</c:v>
                </c:pt>
                <c:pt idx="4">
                  <c:v>0.81440000000000001</c:v>
                </c:pt>
                <c:pt idx="5">
                  <c:v>0.89690000000000003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4C-40D8-84B8-A4A499D9A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-141784016"/>
        <c:axId val="-141790000"/>
      </c:barChart>
      <c:catAx>
        <c:axId val="-14178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1790000"/>
        <c:crosses val="autoZero"/>
        <c:auto val="1"/>
        <c:lblAlgn val="ctr"/>
        <c:lblOffset val="100"/>
        <c:noMultiLvlLbl val="0"/>
      </c:catAx>
      <c:valAx>
        <c:axId val="-141790000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1784016"/>
        <c:crosses val="autoZero"/>
        <c:crossBetween val="between"/>
        <c:majorUnit val="0.2"/>
        <c:min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1181707305174264"/>
          <c:y val="0.12822856834147875"/>
          <c:w val="0.57093170974446039"/>
          <c:h val="8.5017760430032063E-2"/>
        </c:manualLayout>
      </c:layout>
      <c:overlay val="0"/>
      <c:spPr>
        <a:solidFill>
          <a:schemeClr val="bg1"/>
        </a:solidFill>
        <a:ln w="6350">
          <a:noFill/>
        </a:ln>
      </c:spPr>
      <c:txPr>
        <a:bodyPr/>
        <a:lstStyle/>
        <a:p>
          <a:pPr>
            <a:defRPr sz="900" spc="-10" baseline="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366550220642291"/>
          <c:y val="0.18399831055600854"/>
          <c:w val="0.81498385192557321"/>
          <c:h val="0.7522111622839597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'42 ocena syt. mat. g. społ-ek.'!$B$12</c:f>
              <c:strCache>
                <c:ptCount val="1"/>
                <c:pt idx="0">
                  <c:v>zła + raczej zła</c:v>
                </c:pt>
              </c:strCache>
            </c:strRef>
          </c:tx>
          <c:spPr>
            <a:solidFill>
              <a:srgbClr val="99A5C9"/>
            </a:solidFill>
            <a:ln w="3175">
              <a:noFill/>
            </a:ln>
            <a:effectLst/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'42 ocena syt. mat. g. społ-ek.'!$C$11:$H$11</c:f>
              <c:strCache>
                <c:ptCount val="6"/>
                <c:pt idx="0">
                  <c:v>renciści</c:v>
                </c:pt>
                <c:pt idx="1">
                  <c:v>emeryci</c:v>
                </c:pt>
                <c:pt idx="2">
                  <c:v>pracujący
na własny
rachunek</c:v>
                </c:pt>
                <c:pt idx="3">
                  <c:v>rolnicy</c:v>
                </c:pt>
                <c:pt idx="4">
                  <c:v>pracownicy</c:v>
                </c:pt>
                <c:pt idx="5">
                  <c:v>Ogółem</c:v>
                </c:pt>
              </c:strCache>
            </c:strRef>
          </c:cat>
          <c:val>
            <c:numRef>
              <c:f>'42 ocena syt. mat. g. społ-ek.'!$C$12:$H$12</c:f>
              <c:numCache>
                <c:formatCode>0.0%</c:formatCode>
                <c:ptCount val="6"/>
                <c:pt idx="0">
                  <c:v>0.1757701296323553</c:v>
                </c:pt>
                <c:pt idx="1">
                  <c:v>8.0572389851006967E-2</c:v>
                </c:pt>
                <c:pt idx="2">
                  <c:v>1.7890666049011648E-2</c:v>
                </c:pt>
                <c:pt idx="3">
                  <c:v>2.9199966746729193E-2</c:v>
                </c:pt>
                <c:pt idx="4">
                  <c:v>2.7841251045179382E-2</c:v>
                </c:pt>
                <c:pt idx="5">
                  <c:v>5.8122529603495753E-2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C3-4361-B6AE-5084F8592F16}"/>
            </c:ext>
          </c:extLst>
        </c:ser>
        <c:ser>
          <c:idx val="0"/>
          <c:order val="1"/>
          <c:tx>
            <c:strRef>
              <c:f>'42 ocena syt. mat. g. społ-ek.'!$B$13</c:f>
              <c:strCache>
                <c:ptCount val="1"/>
                <c:pt idx="0">
                  <c:v>przeciętna</c:v>
                </c:pt>
              </c:strCache>
            </c:strRef>
          </c:tx>
          <c:spPr>
            <a:solidFill>
              <a:srgbClr val="6677AD"/>
            </a:solidFill>
            <a:ln w="3175">
              <a:noFill/>
            </a:ln>
            <a:effectLst/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'42 ocena syt. mat. g. społ-ek.'!$C$11:$H$11</c:f>
              <c:strCache>
                <c:ptCount val="6"/>
                <c:pt idx="0">
                  <c:v>renciści</c:v>
                </c:pt>
                <c:pt idx="1">
                  <c:v>emeryci</c:v>
                </c:pt>
                <c:pt idx="2">
                  <c:v>pracujący
na własny
rachunek</c:v>
                </c:pt>
                <c:pt idx="3">
                  <c:v>rolnicy</c:v>
                </c:pt>
                <c:pt idx="4">
                  <c:v>pracownicy</c:v>
                </c:pt>
                <c:pt idx="5">
                  <c:v>Ogółem</c:v>
                </c:pt>
              </c:strCache>
            </c:strRef>
          </c:cat>
          <c:val>
            <c:numRef>
              <c:f>'42 ocena syt. mat. g. społ-ek.'!$C$13:$H$13</c:f>
              <c:numCache>
                <c:formatCode>0.0%</c:formatCode>
                <c:ptCount val="6"/>
                <c:pt idx="0">
                  <c:v>0.5888722954368405</c:v>
                </c:pt>
                <c:pt idx="1">
                  <c:v>0.51679468775881021</c:v>
                </c:pt>
                <c:pt idx="2">
                  <c:v>0.24756099869048745</c:v>
                </c:pt>
                <c:pt idx="3">
                  <c:v>0.5036724642695859</c:v>
                </c:pt>
                <c:pt idx="4">
                  <c:v>0.37994608138156688</c:v>
                </c:pt>
                <c:pt idx="5">
                  <c:v>0.42554599612664856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C3-4361-B6AE-5084F8592F16}"/>
            </c:ext>
          </c:extLst>
        </c:ser>
        <c:ser>
          <c:idx val="3"/>
          <c:order val="2"/>
          <c:tx>
            <c:strRef>
              <c:f>'42 ocena syt. mat. g. społ-ek.'!$B$14</c:f>
              <c:strCache>
                <c:ptCount val="1"/>
                <c:pt idx="0">
                  <c:v>dobra + raczej dobra</c:v>
                </c:pt>
              </c:strCache>
            </c:strRef>
          </c:tx>
          <c:spPr>
            <a:solidFill>
              <a:srgbClr val="334A92"/>
            </a:solidFill>
            <a:ln w="3175">
              <a:noFill/>
            </a:ln>
            <a:effectLst/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'42 ocena syt. mat. g. społ-ek.'!$C$11:$H$11</c:f>
              <c:strCache>
                <c:ptCount val="6"/>
                <c:pt idx="0">
                  <c:v>renciści</c:v>
                </c:pt>
                <c:pt idx="1">
                  <c:v>emeryci</c:v>
                </c:pt>
                <c:pt idx="2">
                  <c:v>pracujący
na własny
rachunek</c:v>
                </c:pt>
                <c:pt idx="3">
                  <c:v>rolnicy</c:v>
                </c:pt>
                <c:pt idx="4">
                  <c:v>pracownicy</c:v>
                </c:pt>
                <c:pt idx="5">
                  <c:v>Ogółem</c:v>
                </c:pt>
              </c:strCache>
            </c:strRef>
          </c:cat>
          <c:val>
            <c:numRef>
              <c:f>'42 ocena syt. mat. g. społ-ek.'!$C$14:$H$14</c:f>
              <c:numCache>
                <c:formatCode>0.0%</c:formatCode>
                <c:ptCount val="6"/>
                <c:pt idx="0">
                  <c:v>0.23536116486033401</c:v>
                </c:pt>
                <c:pt idx="1">
                  <c:v>0.40243316865562956</c:v>
                </c:pt>
                <c:pt idx="2">
                  <c:v>0.73444833526050191</c:v>
                </c:pt>
                <c:pt idx="3">
                  <c:v>0.46712981582631008</c:v>
                </c:pt>
                <c:pt idx="4">
                  <c:v>0.59221295471042656</c:v>
                </c:pt>
                <c:pt idx="5">
                  <c:v>0.51633147426985604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C3-4361-B6AE-5084F8592F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7"/>
        <c:axId val="-141785104"/>
        <c:axId val="-141789456"/>
      </c:barChart>
      <c:catAx>
        <c:axId val="-141785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1789456"/>
        <c:crosses val="autoZero"/>
        <c:auto val="1"/>
        <c:lblAlgn val="ctr"/>
        <c:lblOffset val="100"/>
        <c:noMultiLvlLbl val="0"/>
      </c:catAx>
      <c:valAx>
        <c:axId val="-141789456"/>
        <c:scaling>
          <c:orientation val="minMax"/>
          <c:max val="1"/>
          <c:min val="0"/>
        </c:scaling>
        <c:delete val="0"/>
        <c:axPos val="b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1785104"/>
        <c:crosses val="autoZero"/>
        <c:crossBetween val="between"/>
        <c:majorUnit val="0.2"/>
        <c:minorUnit val="0.1"/>
      </c:valAx>
    </c:plotArea>
    <c:legend>
      <c:legendPos val="r"/>
      <c:layout>
        <c:manualLayout>
          <c:xMode val="edge"/>
          <c:yMode val="edge"/>
          <c:x val="0.13877764907593271"/>
          <c:y val="0.11964928682119995"/>
          <c:w val="0.83673818385197207"/>
          <c:h val="5.0186557562657601E-2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238961297558137"/>
          <c:y val="0.23171275102240152"/>
          <c:w val="0.77624447501683191"/>
          <c:h val="0.6874163796011245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'43 ocena syt. mat. miasto wieś'!$B$13</c:f>
              <c:strCache>
                <c:ptCount val="1"/>
                <c:pt idx="0">
                  <c:v>zła + raczej zła</c:v>
                </c:pt>
              </c:strCache>
            </c:strRef>
          </c:tx>
          <c:spPr>
            <a:solidFill>
              <a:srgbClr val="99A5C9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'43 ocena syt. mat. miasto wieś'!$C$12:$F$12</c:f>
              <c:strCache>
                <c:ptCount val="4"/>
                <c:pt idx="0">
                  <c:v>Wieś</c:v>
                </c:pt>
                <c:pt idx="1">
                  <c:v>Miasta 500 tys. lub większe</c:v>
                </c:pt>
                <c:pt idx="2">
                  <c:v>Miasta razem</c:v>
                </c:pt>
                <c:pt idx="3">
                  <c:v>Ogółem</c:v>
                </c:pt>
              </c:strCache>
            </c:strRef>
          </c:cat>
          <c:val>
            <c:numRef>
              <c:f>'43 ocena syt. mat. miasto wieś'!$C$13:$F$13</c:f>
              <c:numCache>
                <c:formatCode>0.0%</c:formatCode>
                <c:ptCount val="4"/>
                <c:pt idx="0">
                  <c:v>5.8102476651328935E-2</c:v>
                </c:pt>
                <c:pt idx="1">
                  <c:v>5.3203642576784345E-2</c:v>
                </c:pt>
                <c:pt idx="2">
                  <c:v>5.8132122255651134E-2</c:v>
                </c:pt>
                <c:pt idx="3">
                  <c:v>5.8122386520722852E-2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2E-4F8D-AA73-B2B79286DBF4}"/>
            </c:ext>
          </c:extLst>
        </c:ser>
        <c:ser>
          <c:idx val="1"/>
          <c:order val="1"/>
          <c:tx>
            <c:strRef>
              <c:f>'43 ocena syt. mat. miasto wieś'!$B$14</c:f>
              <c:strCache>
                <c:ptCount val="1"/>
                <c:pt idx="0">
                  <c:v>przeciętna</c:v>
                </c:pt>
              </c:strCache>
            </c:strRef>
          </c:tx>
          <c:spPr>
            <a:solidFill>
              <a:srgbClr val="6677AD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'43 ocena syt. mat. miasto wieś'!$C$12:$F$12</c:f>
              <c:strCache>
                <c:ptCount val="4"/>
                <c:pt idx="0">
                  <c:v>Wieś</c:v>
                </c:pt>
                <c:pt idx="1">
                  <c:v>Miasta 500 tys. lub większe</c:v>
                </c:pt>
                <c:pt idx="2">
                  <c:v>Miasta razem</c:v>
                </c:pt>
                <c:pt idx="3">
                  <c:v>Ogółem</c:v>
                </c:pt>
              </c:strCache>
            </c:strRef>
          </c:cat>
          <c:val>
            <c:numRef>
              <c:f>'43 ocena syt. mat. miasto wieś'!$C$14:$F$14</c:f>
              <c:numCache>
                <c:formatCode>0.0%</c:formatCode>
                <c:ptCount val="4"/>
                <c:pt idx="0">
                  <c:v>0.46980322932960766</c:v>
                </c:pt>
                <c:pt idx="1">
                  <c:v>0.33830733517226119</c:v>
                </c:pt>
                <c:pt idx="2">
                  <c:v>0.40414765977485151</c:v>
                </c:pt>
                <c:pt idx="3">
                  <c:v>0.4255460274820258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2E-4F8D-AA73-B2B79286DBF4}"/>
            </c:ext>
          </c:extLst>
        </c:ser>
        <c:ser>
          <c:idx val="2"/>
          <c:order val="2"/>
          <c:tx>
            <c:strRef>
              <c:f>'43 ocena syt. mat. miasto wieś'!$B$15</c:f>
              <c:strCache>
                <c:ptCount val="1"/>
                <c:pt idx="0">
                  <c:v>dobra + raczej dobra</c:v>
                </c:pt>
              </c:strCache>
            </c:strRef>
          </c:tx>
          <c:spPr>
            <a:solidFill>
              <a:srgbClr val="334A92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'43 ocena syt. mat. miasto wieś'!$C$12:$F$12</c:f>
              <c:strCache>
                <c:ptCount val="4"/>
                <c:pt idx="0">
                  <c:v>Wieś</c:v>
                </c:pt>
                <c:pt idx="1">
                  <c:v>Miasta 500 tys. lub większe</c:v>
                </c:pt>
                <c:pt idx="2">
                  <c:v>Miasta razem</c:v>
                </c:pt>
                <c:pt idx="3">
                  <c:v>Ogółem</c:v>
                </c:pt>
              </c:strCache>
            </c:strRef>
          </c:cat>
          <c:val>
            <c:numRef>
              <c:f>'43 ocena syt. mat. miasto wieś'!$C$15:$F$15</c:f>
              <c:numCache>
                <c:formatCode>0.0%</c:formatCode>
                <c:ptCount val="4"/>
                <c:pt idx="0">
                  <c:v>0.4720942940190645</c:v>
                </c:pt>
                <c:pt idx="1">
                  <c:v>0.60858902225095513</c:v>
                </c:pt>
                <c:pt idx="2">
                  <c:v>0.53772021796949898</c:v>
                </c:pt>
                <c:pt idx="3">
                  <c:v>0.51643151231455264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2E-4F8D-AA73-B2B79286DB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-141788368"/>
        <c:axId val="-141787824"/>
      </c:barChart>
      <c:catAx>
        <c:axId val="-1417883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1787824"/>
        <c:crosses val="autoZero"/>
        <c:auto val="1"/>
        <c:lblAlgn val="ctr"/>
        <c:lblOffset val="100"/>
        <c:noMultiLvlLbl val="0"/>
      </c:catAx>
      <c:valAx>
        <c:axId val="-141787824"/>
        <c:scaling>
          <c:orientation val="minMax"/>
          <c:max val="1"/>
          <c:min val="0"/>
        </c:scaling>
        <c:delete val="0"/>
        <c:axPos val="b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1788368"/>
        <c:crosses val="autoZero"/>
        <c:crossBetween val="between"/>
        <c:majorUnit val="0.2"/>
        <c:minorUnit val="5.0000000000000024E-2"/>
      </c:valAx>
    </c:plotArea>
    <c:legend>
      <c:legendPos val="r"/>
      <c:layout>
        <c:manualLayout>
          <c:xMode val="edge"/>
          <c:yMode val="edge"/>
          <c:x val="0.17821824893680802"/>
          <c:y val="0.1488111136718494"/>
          <c:w val="0.79952346105435657"/>
          <c:h val="5.813207035297431E-2"/>
        </c:manualLayout>
      </c:layout>
      <c:overlay val="0"/>
      <c:spPr>
        <a:solidFill>
          <a:schemeClr val="bg1"/>
        </a:solidFill>
        <a:ln>
          <a:noFill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920962504634941E-2"/>
          <c:y val="0.28037390055042083"/>
          <c:w val="0.87760805688532562"/>
          <c:h val="0.5635929952150011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'18 wpływ COVID-19 '!$B$4</c:f>
              <c:strCache>
                <c:ptCount val="1"/>
                <c:pt idx="0">
                  <c:v>  nie ograniczono wydatków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'18 wpływ COVID-19 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'18 wpływ COVID-19 '!$C$4:$H$4</c:f>
              <c:numCache>
                <c:formatCode>0.0%</c:formatCode>
                <c:ptCount val="6"/>
                <c:pt idx="0">
                  <c:v>0.62750464769872671</c:v>
                </c:pt>
                <c:pt idx="1">
                  <c:v>0.59949553970009206</c:v>
                </c:pt>
                <c:pt idx="2">
                  <c:v>0.62935922276414524</c:v>
                </c:pt>
                <c:pt idx="3">
                  <c:v>0.53380083028169956</c:v>
                </c:pt>
                <c:pt idx="4">
                  <c:v>0.70492119781826856</c:v>
                </c:pt>
                <c:pt idx="5">
                  <c:v>0.68679963284506829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F5-45C3-943E-31FB19E6097D}"/>
            </c:ext>
          </c:extLst>
        </c:ser>
        <c:ser>
          <c:idx val="1"/>
          <c:order val="1"/>
          <c:tx>
            <c:strRef>
              <c:f>'18 wpływ COVID-19 '!$B$5</c:f>
              <c:strCache>
                <c:ptCount val="1"/>
                <c:pt idx="0">
                  <c:v>  wydatki ograniczono w niewielkim stopniu  </c:v>
                </c:pt>
              </c:strCache>
            </c:strRef>
          </c:tx>
          <c:spPr>
            <a:solidFill>
              <a:srgbClr val="6677AD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'18 wpływ COVID-19 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'18 wpływ COVID-19 '!$C$5:$H$5</c:f>
              <c:numCache>
                <c:formatCode>0.0%</c:formatCode>
                <c:ptCount val="6"/>
                <c:pt idx="0">
                  <c:v>0.2339218907338679</c:v>
                </c:pt>
                <c:pt idx="1">
                  <c:v>0.25468609812498449</c:v>
                </c:pt>
                <c:pt idx="2">
                  <c:v>0.2265816689743832</c:v>
                </c:pt>
                <c:pt idx="3">
                  <c:v>0.25769879373328647</c:v>
                </c:pt>
                <c:pt idx="4">
                  <c:v>0.20158646272038563</c:v>
                </c:pt>
                <c:pt idx="5">
                  <c:v>0.17510804298772326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F5-45C3-943E-31FB19E6097D}"/>
            </c:ext>
          </c:extLst>
        </c:ser>
        <c:ser>
          <c:idx val="2"/>
          <c:order val="2"/>
          <c:tx>
            <c:strRef>
              <c:f>'18 wpływ COVID-19 '!$B$6</c:f>
              <c:strCache>
                <c:ptCount val="1"/>
                <c:pt idx="0">
                  <c:v>  wydatki ograniczono w przeciętnym stopniu </c:v>
                </c:pt>
              </c:strCache>
            </c:strRef>
          </c:tx>
          <c:spPr>
            <a:solidFill>
              <a:srgbClr val="99A4C8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'18 wpływ COVID-19 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'18 wpływ COVID-19 '!$C$6:$H$6</c:f>
              <c:numCache>
                <c:formatCode>0.0%</c:formatCode>
                <c:ptCount val="6"/>
                <c:pt idx="0">
                  <c:v>0.10534210916101566</c:v>
                </c:pt>
                <c:pt idx="1">
                  <c:v>0.11175499121527671</c:v>
                </c:pt>
                <c:pt idx="2">
                  <c:v>0.11457178995095046</c:v>
                </c:pt>
                <c:pt idx="3">
                  <c:v>0.13926039965649653</c:v>
                </c:pt>
                <c:pt idx="4">
                  <c:v>7.8324410160491575E-2</c:v>
                </c:pt>
                <c:pt idx="5">
                  <c:v>0.10745209775500057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F5-45C3-943E-31FB19E6097D}"/>
            </c:ext>
          </c:extLst>
        </c:ser>
        <c:ser>
          <c:idx val="3"/>
          <c:order val="3"/>
          <c:tx>
            <c:strRef>
              <c:f>'18 wpływ COVID-19 '!$B$7</c:f>
              <c:strCache>
                <c:ptCount val="1"/>
                <c:pt idx="0">
                  <c:v>  wydatki ograniczono w dużym stopniu       </c:v>
                </c:pt>
              </c:strCache>
            </c:strRef>
          </c:tx>
          <c:spPr>
            <a:solidFill>
              <a:srgbClr val="CCD1E3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'18 wpływ COVID-19 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'18 wpływ COVID-19 '!$C$7:$H$7</c:f>
              <c:numCache>
                <c:formatCode>0.0%</c:formatCode>
                <c:ptCount val="6"/>
                <c:pt idx="0">
                  <c:v>3.3431352406389642E-2</c:v>
                </c:pt>
                <c:pt idx="1">
                  <c:v>3.3963370959646744E-2</c:v>
                </c:pt>
                <c:pt idx="2">
                  <c:v>2.9487318310521114E-2</c:v>
                </c:pt>
                <c:pt idx="3">
                  <c:v>6.9239976328517458E-2</c:v>
                </c:pt>
                <c:pt idx="4">
                  <c:v>1.5167929300854239E-2</c:v>
                </c:pt>
                <c:pt idx="5">
                  <c:v>3.0640226412207903E-2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F5-45C3-943E-31FB19E6097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-312592976"/>
        <c:axId val="-312594064"/>
      </c:barChart>
      <c:catAx>
        <c:axId val="-312592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ysClr val="windowText" lastClr="000000"/>
            </a:solidFill>
          </a:ln>
        </c:spPr>
        <c:txPr>
          <a:bodyPr rot="0" vert="horz" anchor="t" anchorCtr="0"/>
          <a:lstStyle/>
          <a:p>
            <a:pPr>
              <a:defRPr sz="900" spc="-20" baseline="0"/>
            </a:pPr>
            <a:endParaRPr lang="pl-PL"/>
          </a:p>
        </c:txPr>
        <c:crossAx val="-312594064"/>
        <c:crosses val="autoZero"/>
        <c:auto val="0"/>
        <c:lblAlgn val="ctr"/>
        <c:lblOffset val="100"/>
        <c:noMultiLvlLbl val="0"/>
      </c:catAx>
      <c:valAx>
        <c:axId val="-312594064"/>
        <c:scaling>
          <c:orientation val="minMax"/>
          <c:max val="1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crossAx val="-312592976"/>
        <c:crosses val="autoZero"/>
        <c:crossBetween val="between"/>
        <c:majorUnit val="0.2"/>
        <c:minorUnit val="2.0000000000000011E-2"/>
      </c:valAx>
    </c:plotArea>
    <c:legend>
      <c:legendPos val="r"/>
      <c:layout>
        <c:manualLayout>
          <c:xMode val="edge"/>
          <c:yMode val="edge"/>
          <c:x val="0.17150438340336588"/>
          <c:y val="0.1173235530777631"/>
          <c:w val="0.65798495731112827"/>
          <c:h val="0.13866673372032876"/>
        </c:manualLayout>
      </c:layout>
      <c:overlay val="0"/>
      <c:spPr>
        <a:noFill/>
        <a:ln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247440078638541E-2"/>
          <c:y val="0.30187758746651516"/>
          <c:w val="0.87027187212391732"/>
          <c:h val="0.5234248922227341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'19 wpływ COVID-19'!$B$4</c:f>
              <c:strCache>
                <c:ptCount val="1"/>
                <c:pt idx="0">
                  <c:v>zmniejszył się znacznie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tIns="0" bIns="0" anchor="t" anchorCtr="0"/>
              <a:lstStyle/>
              <a:p>
                <a:pPr>
                  <a:defRPr sz="750"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'19 wpływ COVID-19'!$C$3:$H$3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'19 wpływ COVID-19'!$C$4:$H$4</c:f>
              <c:numCache>
                <c:formatCode>0.0%</c:formatCode>
                <c:ptCount val="6"/>
                <c:pt idx="0">
                  <c:v>8.1937322944623803E-2</c:v>
                </c:pt>
                <c:pt idx="1">
                  <c:v>8.9421647807913479E-2</c:v>
                </c:pt>
                <c:pt idx="2">
                  <c:v>7.2273800946657057E-2</c:v>
                </c:pt>
                <c:pt idx="3">
                  <c:v>0.20832110023593667</c:v>
                </c:pt>
                <c:pt idx="4">
                  <c:v>3.092003479627399E-2</c:v>
                </c:pt>
                <c:pt idx="5">
                  <c:v>3.7014639029069527E-2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D7-4A08-9D06-9A1A7E526646}"/>
            </c:ext>
          </c:extLst>
        </c:ser>
        <c:ser>
          <c:idx val="1"/>
          <c:order val="1"/>
          <c:tx>
            <c:strRef>
              <c:f>'19 wpływ COVID-19'!$B$5</c:f>
              <c:strCache>
                <c:ptCount val="1"/>
                <c:pt idx="0">
                  <c:v>zmniejszył się nieznacznie</c:v>
                </c:pt>
              </c:strCache>
            </c:strRef>
          </c:tx>
          <c:spPr>
            <a:solidFill>
              <a:srgbClr val="6677AD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lIns="0" rIns="0" bIns="324000"/>
              <a:lstStyle/>
              <a:p>
                <a:pPr>
                  <a:defRPr sz="750"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'19 wpływ COVID-19'!$C$3:$H$3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'19 wpływ COVID-19'!$C$5:$H$5</c:f>
              <c:numCache>
                <c:formatCode>0.0%</c:formatCode>
                <c:ptCount val="6"/>
                <c:pt idx="0">
                  <c:v>0.15689237179759055</c:v>
                </c:pt>
                <c:pt idx="1">
                  <c:v>0.20032468965624334</c:v>
                </c:pt>
                <c:pt idx="2">
                  <c:v>0.22283832957892913</c:v>
                </c:pt>
                <c:pt idx="3">
                  <c:v>0.30478010491575963</c:v>
                </c:pt>
                <c:pt idx="4">
                  <c:v>4.8933380671137866E-2</c:v>
                </c:pt>
                <c:pt idx="5">
                  <c:v>5.7945682794496238E-2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D7-4A08-9D06-9A1A7E526646}"/>
            </c:ext>
          </c:extLst>
        </c:ser>
        <c:ser>
          <c:idx val="2"/>
          <c:order val="2"/>
          <c:tx>
            <c:strRef>
              <c:f>'19 wpływ COVID-19'!$B$6</c:f>
              <c:strCache>
                <c:ptCount val="1"/>
                <c:pt idx="0">
                  <c:v>pozostał na takim samym lub zbliżonym poziomie                                         </c:v>
                </c:pt>
              </c:strCache>
            </c:strRef>
          </c:tx>
          <c:spPr>
            <a:solidFill>
              <a:srgbClr val="99A4C8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'19 wpływ COVID-19'!$C$3:$H$3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'19 wpływ COVID-19'!$C$6:$H$6</c:f>
              <c:numCache>
                <c:formatCode>0.0%</c:formatCode>
                <c:ptCount val="6"/>
                <c:pt idx="0">
                  <c:v>0.74819031105294986</c:v>
                </c:pt>
                <c:pt idx="1">
                  <c:v>0.69459251173516867</c:v>
                </c:pt>
                <c:pt idx="2">
                  <c:v>0.6903710932156244</c:v>
                </c:pt>
                <c:pt idx="3">
                  <c:v>0.46938483143086562</c:v>
                </c:pt>
                <c:pt idx="4">
                  <c:v>0.91191857034518919</c:v>
                </c:pt>
                <c:pt idx="5">
                  <c:v>0.89947752960223248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D7-4A08-9D06-9A1A7E526646}"/>
            </c:ext>
          </c:extLst>
        </c:ser>
        <c:ser>
          <c:idx val="3"/>
          <c:order val="3"/>
          <c:tx>
            <c:strRef>
              <c:f>'19 wpływ COVID-19'!$B$7</c:f>
              <c:strCache>
                <c:ptCount val="1"/>
                <c:pt idx="0">
                  <c:v>zwiększył się znacznie lub nieznacznie</c:v>
                </c:pt>
              </c:strCache>
            </c:strRef>
          </c:tx>
          <c:spPr>
            <a:solidFill>
              <a:srgbClr val="CCD1E3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'19 wpływ COVID-19'!$C$3:$H$3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'19 wpływ COVID-19'!$C$7:$H$7</c:f>
              <c:numCache>
                <c:formatCode>0.0%</c:formatCode>
                <c:ptCount val="6"/>
                <c:pt idx="0">
                  <c:v>1.2979994204835804E-2</c:v>
                </c:pt>
                <c:pt idx="1">
                  <c:v>1.5761150800674455E-2</c:v>
                </c:pt>
                <c:pt idx="2">
                  <c:v>1.451677625878941E-2</c:v>
                </c:pt>
                <c:pt idx="3">
                  <c:v>1.7513963417438088E-2</c:v>
                </c:pt>
                <c:pt idx="4">
                  <c:v>8.2280141873989493E-3</c:v>
                </c:pt>
                <c:pt idx="5">
                  <c:v>5.5621485742017923E-3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D7-4A08-9D06-9A1A7E52664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-312594608"/>
        <c:axId val="-312595152"/>
      </c:barChart>
      <c:catAx>
        <c:axId val="-312594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ysClr val="windowText" lastClr="000000"/>
            </a:solidFill>
          </a:ln>
        </c:spPr>
        <c:txPr>
          <a:bodyPr rot="0" vert="horz" anchor="t" anchorCtr="0"/>
          <a:lstStyle/>
          <a:p>
            <a:pPr>
              <a:defRPr sz="900" spc="-20" baseline="0"/>
            </a:pPr>
            <a:endParaRPr lang="pl-PL"/>
          </a:p>
        </c:txPr>
        <c:crossAx val="-312595152"/>
        <c:crosses val="autoZero"/>
        <c:auto val="0"/>
        <c:lblAlgn val="ctr"/>
        <c:lblOffset val="100"/>
        <c:noMultiLvlLbl val="0"/>
      </c:catAx>
      <c:valAx>
        <c:axId val="-312595152"/>
        <c:scaling>
          <c:orientation val="minMax"/>
          <c:max val="1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crossAx val="-312594608"/>
        <c:crosses val="autoZero"/>
        <c:crossBetween val="between"/>
        <c:majorUnit val="0.2"/>
        <c:minorUnit val="2.0000000000000011E-2"/>
      </c:valAx>
    </c:plotArea>
    <c:legend>
      <c:legendPos val="t"/>
      <c:layout>
        <c:manualLayout>
          <c:xMode val="edge"/>
          <c:yMode val="edge"/>
          <c:x val="0.20824399372739608"/>
          <c:y val="0.11940770634868414"/>
          <c:w val="0.75254029698020886"/>
          <c:h val="0.14791208202038814"/>
        </c:manualLayout>
      </c:layout>
      <c:overlay val="0"/>
      <c:spPr>
        <a:noFill/>
        <a:ln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8914745031871022E-2"/>
          <c:y val="0.29938460880992446"/>
          <c:w val="0.9200892857142855"/>
          <c:h val="0.53266570159070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'4 dochody,wydatki gr. społ-ek.'!$B$4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A89-4CFC-B1BE-7DB8FAAE9229}"/>
              </c:ext>
            </c:extLst>
          </c:dPt>
          <c:dLbls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 dochody,wydatki gr. społ-ek.'!$C$3:$H$3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'4 dochody,wydatki gr. społ-ek.'!$C$4:$H$4</c:f>
              <c:numCache>
                <c:formatCode>0.00</c:formatCode>
                <c:ptCount val="6"/>
                <c:pt idx="0">
                  <c:v>1919.21</c:v>
                </c:pt>
                <c:pt idx="1">
                  <c:v>1934.49</c:v>
                </c:pt>
                <c:pt idx="2">
                  <c:v>1853.57</c:v>
                </c:pt>
                <c:pt idx="3">
                  <c:v>2238.17</c:v>
                </c:pt>
                <c:pt idx="4">
                  <c:v>1940.87</c:v>
                </c:pt>
                <c:pt idx="5">
                  <c:v>1522.09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89-4CFC-B1BE-7DB8FAAE9229}"/>
            </c:ext>
          </c:extLst>
        </c:ser>
        <c:ser>
          <c:idx val="1"/>
          <c:order val="1"/>
          <c:tx>
            <c:strRef>
              <c:f>'4 dochody,wydatki gr. społ-ek.'!$B$5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66B68E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4-1A89-4CFC-B1BE-7DB8FAAE9229}"/>
              </c:ext>
            </c:extLst>
          </c:dPt>
          <c:dLbls>
            <c:numFmt formatCode="0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 dochody,wydatki gr. społ-ek.'!$C$3:$H$3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'4 dochody,wydatki gr. społ-ek.'!$C$5:$H$5</c:f>
              <c:numCache>
                <c:formatCode>0.00</c:formatCode>
                <c:ptCount val="6"/>
                <c:pt idx="0">
                  <c:v>1209.58</c:v>
                </c:pt>
                <c:pt idx="1">
                  <c:v>1186.3799999999999</c:v>
                </c:pt>
                <c:pt idx="2">
                  <c:v>839.55</c:v>
                </c:pt>
                <c:pt idx="3">
                  <c:v>1412.3799999999999</c:v>
                </c:pt>
                <c:pt idx="4">
                  <c:v>1335.94</c:v>
                </c:pt>
                <c:pt idx="5">
                  <c:v>1199.6699999999998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A89-4CFC-B1BE-7DB8FAAE9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-188968016"/>
        <c:axId val="-188962032"/>
      </c:barChart>
      <c:barChart>
        <c:barDir val="col"/>
        <c:grouping val="clustered"/>
        <c:varyColors val="0"/>
        <c:ser>
          <c:idx val="2"/>
          <c:order val="2"/>
          <c:tx>
            <c:strRef>
              <c:f>'4 dochody,wydatki gr. społ-ek.'!$B$6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7-1A89-4CFC-B1BE-7DB8FAAE9229}"/>
              </c:ext>
            </c:extLst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9-1A89-4CFC-B1BE-7DB8FAAE9229}"/>
              </c:ext>
            </c:extLst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B-1A89-4CFC-B1BE-7DB8FAAE9229}"/>
              </c:ext>
            </c:extLst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D-1A89-4CFC-B1BE-7DB8FAAE9229}"/>
              </c:ext>
            </c:extLst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F-1A89-4CFC-B1BE-7DB8FAAE9229}"/>
              </c:ext>
            </c:extLst>
          </c:dPt>
          <c:dPt>
            <c:idx val="5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11-1A89-4CFC-B1BE-7DB8FAAE9229}"/>
              </c:ext>
            </c:extLst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 dochody,wydatki gr. społ-ek.'!$C$3:$H$3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'4 dochody,wydatki gr. społ-ek.'!$C$6:$H$6</c:f>
              <c:numCache>
                <c:formatCode>0.0%</c:formatCode>
                <c:ptCount val="6"/>
                <c:pt idx="0">
                  <c:v>0.63024890449716353</c:v>
                </c:pt>
                <c:pt idx="1">
                  <c:v>0.61327791821100164</c:v>
                </c:pt>
                <c:pt idx="2">
                  <c:v>0.45293676526918375</c:v>
                </c:pt>
                <c:pt idx="3">
                  <c:v>0.63104232475638578</c:v>
                </c:pt>
                <c:pt idx="4">
                  <c:v>0.68832018630820202</c:v>
                </c:pt>
                <c:pt idx="5">
                  <c:v>0.78817284129059395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A89-4CFC-B1BE-7DB8FAAE9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overlap val="-100"/>
        <c:axId val="-188961488"/>
        <c:axId val="-188963120"/>
      </c:barChart>
      <c:catAx>
        <c:axId val="-18896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88962032"/>
        <c:crosses val="autoZero"/>
        <c:auto val="1"/>
        <c:lblAlgn val="ctr"/>
        <c:lblOffset val="100"/>
        <c:noMultiLvlLbl val="0"/>
      </c:catAx>
      <c:valAx>
        <c:axId val="-188962032"/>
        <c:scaling>
          <c:orientation val="minMax"/>
          <c:max val="24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88968016"/>
        <c:crosses val="autoZero"/>
        <c:crossBetween val="between"/>
        <c:majorUnit val="400"/>
      </c:valAx>
      <c:valAx>
        <c:axId val="-188963120"/>
        <c:scaling>
          <c:orientation val="minMax"/>
          <c:max val="1"/>
          <c:min val="0.60000000000000064"/>
        </c:scaling>
        <c:delete val="1"/>
        <c:axPos val="r"/>
        <c:numFmt formatCode="0.0%" sourceLinked="1"/>
        <c:majorTickMark val="none"/>
        <c:minorTickMark val="none"/>
        <c:tickLblPos val="none"/>
        <c:crossAx val="-188961488"/>
        <c:crosses val="max"/>
        <c:crossBetween val="between"/>
      </c:valAx>
      <c:catAx>
        <c:axId val="-1889614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896312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6.7069741282339709E-2"/>
          <c:y val="0.18859254663948569"/>
          <c:w val="0.92993765184556387"/>
          <c:h val="7.1921429033504805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9725659292588495E-2"/>
          <c:y val="0.26046727236018574"/>
          <c:w val="0.91432281902262158"/>
          <c:h val="0.61831164950535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 wskaź. doch,wyd gosp. ogółem'!$B$5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 wskaź. doch,wyd gosp. ogółem'!$C$4:$G$4</c:f>
              <c:strCache>
                <c:ptCount val="5"/>
                <c:pt idx="0">
                  <c:v>pracownicy</c:v>
                </c:pt>
                <c:pt idx="1">
                  <c:v>rolnicy</c:v>
                </c:pt>
                <c:pt idx="2">
                  <c:v>pracujący na własny rachunek</c:v>
                </c:pt>
                <c:pt idx="3">
                  <c:v>emeryci</c:v>
                </c:pt>
                <c:pt idx="4">
                  <c:v>renciści</c:v>
                </c:pt>
              </c:strCache>
            </c:strRef>
          </c:cat>
          <c:val>
            <c:numRef>
              <c:f>'3 wskaź. doch,wyd gosp. ogółem'!$C$5:$G$5</c:f>
              <c:numCache>
                <c:formatCode>0.0%</c:formatCode>
                <c:ptCount val="5"/>
                <c:pt idx="0">
                  <c:v>1.0079616092037855</c:v>
                </c:pt>
                <c:pt idx="1">
                  <c:v>0.96579842747797351</c:v>
                </c:pt>
                <c:pt idx="2">
                  <c:v>1.1661933816518268</c:v>
                </c:pt>
                <c:pt idx="3">
                  <c:v>1.0112858936750015</c:v>
                </c:pt>
                <c:pt idx="4">
                  <c:v>0.7930815283371806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65-431E-B40E-6290F865FCD9}"/>
            </c:ext>
          </c:extLst>
        </c:ser>
        <c:ser>
          <c:idx val="1"/>
          <c:order val="1"/>
          <c:tx>
            <c:strRef>
              <c:f>'3 wskaź. doch,wyd gosp. ogółem'!$B$6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1"/>
              <c:layout>
                <c:manualLayout>
                  <c:x val="2.4792363951902808E-3"/>
                  <c:y val="1.41794016241893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65-431E-B40E-6290F865FCD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 wskaź. doch,wyd gosp. ogółem'!$C$4:$G$4</c:f>
              <c:strCache>
                <c:ptCount val="5"/>
                <c:pt idx="0">
                  <c:v>pracownicy</c:v>
                </c:pt>
                <c:pt idx="1">
                  <c:v>rolnicy</c:v>
                </c:pt>
                <c:pt idx="2">
                  <c:v>pracujący na własny rachunek</c:v>
                </c:pt>
                <c:pt idx="3">
                  <c:v>emeryci</c:v>
                </c:pt>
                <c:pt idx="4">
                  <c:v>renciści</c:v>
                </c:pt>
              </c:strCache>
            </c:strRef>
          </c:cat>
          <c:val>
            <c:numRef>
              <c:f>'3 wskaź. doch,wyd gosp. ogółem'!$C$6:$G$6</c:f>
              <c:numCache>
                <c:formatCode>0.0%</c:formatCode>
                <c:ptCount val="5"/>
                <c:pt idx="0">
                  <c:v>0.98081978868698239</c:v>
                </c:pt>
                <c:pt idx="1">
                  <c:v>0.69408389688982963</c:v>
                </c:pt>
                <c:pt idx="2">
                  <c:v>1.1676615023396539</c:v>
                </c:pt>
                <c:pt idx="3">
                  <c:v>1.1044660129962467</c:v>
                </c:pt>
                <c:pt idx="4">
                  <c:v>0.99180707352965503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65-431E-B40E-6290F865FC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188960944"/>
        <c:axId val="-188967472"/>
      </c:barChart>
      <c:catAx>
        <c:axId val="-18896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9525">
            <a:solidFill>
              <a:sysClr val="windowText" lastClr="000000"/>
            </a:solidFill>
          </a:ln>
        </c:spPr>
        <c:crossAx val="-188967472"/>
        <c:crossesAt val="1"/>
        <c:auto val="1"/>
        <c:lblAlgn val="ctr"/>
        <c:lblOffset val="100"/>
        <c:noMultiLvlLbl val="0"/>
      </c:catAx>
      <c:valAx>
        <c:axId val="-188967472"/>
        <c:scaling>
          <c:orientation val="minMax"/>
          <c:max val="1.3"/>
          <c:min val="0.60000000000000364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88960944"/>
        <c:crossesAt val="1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900"/>
            </a:pPr>
            <a:endParaRPr lang="pl-PL"/>
          </a:p>
        </c:txPr>
      </c:legendEntry>
      <c:layout>
        <c:manualLayout>
          <c:xMode val="edge"/>
          <c:yMode val="edge"/>
          <c:x val="7.2428650879606774E-2"/>
          <c:y val="0.18014379936195379"/>
          <c:w val="0.899838263987919"/>
          <c:h val="7.0108944074298421E-2"/>
        </c:manualLayout>
      </c:layout>
      <c:overlay val="0"/>
      <c:spPr>
        <a:solidFill>
          <a:sysClr val="window" lastClr="FFFFFF"/>
        </a:solidFill>
        <a:ln w="6350">
          <a:noFill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9898020559930079"/>
          <c:y val="0.14984677356344789"/>
          <c:w val="0.46474757061617267"/>
          <c:h val="0.6769587373794372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4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497-4A04-B382-21BACC7691A8}"/>
              </c:ext>
            </c:extLst>
          </c:dPt>
          <c:dPt>
            <c:idx val="5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497-4A04-B382-21BACC7691A8}"/>
              </c:ext>
            </c:extLst>
          </c:dPt>
          <c:dPt>
            <c:idx val="7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497-4A04-B382-21BACC7691A8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 struktura dochodu'!$B$4:$B$12</c:f>
              <c:strCache>
                <c:ptCount val="9"/>
                <c:pt idx="0">
                  <c:v>Dochody z pracy najemnej</c:v>
                </c:pt>
                <c:pt idx="1">
                  <c:v>Dochody z pracy na własny rachunek</c:v>
                </c:pt>
                <c:pt idx="2">
                  <c:v>Dochody z gospodarstwa rolnego</c:v>
                </c:pt>
                <c:pt idx="3">
                  <c:v>Dochody ze świadczeń z ubezpieczeń społecznych</c:v>
                </c:pt>
                <c:pt idx="4">
                  <c:v>   w tym: z emerytur</c:v>
                </c:pt>
                <c:pt idx="5">
                  <c:v>   z rent</c:v>
                </c:pt>
                <c:pt idx="6">
                  <c:v>Dochody z pozostałych świadczeń społecznych</c:v>
                </c:pt>
                <c:pt idx="7">
                  <c:v>   w tym ze świadczenia wychowawczego</c:v>
                </c:pt>
                <c:pt idx="8">
                  <c:v>Inne dochody*</c:v>
                </c:pt>
              </c:strCache>
            </c:strRef>
          </c:cat>
          <c:val>
            <c:numRef>
              <c:f>'6 struktura dochodu'!$C$4:$C$12</c:f>
              <c:numCache>
                <c:formatCode>0.0%</c:formatCode>
                <c:ptCount val="9"/>
                <c:pt idx="0">
                  <c:v>0.53007747979637454</c:v>
                </c:pt>
                <c:pt idx="1">
                  <c:v>9.0631040897035761E-2</c:v>
                </c:pt>
                <c:pt idx="2">
                  <c:v>3.3117793258684566E-2</c:v>
                </c:pt>
                <c:pt idx="3">
                  <c:v>0.23911922092944493</c:v>
                </c:pt>
                <c:pt idx="4">
                  <c:v>0.20529280276780576</c:v>
                </c:pt>
                <c:pt idx="5">
                  <c:v>2.8991095294417998E-2</c:v>
                </c:pt>
                <c:pt idx="6">
                  <c:v>8.3357214687293207E-2</c:v>
                </c:pt>
                <c:pt idx="7">
                  <c:v>6.1139739788767251E-2</c:v>
                </c:pt>
                <c:pt idx="8">
                  <c:v>2.3702460908394597E-2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97-4A04-B382-21BACC7691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188972368"/>
        <c:axId val="-188970192"/>
      </c:barChart>
      <c:catAx>
        <c:axId val="-18897236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850"/>
            </a:pPr>
            <a:endParaRPr lang="pl-PL"/>
          </a:p>
        </c:txPr>
        <c:crossAx val="-188970192"/>
        <c:crossesAt val="0"/>
        <c:auto val="1"/>
        <c:lblAlgn val="ctr"/>
        <c:lblOffset val="100"/>
        <c:noMultiLvlLbl val="0"/>
      </c:catAx>
      <c:valAx>
        <c:axId val="-188970192"/>
        <c:scaling>
          <c:orientation val="minMax"/>
        </c:scaling>
        <c:delete val="0"/>
        <c:axPos val="b"/>
        <c:majorGridlines>
          <c:spPr>
            <a:ln w="6350"/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88972368"/>
        <c:crosses val="max"/>
        <c:crossBetween val="between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0209387889013906E-2"/>
          <c:y val="0.15788040181108759"/>
          <c:w val="0.8910008599241197"/>
          <c:h val="0.76045861280276073"/>
        </c:manualLayout>
      </c:layout>
      <c:lineChart>
        <c:grouping val="standard"/>
        <c:varyColors val="0"/>
        <c:ser>
          <c:idx val="0"/>
          <c:order val="0"/>
          <c:tx>
            <c:strRef>
              <c:f>'7 Gini_miasto wieś'!$C$3</c:f>
              <c:strCache>
                <c:ptCount val="1"/>
                <c:pt idx="0">
                  <c:v>Polska</c:v>
                </c:pt>
              </c:strCache>
            </c:strRef>
          </c:tx>
          <c:spPr>
            <a:ln w="3175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 w="6350">
                <a:noFill/>
              </a:ln>
              <a:scene3d>
                <a:camera prst="orthographicFront"/>
                <a:lightRig rig="threePt" dir="t"/>
              </a:scene3d>
            </c:spPr>
          </c:marker>
          <c:dLbls>
            <c:dLbl>
              <c:idx val="0"/>
              <c:layout>
                <c:manualLayout>
                  <c:x val="-4.4520946062777095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6C-43E8-BC41-21FC373405FE}"/>
                </c:ext>
              </c:extLst>
            </c:dLbl>
            <c:dLbl>
              <c:idx val="1"/>
              <c:layout>
                <c:manualLayout>
                  <c:x val="-4.4216936794011327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6C-43E8-BC41-21FC373405FE}"/>
                </c:ext>
              </c:extLst>
            </c:dLbl>
            <c:dLbl>
              <c:idx val="2"/>
              <c:layout>
                <c:manualLayout>
                  <c:x val="-5.2215061068277592E-2"/>
                  <c:y val="-4.6068393744000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216339729568006E-2"/>
                      <c:h val="4.9392395139161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946C-43E8-BC41-21FC373405FE}"/>
                </c:ext>
              </c:extLst>
            </c:dLbl>
            <c:dLbl>
              <c:idx val="3"/>
              <c:layout>
                <c:manualLayout>
                  <c:x val="-3.9221103244947264E-2"/>
                  <c:y val="4.1009965813307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6C-43E8-BC41-21FC373405FE}"/>
                </c:ext>
              </c:extLst>
            </c:dLbl>
            <c:dLbl>
              <c:idx val="4"/>
              <c:layout>
                <c:manualLayout>
                  <c:x val="-4.378475909316927E-2"/>
                  <c:y val="4.1009965813307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6C-43E8-BC41-21FC373405FE}"/>
                </c:ext>
              </c:extLst>
            </c:dLbl>
            <c:dLbl>
              <c:idx val="5"/>
              <c:layout>
                <c:manualLayout>
                  <c:x val="-3.6739766328789641E-2"/>
                  <c:y val="4.1009948005084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6C-43E8-BC41-21FC373405FE}"/>
                </c:ext>
              </c:extLst>
            </c:dLbl>
            <c:dLbl>
              <c:idx val="6"/>
              <c:layout>
                <c:manualLayout>
                  <c:x val="-4.4155001743754967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6C-43E8-BC41-21FC373405FE}"/>
                </c:ext>
              </c:extLst>
            </c:dLbl>
            <c:dLbl>
              <c:idx val="7"/>
              <c:layout>
                <c:manualLayout>
                  <c:x val="-4.4384571724988879E-2"/>
                  <c:y val="-5.0769237602697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6C-43E8-BC41-21FC373405FE}"/>
                </c:ext>
              </c:extLst>
            </c:dLbl>
            <c:dLbl>
              <c:idx val="8"/>
              <c:layout>
                <c:manualLayout>
                  <c:x val="-5.2504565601668704E-2"/>
                  <c:y val="3.7223321408618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6C-43E8-BC41-21FC373405FE}"/>
                </c:ext>
              </c:extLst>
            </c:dLbl>
            <c:dLbl>
              <c:idx val="9"/>
              <c:layout>
                <c:manualLayout>
                  <c:x val="-5.548706746353619E-2"/>
                  <c:y val="6.1905629103300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46C-43E8-BC41-21FC373405FE}"/>
                </c:ext>
              </c:extLst>
            </c:dLbl>
            <c:dLbl>
              <c:idx val="10"/>
              <c:layout>
                <c:manualLayout>
                  <c:x val="-7.7901788985134612E-2"/>
                  <c:y val="2.3844070777854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46C-43E8-BC41-21FC373405FE}"/>
                </c:ext>
              </c:extLst>
            </c:dLbl>
            <c:dLbl>
              <c:idx val="11"/>
              <c:layout>
                <c:manualLayout>
                  <c:x val="-7.2939169816334304E-2"/>
                  <c:y val="3.1950640278705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46C-43E8-BC41-21FC373405FE}"/>
                </c:ext>
              </c:extLst>
            </c:dLbl>
            <c:dLbl>
              <c:idx val="12"/>
              <c:layout>
                <c:manualLayout>
                  <c:x val="-5.4232674040744992E-2"/>
                  <c:y val="4.1747451332891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46C-43E8-BC41-21FC373405FE}"/>
                </c:ext>
              </c:extLst>
            </c:dLbl>
            <c:dLbl>
              <c:idx val="13"/>
              <c:layout>
                <c:manualLayout>
                  <c:x val="-5.0416384886203043E-2"/>
                  <c:y val="3.9098643604562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46C-43E8-BC41-21FC373405FE}"/>
                </c:ext>
              </c:extLst>
            </c:dLbl>
            <c:dLbl>
              <c:idx val="14"/>
              <c:layout>
                <c:manualLayout>
                  <c:x val="-4.45614631218538E-2"/>
                  <c:y val="3.730742814706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46C-43E8-BC41-21FC373405FE}"/>
                </c:ext>
              </c:extLst>
            </c:dLbl>
            <c:dLbl>
              <c:idx val="15"/>
              <c:layout>
                <c:manualLayout>
                  <c:x val="-4.968389735961324E-2"/>
                  <c:y val="-5.4067418366118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46C-43E8-BC41-21FC373405FE}"/>
                </c:ext>
              </c:extLst>
            </c:dLbl>
            <c:dLbl>
              <c:idx val="16"/>
              <c:layout>
                <c:manualLayout>
                  <c:x val="-1.3866740067681384E-2"/>
                  <c:y val="-3.84163073304586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32-4100-B724-4A03FE905E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chemeClr val="tx1"/>
                    </a:solidFill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'7 Gini_miasto wieś'!$B$5:$B$21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'7 Gini_miasto wieś'!$C$5:$C$21</c:f>
              <c:numCache>
                <c:formatCode>0.000</c:formatCode>
                <c:ptCount val="17"/>
                <c:pt idx="0">
                  <c:v>0.34445999999999999</c:v>
                </c:pt>
                <c:pt idx="1">
                  <c:v>0.34506999999999999</c:v>
                </c:pt>
                <c:pt idx="2">
                  <c:v>0.34034999999999999</c:v>
                </c:pt>
                <c:pt idx="3">
                  <c:v>0.33966000000000002</c:v>
                </c:pt>
                <c:pt idx="4">
                  <c:v>0.33850000000000002</c:v>
                </c:pt>
                <c:pt idx="5">
                  <c:v>0.33550492073581195</c:v>
                </c:pt>
                <c:pt idx="6">
                  <c:v>0.34236787688915998</c:v>
                </c:pt>
                <c:pt idx="7">
                  <c:v>0.33760000000000001</c:v>
                </c:pt>
                <c:pt idx="8">
                  <c:v>0.33800000000000002</c:v>
                </c:pt>
                <c:pt idx="9">
                  <c:v>0.33760000000000001</c:v>
                </c:pt>
                <c:pt idx="10">
                  <c:v>0.32600000000000001</c:v>
                </c:pt>
                <c:pt idx="11">
                  <c:v>0.3221</c:v>
                </c:pt>
                <c:pt idx="12">
                  <c:v>0.30442534851211001</c:v>
                </c:pt>
                <c:pt idx="13">
                  <c:v>0.29780000000000001</c:v>
                </c:pt>
                <c:pt idx="14">
                  <c:v>0.29899999999999999</c:v>
                </c:pt>
                <c:pt idx="15">
                  <c:v>0.30099999999999999</c:v>
                </c:pt>
                <c:pt idx="16">
                  <c:v>0.313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946C-43E8-BC41-21FC373405FE}"/>
            </c:ext>
          </c:extLst>
        </c:ser>
        <c:ser>
          <c:idx val="1"/>
          <c:order val="1"/>
          <c:tx>
            <c:strRef>
              <c:f>'7 Gini_miasto wieś'!$D$3</c:f>
              <c:strCache>
                <c:ptCount val="1"/>
                <c:pt idx="0">
                  <c:v>Miasto</c:v>
                </c:pt>
              </c:strCache>
            </c:strRef>
          </c:tx>
          <c:spPr>
            <a:ln w="31750">
              <a:solidFill>
                <a:srgbClr val="334A92"/>
              </a:solidFill>
            </a:ln>
          </c:spPr>
          <c:marker>
            <c:symbol val="circle"/>
            <c:size val="5"/>
            <c:spPr>
              <a:solidFill>
                <a:srgbClr val="334A92"/>
              </a:solidFill>
              <a:ln w="6350">
                <a:noFill/>
              </a:ln>
            </c:spPr>
          </c:marker>
          <c:dLbls>
            <c:dLbl>
              <c:idx val="0"/>
              <c:layout>
                <c:manualLayout>
                  <c:x val="-5.0687009947143209E-2"/>
                  <c:y val="-3.7282178933399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46C-43E8-BC41-21FC373405FE}"/>
                </c:ext>
              </c:extLst>
            </c:dLbl>
            <c:dLbl>
              <c:idx val="1"/>
              <c:layout>
                <c:manualLayout>
                  <c:x val="-5.3821432348732823E-2"/>
                  <c:y val="4.3766036139207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46C-43E8-BC41-21FC373405FE}"/>
                </c:ext>
              </c:extLst>
            </c:dLbl>
            <c:dLbl>
              <c:idx val="2"/>
              <c:layout>
                <c:manualLayout>
                  <c:x val="-5.8979260966030816E-2"/>
                  <c:y val="3.796343066245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46C-43E8-BC41-21FC373405FE}"/>
                </c:ext>
              </c:extLst>
            </c:dLbl>
            <c:dLbl>
              <c:idx val="3"/>
              <c:layout>
                <c:manualLayout>
                  <c:x val="-6.618727905039494E-2"/>
                  <c:y val="3.3911019908823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46C-43E8-BC41-21FC373405FE}"/>
                </c:ext>
              </c:extLst>
            </c:dLbl>
            <c:dLbl>
              <c:idx val="4"/>
              <c:layout>
                <c:manualLayout>
                  <c:x val="-6.3090392300343093E-2"/>
                  <c:y val="3.796343066245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46C-43E8-BC41-21FC373405FE}"/>
                </c:ext>
              </c:extLst>
            </c:dLbl>
            <c:dLbl>
              <c:idx val="5"/>
              <c:layout>
                <c:manualLayout>
                  <c:x val="-5.8070194405350238E-2"/>
                  <c:y val="3.796343066245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46C-43E8-BC41-21FC373405FE}"/>
                </c:ext>
              </c:extLst>
            </c:dLbl>
            <c:dLbl>
              <c:idx val="6"/>
              <c:layout>
                <c:manualLayout>
                  <c:x val="-3.8863560210344719E-2"/>
                  <c:y val="5.5470092936280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46C-43E8-BC41-21FC373405FE}"/>
                </c:ext>
              </c:extLst>
            </c:dLbl>
            <c:dLbl>
              <c:idx val="7"/>
              <c:layout>
                <c:manualLayout>
                  <c:x val="-5.754528177837661E-2"/>
                  <c:y val="4.2658802649829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46C-43E8-BC41-21FC373405FE}"/>
                </c:ext>
              </c:extLst>
            </c:dLbl>
            <c:dLbl>
              <c:idx val="8"/>
              <c:layout>
                <c:manualLayout>
                  <c:x val="-5.2589289113126388E-2"/>
                  <c:y val="3.8603666309645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46C-43E8-BC41-21FC373405FE}"/>
                </c:ext>
              </c:extLst>
            </c:dLbl>
            <c:dLbl>
              <c:idx val="9"/>
              <c:layout>
                <c:manualLayout>
                  <c:x val="-6.5459048310925E-2"/>
                  <c:y val="3.5690889765812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46C-43E8-BC41-21FC373405FE}"/>
                </c:ext>
              </c:extLst>
            </c:dLbl>
            <c:dLbl>
              <c:idx val="10"/>
              <c:layout>
                <c:manualLayout>
                  <c:x val="-7.9526290154600887E-2"/>
                  <c:y val="3.4559860730854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46C-43E8-BC41-21FC373405FE}"/>
                </c:ext>
              </c:extLst>
            </c:dLbl>
            <c:dLbl>
              <c:idx val="11"/>
              <c:layout>
                <c:manualLayout>
                  <c:x val="-7.1750179907204836E-2"/>
                  <c:y val="3.796343066245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46C-43E8-BC41-21FC373405FE}"/>
                </c:ext>
              </c:extLst>
            </c:dLbl>
            <c:dLbl>
              <c:idx val="12"/>
              <c:layout>
                <c:manualLayout>
                  <c:x val="-8.2087973170595893E-2"/>
                  <c:y val="1.78632502676156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46C-43E8-BC41-21FC373405FE}"/>
                </c:ext>
              </c:extLst>
            </c:dLbl>
            <c:dLbl>
              <c:idx val="13"/>
              <c:layout>
                <c:manualLayout>
                  <c:x val="-4.7915635684996329E-2"/>
                  <c:y val="-5.5656420054510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46C-43E8-BC41-21FC373405FE}"/>
                </c:ext>
              </c:extLst>
            </c:dLbl>
            <c:dLbl>
              <c:idx val="14"/>
              <c:layout>
                <c:manualLayout>
                  <c:x val="-4.7145510678773928E-2"/>
                  <c:y val="-3.7437842809829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46C-43E8-BC41-21FC373405FE}"/>
                </c:ext>
              </c:extLst>
            </c:dLbl>
            <c:dLbl>
              <c:idx val="15"/>
              <c:layout>
                <c:manualLayout>
                  <c:x val="-1.3819302709883465E-3"/>
                  <c:y val="-7.580785055730702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46C-43E8-BC41-21FC373405FE}"/>
                </c:ext>
              </c:extLst>
            </c:dLbl>
            <c:dLbl>
              <c:idx val="16"/>
              <c:layout>
                <c:manualLayout>
                  <c:x val="-8.8159303627396144E-4"/>
                  <c:y val="3.44962759702076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anchorCtr="0"/>
                <a:lstStyle/>
                <a:p>
                  <a:pPr algn="r">
                    <a:defRPr sz="800">
                      <a:solidFill>
                        <a:srgbClr val="334A92"/>
                      </a:solidFill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32-4100-B724-4A03FE905E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rgbClr val="334A92"/>
                    </a:solidFill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'7 Gini_miasto wieś'!$B$5:$B$21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'7 Gini_miasto wieś'!$D$5:$D$21</c:f>
              <c:numCache>
                <c:formatCode>0.000</c:formatCode>
                <c:ptCount val="17"/>
                <c:pt idx="0">
                  <c:v>0.33101000000000003</c:v>
                </c:pt>
                <c:pt idx="1">
                  <c:v>0.33252999999999999</c:v>
                </c:pt>
                <c:pt idx="2">
                  <c:v>0.32873999999999998</c:v>
                </c:pt>
                <c:pt idx="3">
                  <c:v>0.32499</c:v>
                </c:pt>
                <c:pt idx="4">
                  <c:v>0.31542999999999999</c:v>
                </c:pt>
                <c:pt idx="5">
                  <c:v>0.312</c:v>
                </c:pt>
                <c:pt idx="6">
                  <c:v>0.32297183540666002</c:v>
                </c:pt>
                <c:pt idx="7">
                  <c:v>0.31740000000000002</c:v>
                </c:pt>
                <c:pt idx="8">
                  <c:v>0.317</c:v>
                </c:pt>
                <c:pt idx="9">
                  <c:v>0.31240000000000001</c:v>
                </c:pt>
                <c:pt idx="10">
                  <c:v>0.30640000000000001</c:v>
                </c:pt>
                <c:pt idx="11">
                  <c:v>0.30309999999999998</c:v>
                </c:pt>
                <c:pt idx="12">
                  <c:v>0.28795411590439002</c:v>
                </c:pt>
                <c:pt idx="13">
                  <c:v>0.28089999999999998</c:v>
                </c:pt>
                <c:pt idx="14">
                  <c:v>0.28299999999999997</c:v>
                </c:pt>
                <c:pt idx="15">
                  <c:v>0.28799999999999998</c:v>
                </c:pt>
                <c:pt idx="16">
                  <c:v>0.30099999999999999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946C-43E8-BC41-21FC373405FE}"/>
            </c:ext>
          </c:extLst>
        </c:ser>
        <c:ser>
          <c:idx val="2"/>
          <c:order val="2"/>
          <c:tx>
            <c:strRef>
              <c:f>'7 Gini_miasto wieś'!$E$3</c:f>
              <c:strCache>
                <c:ptCount val="1"/>
                <c:pt idx="0">
                  <c:v>Wieś</c:v>
                </c:pt>
              </c:strCache>
            </c:strRef>
          </c:tx>
          <c:spPr>
            <a:ln w="31750">
              <a:solidFill>
                <a:srgbClr val="66B68E"/>
              </a:solidFill>
            </a:ln>
          </c:spPr>
          <c:marker>
            <c:symbol val="circle"/>
            <c:size val="5"/>
            <c:spPr>
              <a:solidFill>
                <a:srgbClr val="66B68E"/>
              </a:solidFill>
              <a:ln w="6350">
                <a:noFill/>
              </a:ln>
            </c:spPr>
          </c:marker>
          <c:dLbls>
            <c:dLbl>
              <c:idx val="0"/>
              <c:layout>
                <c:manualLayout>
                  <c:x val="-5.6879734585054888E-2"/>
                  <c:y val="3.7282276210965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46C-43E8-BC41-21FC373405FE}"/>
                </c:ext>
              </c:extLst>
            </c:dLbl>
            <c:dLbl>
              <c:idx val="1"/>
              <c:layout>
                <c:manualLayout>
                  <c:x val="-4.4204627935443053E-2"/>
                  <c:y val="-4.1367526935530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46C-43E8-BC41-21FC373405FE}"/>
                </c:ext>
              </c:extLst>
            </c:dLbl>
            <c:dLbl>
              <c:idx val="2"/>
              <c:layout>
                <c:manualLayout>
                  <c:x val="-5.0656032854883501E-2"/>
                  <c:y val="-5.0769237602697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46C-43E8-BC41-21FC373405FE}"/>
                </c:ext>
              </c:extLst>
            </c:dLbl>
            <c:dLbl>
              <c:idx val="3"/>
              <c:layout>
                <c:manualLayout>
                  <c:x val="-4.3540926466292776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946C-43E8-BC41-21FC373405FE}"/>
                </c:ext>
              </c:extLst>
            </c:dLbl>
            <c:dLbl>
              <c:idx val="4"/>
              <c:layout>
                <c:manualLayout>
                  <c:x val="-3.6754386735499682E-2"/>
                  <c:y val="-4.2015945576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946C-43E8-BC41-21FC373405FE}"/>
                </c:ext>
              </c:extLst>
            </c:dLbl>
            <c:dLbl>
              <c:idx val="5"/>
              <c:layout>
                <c:manualLayout>
                  <c:x val="-4.1903262140588683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946C-43E8-BC41-21FC373405FE}"/>
                </c:ext>
              </c:extLst>
            </c:dLbl>
            <c:dLbl>
              <c:idx val="6"/>
              <c:layout>
                <c:manualLayout>
                  <c:x val="-4.4123936529273114E-2"/>
                  <c:y val="4.32478690689640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946C-43E8-BC41-21FC373405FE}"/>
                </c:ext>
              </c:extLst>
            </c:dLbl>
            <c:dLbl>
              <c:idx val="7"/>
              <c:layout>
                <c:manualLayout>
                  <c:x val="-5.0755239827078143E-2"/>
                  <c:y val="4.7167854508190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946C-43E8-BC41-21FC373405FE}"/>
                </c:ext>
              </c:extLst>
            </c:dLbl>
            <c:dLbl>
              <c:idx val="8"/>
              <c:layout>
                <c:manualLayout>
                  <c:x val="-5.6601612038934671E-2"/>
                  <c:y val="-4.606825216971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946C-43E8-BC41-21FC373405FE}"/>
                </c:ext>
              </c:extLst>
            </c:dLbl>
            <c:dLbl>
              <c:idx val="9"/>
              <c:layout>
                <c:manualLayout>
                  <c:x val="-4.3851220407195364E-2"/>
                  <c:y val="-4.2015841416084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946C-43E8-BC41-21FC373405FE}"/>
                </c:ext>
              </c:extLst>
            </c:dLbl>
            <c:dLbl>
              <c:idx val="10"/>
              <c:layout>
                <c:manualLayout>
                  <c:x val="-9.3438357565007648E-3"/>
                  <c:y val="-3.1965862747081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946C-43E8-BC41-21FC373405FE}"/>
                </c:ext>
              </c:extLst>
            </c:dLbl>
            <c:dLbl>
              <c:idx val="11"/>
              <c:layout>
                <c:manualLayout>
                  <c:x val="-1.1569154781942721E-2"/>
                  <c:y val="-2.7264960934781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946C-43E8-BC41-21FC373405FE}"/>
                </c:ext>
              </c:extLst>
            </c:dLbl>
            <c:dLbl>
              <c:idx val="12"/>
              <c:layout>
                <c:manualLayout>
                  <c:x val="-2.2145838909104511E-2"/>
                  <c:y val="-4.2664546224126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946C-43E8-BC41-21FC373405FE}"/>
                </c:ext>
              </c:extLst>
            </c:dLbl>
            <c:dLbl>
              <c:idx val="13"/>
              <c:layout>
                <c:manualLayout>
                  <c:x val="-3.4796953240405437E-2"/>
                  <c:y val="-3.809941184108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946C-43E8-BC41-21FC373405FE}"/>
                </c:ext>
              </c:extLst>
            </c:dLbl>
            <c:dLbl>
              <c:idx val="14"/>
              <c:layout>
                <c:manualLayout>
                  <c:x val="-3.8908784598280739E-2"/>
                  <c:y val="-3.19007213475030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946C-43E8-BC41-21FC373405FE}"/>
                </c:ext>
              </c:extLst>
            </c:dLbl>
            <c:dLbl>
              <c:idx val="15"/>
              <c:layout>
                <c:manualLayout>
                  <c:x val="-4.6397445020004702E-2"/>
                  <c:y val="3.2117403395920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946C-43E8-BC41-21FC373405FE}"/>
                </c:ext>
              </c:extLst>
            </c:dLbl>
            <c:dLbl>
              <c:idx val="16"/>
              <c:layout>
                <c:manualLayout>
                  <c:x val="-8.8159303627396144E-4"/>
                  <c:y val="3.60642885143079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946C-43E8-BC41-21FC373405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rgbClr val="339D68"/>
                    </a:solidFill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'7 Gini_miasto wieś'!$B$5:$B$21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'7 Gini_miasto wieś'!$E$5:$E$21</c:f>
              <c:numCache>
                <c:formatCode>0.000</c:formatCode>
                <c:ptCount val="17"/>
                <c:pt idx="0">
                  <c:v>0.32976</c:v>
                </c:pt>
                <c:pt idx="1">
                  <c:v>0.33587</c:v>
                </c:pt>
                <c:pt idx="2">
                  <c:v>0.3306</c:v>
                </c:pt>
                <c:pt idx="3">
                  <c:v>0.34109</c:v>
                </c:pt>
                <c:pt idx="4">
                  <c:v>0.34266000000000002</c:v>
                </c:pt>
                <c:pt idx="5">
                  <c:v>0.33800000000000002</c:v>
                </c:pt>
                <c:pt idx="6">
                  <c:v>0.33903730599697002</c:v>
                </c:pt>
                <c:pt idx="7">
                  <c:v>0.33679999999999999</c:v>
                </c:pt>
                <c:pt idx="8">
                  <c:v>0.34300000000000003</c:v>
                </c:pt>
                <c:pt idx="9">
                  <c:v>0.35239999999999999</c:v>
                </c:pt>
                <c:pt idx="10">
                  <c:v>0.32850000000000001</c:v>
                </c:pt>
                <c:pt idx="11">
                  <c:v>0.3226</c:v>
                </c:pt>
                <c:pt idx="12">
                  <c:v>0.30451602001431999</c:v>
                </c:pt>
                <c:pt idx="13">
                  <c:v>0.30159999999999998</c:v>
                </c:pt>
                <c:pt idx="14">
                  <c:v>0.3</c:v>
                </c:pt>
                <c:pt idx="15">
                  <c:v>0.29799999999999999</c:v>
                </c:pt>
                <c:pt idx="16">
                  <c:v>0.31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2-946C-43E8-BC41-21FC373405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9666544"/>
        <c:axId val="-189663280"/>
      </c:lineChart>
      <c:catAx>
        <c:axId val="-189666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pc="-30" baseline="0"/>
            </a:pPr>
            <a:endParaRPr lang="pl-PL"/>
          </a:p>
        </c:txPr>
        <c:crossAx val="-189663280"/>
        <c:crosses val="autoZero"/>
        <c:auto val="1"/>
        <c:lblAlgn val="ctr"/>
        <c:lblOffset val="100"/>
        <c:noMultiLvlLbl val="0"/>
      </c:catAx>
      <c:valAx>
        <c:axId val="-189663280"/>
        <c:scaling>
          <c:orientation val="minMax"/>
          <c:max val="0.36000000000000032"/>
          <c:min val="0.28000000000000008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.00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89666544"/>
        <c:crosses val="autoZero"/>
        <c:crossBetween val="between"/>
        <c:majorUnit val="2.0000000000000011E-2"/>
        <c:minorUnit val="2.0000000000000011E-2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5627628330845326E-2"/>
          <c:y val="0.73835118237957575"/>
          <c:w val="0.25434418353955784"/>
          <c:h val="0.14980908537819373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7580224346956667E-2"/>
          <c:y val="0.29597625598005189"/>
          <c:w val="0.92218492219722537"/>
          <c:h val="0.61101400912698389"/>
        </c:manualLayout>
      </c:layout>
      <c:lineChart>
        <c:grouping val="standard"/>
        <c:varyColors val="0"/>
        <c:ser>
          <c:idx val="1"/>
          <c:order val="1"/>
          <c:tx>
            <c:strRef>
              <c:f>'9 wyd. mieszkanie żywność'!$D$4</c:f>
              <c:strCache>
                <c:ptCount val="1"/>
                <c:pt idx="0">
                  <c:v> Żywność i napoje bezalkoholowe</c:v>
                </c:pt>
              </c:strCache>
            </c:strRef>
          </c:tx>
          <c:spPr>
            <a:ln w="31750">
              <a:solidFill>
                <a:srgbClr val="66B68E"/>
              </a:solidFill>
            </a:ln>
          </c:spPr>
          <c:marker>
            <c:symbol val="circle"/>
            <c:size val="5"/>
            <c:spPr>
              <a:solidFill>
                <a:srgbClr val="66B68E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marker>
          <c:dLbls>
            <c:dLbl>
              <c:idx val="16"/>
              <c:layout>
                <c:manualLayout>
                  <c:x val="-4.9377799511767942E-3"/>
                  <c:y val="-4.2682926829268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A7-4031-9FA4-58C98835DC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'9 wyd. mieszkanie żywność'!$B$6:$B$22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'9 wyd. mieszkanie żywność'!$D$6:$D$22</c:f>
              <c:numCache>
                <c:formatCode>0.0%</c:formatCode>
                <c:ptCount val="17"/>
                <c:pt idx="0">
                  <c:v>0.27795508947908382</c:v>
                </c:pt>
                <c:pt idx="1">
                  <c:v>0.27864310426506267</c:v>
                </c:pt>
                <c:pt idx="2">
                  <c:v>0.26895285240927785</c:v>
                </c:pt>
                <c:pt idx="3">
                  <c:v>0.26437866052393005</c:v>
                </c:pt>
                <c:pt idx="4">
                  <c:v>0.2537880451491063</c:v>
                </c:pt>
                <c:pt idx="5">
                  <c:v>0.24905856112868927</c:v>
                </c:pt>
                <c:pt idx="6">
                  <c:v>0.24643045481229461</c:v>
                </c:pt>
                <c:pt idx="7">
                  <c:v>0.24880070838482421</c:v>
                </c:pt>
                <c:pt idx="8">
                  <c:v>0.2491713176757232</c:v>
                </c:pt>
                <c:pt idx="9">
                  <c:v>0.24899689177733872</c:v>
                </c:pt>
                <c:pt idx="10">
                  <c:v>0.24411813782746583</c:v>
                </c:pt>
                <c:pt idx="11">
                  <c:v>0.24039809748989657</c:v>
                </c:pt>
                <c:pt idx="12">
                  <c:v>0.24167579795694738</c:v>
                </c:pt>
                <c:pt idx="13">
                  <c:v>0.24348033048859297</c:v>
                </c:pt>
                <c:pt idx="14">
                  <c:v>0.24815900780209987</c:v>
                </c:pt>
                <c:pt idx="15">
                  <c:v>0.25113243271312458</c:v>
                </c:pt>
                <c:pt idx="16">
                  <c:v>0.27679029084475631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A9-4F57-AA33-AD2BB16BF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9660560"/>
        <c:axId val="-189662736"/>
      </c:lineChart>
      <c:lineChart>
        <c:grouping val="standard"/>
        <c:varyColors val="0"/>
        <c:ser>
          <c:idx val="0"/>
          <c:order val="0"/>
          <c:tx>
            <c:strRef>
              <c:f>'9 wyd. mieszkanie żywność'!$C$4</c:f>
              <c:strCache>
                <c:ptCount val="1"/>
                <c:pt idx="0">
                  <c:v> Mieszkanie lub dom i nośniki energii </c:v>
                </c:pt>
              </c:strCache>
            </c:strRef>
          </c:tx>
          <c:spPr>
            <a:ln w="31750">
              <a:solidFill>
                <a:srgbClr val="334A92"/>
              </a:solidFill>
            </a:ln>
          </c:spPr>
          <c:marker>
            <c:symbol val="circle"/>
            <c:size val="5"/>
            <c:spPr>
              <a:solidFill>
                <a:srgbClr val="334A9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'9 wyd. mieszkanie żywność'!$B$6:$B$22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'9 wyd. mieszkanie żywność'!$C$6:$C$22</c:f>
              <c:numCache>
                <c:formatCode>0.0%</c:formatCode>
                <c:ptCount val="17"/>
                <c:pt idx="0">
                  <c:v>0.20058702838253734</c:v>
                </c:pt>
                <c:pt idx="1">
                  <c:v>0.19471999310928972</c:v>
                </c:pt>
                <c:pt idx="2">
                  <c:v>0.19553674797397103</c:v>
                </c:pt>
                <c:pt idx="3">
                  <c:v>0.18273825569142593</c:v>
                </c:pt>
                <c:pt idx="4">
                  <c:v>0.18753568448328886</c:v>
                </c:pt>
                <c:pt idx="5">
                  <c:v>0.19506198454276702</c:v>
                </c:pt>
                <c:pt idx="6">
                  <c:v>0.20052137747131923</c:v>
                </c:pt>
                <c:pt idx="7">
                  <c:v>0.20621977444560141</c:v>
                </c:pt>
                <c:pt idx="8">
                  <c:v>0.20187740223437309</c:v>
                </c:pt>
                <c:pt idx="9">
                  <c:v>0.20774230008476996</c:v>
                </c:pt>
                <c:pt idx="10">
                  <c:v>0.20091032130077691</c:v>
                </c:pt>
                <c:pt idx="11">
                  <c:v>0.20113820691172021</c:v>
                </c:pt>
                <c:pt idx="12">
                  <c:v>0.19560107454667561</c:v>
                </c:pt>
                <c:pt idx="13">
                  <c:v>0.19543708136411544</c:v>
                </c:pt>
                <c:pt idx="14">
                  <c:v>0.18320610687022937</c:v>
                </c:pt>
                <c:pt idx="15">
                  <c:v>0.17969530170244413</c:v>
                </c:pt>
                <c:pt idx="16">
                  <c:v>0.18797433820003656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A9-4F57-AA33-AD2BB16BF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09066736"/>
        <c:axId val="-188966384"/>
      </c:lineChart>
      <c:catAx>
        <c:axId val="-189660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pc="-30" baseline="0"/>
            </a:pPr>
            <a:endParaRPr lang="pl-PL"/>
          </a:p>
        </c:txPr>
        <c:crossAx val="-189662736"/>
        <c:crosses val="autoZero"/>
        <c:auto val="1"/>
        <c:lblAlgn val="ctr"/>
        <c:lblOffset val="100"/>
        <c:noMultiLvlLbl val="0"/>
      </c:catAx>
      <c:valAx>
        <c:axId val="-189662736"/>
        <c:scaling>
          <c:orientation val="minMax"/>
          <c:max val="0.3500000000000003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89660560"/>
        <c:crosses val="autoZero"/>
        <c:crossBetween val="between"/>
        <c:majorUnit val="5.0000000000000024E-2"/>
        <c:minorUnit val="1.0000000000000005E-2"/>
      </c:valAx>
      <c:valAx>
        <c:axId val="-188966384"/>
        <c:scaling>
          <c:orientation val="minMax"/>
          <c:max val="0.4"/>
          <c:min val="0"/>
        </c:scaling>
        <c:delete val="1"/>
        <c:axPos val="r"/>
        <c:numFmt formatCode="0%" sourceLinked="0"/>
        <c:majorTickMark val="out"/>
        <c:minorTickMark val="none"/>
        <c:tickLblPos val="none"/>
        <c:crossAx val="-309066736"/>
        <c:crosses val="max"/>
        <c:crossBetween val="between"/>
      </c:valAx>
      <c:catAx>
        <c:axId val="-3090667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88966384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6225510873640797E-2"/>
          <c:y val="0.21061162535405967"/>
          <c:w val="0.9700205659491522"/>
          <c:h val="6.1741419915611426E-2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7775063273340834"/>
          <c:y val="0.12629346320205143"/>
          <c:w val="0.48635522122234764"/>
          <c:h val="0.806454059786475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66B68E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'10 struktura wyd.'!$B$4:$B$17</c:f>
              <c:strCache>
                <c:ptCount val="14"/>
                <c:pt idx="0">
                  <c:v>żywność i napoje bezalkoholowe</c:v>
                </c:pt>
                <c:pt idx="1">
                  <c:v>napoje alkoholowe, wyroby tytoniowe</c:v>
                </c:pt>
                <c:pt idx="2">
                  <c:v>odzież i obuwie</c:v>
                </c:pt>
                <c:pt idx="3">
                  <c:v>użytkowanie mieszkania i nośniki energii</c:v>
                </c:pt>
                <c:pt idx="4">
                  <c:v>wyposażenie mieszkania i prowadzenie gosp. dom.</c:v>
                </c:pt>
                <c:pt idx="5">
                  <c:v>zdrowie</c:v>
                </c:pt>
                <c:pt idx="6">
                  <c:v>transport</c:v>
                </c:pt>
                <c:pt idx="7">
                  <c:v>łączność</c:v>
                </c:pt>
                <c:pt idx="8">
                  <c:v>rekreacja i kultura</c:v>
                </c:pt>
                <c:pt idx="9">
                  <c:v>edukacja</c:v>
                </c:pt>
                <c:pt idx="10">
                  <c:v>restauracje i hotele</c:v>
                </c:pt>
                <c:pt idx="11">
                  <c:v>pozostałe towary i usługi</c:v>
                </c:pt>
                <c:pt idx="12">
                  <c:v>wydatki pozostałe</c:v>
                </c:pt>
                <c:pt idx="13">
                  <c:v>kieszonkowe</c:v>
                </c:pt>
              </c:strCache>
            </c:strRef>
          </c:cat>
          <c:val>
            <c:numRef>
              <c:f>'10 struktura wyd.'!$C$4:$C$17</c:f>
              <c:numCache>
                <c:formatCode>0.0%</c:formatCode>
                <c:ptCount val="14"/>
                <c:pt idx="0">
                  <c:v>0.27679029084475631</c:v>
                </c:pt>
                <c:pt idx="1">
                  <c:v>2.8745514972139095E-2</c:v>
                </c:pt>
                <c:pt idx="2">
                  <c:v>4.1386266307313346E-2</c:v>
                </c:pt>
                <c:pt idx="3">
                  <c:v>0.18797433820003656</c:v>
                </c:pt>
                <c:pt idx="4">
                  <c:v>5.7185138643165399E-2</c:v>
                </c:pt>
                <c:pt idx="5">
                  <c:v>5.2935729757436538E-2</c:v>
                </c:pt>
                <c:pt idx="6">
                  <c:v>8.8179368045106718E-2</c:v>
                </c:pt>
                <c:pt idx="7">
                  <c:v>4.9165826154532993E-2</c:v>
                </c:pt>
                <c:pt idx="8">
                  <c:v>5.7433158617040632E-2</c:v>
                </c:pt>
                <c:pt idx="9">
                  <c:v>1.0135749599034375E-2</c:v>
                </c:pt>
                <c:pt idx="10">
                  <c:v>3.8426561285735544E-2</c:v>
                </c:pt>
                <c:pt idx="11">
                  <c:v>6.1492418856132026E-2</c:v>
                </c:pt>
                <c:pt idx="12">
                  <c:v>3.7178194083896894E-2</c:v>
                </c:pt>
                <c:pt idx="13">
                  <c:v>1.2979711966137019E-2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5-49CF-AFF1-B00A7FF763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142296224"/>
        <c:axId val="-142295136"/>
      </c:barChart>
      <c:catAx>
        <c:axId val="-1422962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aseline="0"/>
            </a:pPr>
            <a:endParaRPr lang="pl-PL"/>
          </a:p>
        </c:txPr>
        <c:crossAx val="-142295136"/>
        <c:crossesAt val="0"/>
        <c:auto val="1"/>
        <c:lblAlgn val="ctr"/>
        <c:lblOffset val="100"/>
        <c:noMultiLvlLbl val="0"/>
      </c:catAx>
      <c:valAx>
        <c:axId val="-142295136"/>
        <c:scaling>
          <c:orientation val="minMax"/>
        </c:scaling>
        <c:delete val="0"/>
        <c:axPos val="b"/>
        <c:majorGridlines>
          <c:spPr>
            <a:ln w="6350"/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2296224"/>
        <c:crosses val="max"/>
        <c:crossBetween val="between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901891169853772E-2"/>
          <c:y val="0.30128640412538432"/>
          <c:w val="0.9200025778027745"/>
          <c:h val="0.610959903829946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 dochody wydatki kwintyle'!$B$4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ln w="38100"/>
            <a:scene3d>
              <a:camera prst="orthographicFront"/>
              <a:lightRig rig="threePt" dir="t"/>
            </a:scene3d>
          </c:spPr>
          <c:invertIfNegative val="0"/>
          <c:dLbls>
            <c:dLbl>
              <c:idx val="5"/>
              <c:layout>
                <c:manualLayout>
                  <c:x val="0"/>
                  <c:y val="1.08748831094908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B6-429C-B687-CD7FFDC50756}"/>
                </c:ext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'13 dochody wydatki kwintyle'!$C$3:$H$3</c:f>
              <c:strCache>
                <c:ptCount val="6"/>
                <c:pt idx="0">
                  <c:v>Ogółem</c:v>
                </c:pt>
                <c:pt idx="1">
                  <c:v>pierwsza</c:v>
                </c:pt>
                <c:pt idx="2">
                  <c:v>druga</c:v>
                </c:pt>
                <c:pt idx="3">
                  <c:v>trzecia</c:v>
                </c:pt>
                <c:pt idx="4">
                  <c:v>czwarta</c:v>
                </c:pt>
                <c:pt idx="5">
                  <c:v>piąta</c:v>
                </c:pt>
              </c:strCache>
            </c:strRef>
          </c:cat>
          <c:val>
            <c:numRef>
              <c:f>'13 dochody wydatki kwintyle'!$C$4:$H$4</c:f>
              <c:numCache>
                <c:formatCode>0.00</c:formatCode>
                <c:ptCount val="6"/>
                <c:pt idx="0">
                  <c:v>1919.21</c:v>
                </c:pt>
                <c:pt idx="1">
                  <c:v>668.45999999999947</c:v>
                </c:pt>
                <c:pt idx="2">
                  <c:v>1309.8</c:v>
                </c:pt>
                <c:pt idx="3">
                  <c:v>1714.1299999999999</c:v>
                </c:pt>
                <c:pt idx="4">
                  <c:v>2185.4499999999998</c:v>
                </c:pt>
                <c:pt idx="5">
                  <c:v>3727.9700000000012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B6-429C-B687-CD7FFDC50756}"/>
            </c:ext>
          </c:extLst>
        </c:ser>
        <c:ser>
          <c:idx val="1"/>
          <c:order val="1"/>
          <c:tx>
            <c:strRef>
              <c:f>'13 dochody wydatki kwintyle'!$B$5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ln w="38100"/>
            <a:effectLst/>
            <a:scene3d>
              <a:camera prst="orthographicFront"/>
              <a:lightRig rig="threePt" dir="t"/>
            </a:scene3d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'13 dochody wydatki kwintyle'!$C$3:$H$3</c:f>
              <c:strCache>
                <c:ptCount val="6"/>
                <c:pt idx="0">
                  <c:v>Ogółem</c:v>
                </c:pt>
                <c:pt idx="1">
                  <c:v>pierwsza</c:v>
                </c:pt>
                <c:pt idx="2">
                  <c:v>druga</c:v>
                </c:pt>
                <c:pt idx="3">
                  <c:v>trzecia</c:v>
                </c:pt>
                <c:pt idx="4">
                  <c:v>czwarta</c:v>
                </c:pt>
                <c:pt idx="5">
                  <c:v>piąta</c:v>
                </c:pt>
              </c:strCache>
            </c:strRef>
          </c:cat>
          <c:val>
            <c:numRef>
              <c:f>'13 dochody wydatki kwintyle'!$C$5:$H$5</c:f>
              <c:numCache>
                <c:formatCode>0.00</c:formatCode>
                <c:ptCount val="6"/>
                <c:pt idx="0">
                  <c:v>1209.58</c:v>
                </c:pt>
                <c:pt idx="1">
                  <c:v>845.85999999999933</c:v>
                </c:pt>
                <c:pt idx="2">
                  <c:v>889.11</c:v>
                </c:pt>
                <c:pt idx="3">
                  <c:v>1064.52</c:v>
                </c:pt>
                <c:pt idx="4">
                  <c:v>1320.86</c:v>
                </c:pt>
                <c:pt idx="5">
                  <c:v>1931.42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B6-429C-B687-CD7FFDC50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"/>
        <c:axId val="-142295680"/>
        <c:axId val="-142298944"/>
      </c:barChart>
      <c:barChart>
        <c:barDir val="col"/>
        <c:grouping val="clustered"/>
        <c:varyColors val="0"/>
        <c:ser>
          <c:idx val="2"/>
          <c:order val="2"/>
          <c:tx>
            <c:strRef>
              <c:f>'13 dochody wydatki kwintyle'!$B$6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5F5F5F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4-C7B6-429C-B687-CD7FFDC50756}"/>
              </c:ext>
            </c:extLst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6-C7B6-429C-B687-CD7FFDC50756}"/>
              </c:ext>
            </c:extLst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8-C7B6-429C-B687-CD7FFDC50756}"/>
              </c:ext>
            </c:extLst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A-C7B6-429C-B687-CD7FFDC50756}"/>
              </c:ext>
            </c:extLst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C-C7B6-429C-B687-CD7FFDC50756}"/>
              </c:ext>
            </c:extLst>
          </c:dPt>
          <c:dPt>
            <c:idx val="5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E-C7B6-429C-B687-CD7FFDC50756}"/>
              </c:ext>
            </c:extLst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  <a:scene3d>
                <a:camera prst="orthographicFront"/>
                <a:lightRig rig="threePt" dir="t"/>
              </a:scene3d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'13 dochody wydatki kwintyle'!$C$3:$H$3</c:f>
              <c:strCache>
                <c:ptCount val="6"/>
                <c:pt idx="0">
                  <c:v>Ogółem</c:v>
                </c:pt>
                <c:pt idx="1">
                  <c:v>pierwsza</c:v>
                </c:pt>
                <c:pt idx="2">
                  <c:v>druga</c:v>
                </c:pt>
                <c:pt idx="3">
                  <c:v>trzecia</c:v>
                </c:pt>
                <c:pt idx="4">
                  <c:v>czwarta</c:v>
                </c:pt>
                <c:pt idx="5">
                  <c:v>piąta</c:v>
                </c:pt>
              </c:strCache>
            </c:strRef>
          </c:cat>
          <c:val>
            <c:numRef>
              <c:f>'13 dochody wydatki kwintyle'!$C$6:$H$6</c:f>
              <c:numCache>
                <c:formatCode>0.0%</c:formatCode>
                <c:ptCount val="6"/>
                <c:pt idx="0">
                  <c:v>0.63024890449716353</c:v>
                </c:pt>
                <c:pt idx="1">
                  <c:v>1.2653861113604399</c:v>
                </c:pt>
                <c:pt idx="2">
                  <c:v>0.67881355932203391</c:v>
                </c:pt>
                <c:pt idx="3">
                  <c:v>0.6210264098988999</c:v>
                </c:pt>
                <c:pt idx="4">
                  <c:v>0.60438811228808831</c:v>
                </c:pt>
                <c:pt idx="5">
                  <c:v>0.51808893311909765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C7B6-429C-B687-CD7FFDC50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2294048"/>
        <c:axId val="-142292960"/>
      </c:barChart>
      <c:catAx>
        <c:axId val="-142295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2298944"/>
        <c:crosses val="autoZero"/>
        <c:auto val="1"/>
        <c:lblAlgn val="ctr"/>
        <c:lblOffset val="100"/>
        <c:noMultiLvlLbl val="0"/>
      </c:catAx>
      <c:valAx>
        <c:axId val="-142298944"/>
        <c:scaling>
          <c:orientation val="minMax"/>
          <c:max val="4000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  <a:alpha val="76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2295680"/>
        <c:crosses val="autoZero"/>
        <c:crossBetween val="between"/>
      </c:valAx>
      <c:valAx>
        <c:axId val="-142292960"/>
        <c:scaling>
          <c:orientation val="minMax"/>
          <c:max val="1.4"/>
          <c:min val="0"/>
        </c:scaling>
        <c:delete val="1"/>
        <c:axPos val="r"/>
        <c:numFmt formatCode="0%" sourceLinked="0"/>
        <c:majorTickMark val="out"/>
        <c:minorTickMark val="none"/>
        <c:tickLblPos val="none"/>
        <c:crossAx val="-142294048"/>
        <c:crosses val="max"/>
        <c:crossBetween val="between"/>
        <c:majorUnit val="0.2"/>
      </c:valAx>
      <c:catAx>
        <c:axId val="-142294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229296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6.7434163666344679E-2"/>
          <c:y val="0.18745598290598323"/>
          <c:w val="0.93256583633365564"/>
          <c:h val="9.7741025641025644E-2"/>
        </c:manualLayout>
      </c:layout>
      <c:overlay val="0"/>
      <c:spPr>
        <a:noFill/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8994110111236105E-2"/>
          <c:y val="0.27508891175837108"/>
          <c:w val="0.9200892857142855"/>
          <c:h val="0.54674069996569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'16 dochody wydatki klm'!$B$4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2"/>
              <c:layout>
                <c:manualLayout>
                  <c:x val="0"/>
                  <c:y val="8.51034744331069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FA-4619-A1BA-FCC507A40044}"/>
                </c:ext>
              </c:extLst>
            </c:dLbl>
            <c:dLbl>
              <c:idx val="6"/>
              <c:layout>
                <c:manualLayout>
                  <c:x val="9.090428435626114E-17"/>
                  <c:y val="8.71056241426612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FA-4619-A1BA-FCC507A40044}"/>
                </c:ext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('16 dochody wydatki klm'!$C$3:$G$3,'16 dochody wydatki klm'!$J$3:$K$3)</c:f>
              <c:strCache>
                <c:ptCount val="7"/>
                <c:pt idx="0">
                  <c:v>Ogółem</c:v>
                </c:pt>
                <c:pt idx="1">
                  <c:v>Miasta ogółem</c:v>
                </c:pt>
                <c:pt idx="2">
                  <c:v>Miasta poniżej
20 tys.</c:v>
                </c:pt>
                <c:pt idx="3">
                  <c:v>Miasta
20–99
tys. </c:v>
                </c:pt>
                <c:pt idx="4">
                  <c:v>Miasta
100–499
tys.</c:v>
                </c:pt>
                <c:pt idx="5">
                  <c:v>Miasta
500 tys.
i większe</c:v>
                </c:pt>
                <c:pt idx="6">
                  <c:v>Wieś</c:v>
                </c:pt>
              </c:strCache>
            </c:strRef>
          </c:cat>
          <c:val>
            <c:numRef>
              <c:f>('16 dochody wydatki klm'!$C$4:$G$4,'16 dochody wydatki klm'!$J$4:$K$4)</c:f>
              <c:numCache>
                <c:formatCode>0.00</c:formatCode>
                <c:ptCount val="7"/>
                <c:pt idx="0">
                  <c:v>1919.21</c:v>
                </c:pt>
                <c:pt idx="1">
                  <c:v>2098.2199999999998</c:v>
                </c:pt>
                <c:pt idx="2">
                  <c:v>1869.1</c:v>
                </c:pt>
                <c:pt idx="3">
                  <c:v>1929.98</c:v>
                </c:pt>
                <c:pt idx="4">
                  <c:v>2095.69</c:v>
                </c:pt>
                <c:pt idx="5">
                  <c:v>2565.62</c:v>
                </c:pt>
                <c:pt idx="6">
                  <c:v>1639.33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FA-4619-A1BA-FCC507A40044}"/>
            </c:ext>
          </c:extLst>
        </c:ser>
        <c:ser>
          <c:idx val="1"/>
          <c:order val="1"/>
          <c:tx>
            <c:strRef>
              <c:f>'16 dochody wydatki klm'!$B$5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('16 dochody wydatki klm'!$C$3:$G$3,'16 dochody wydatki klm'!$J$3:$K$3)</c:f>
              <c:strCache>
                <c:ptCount val="7"/>
                <c:pt idx="0">
                  <c:v>Ogółem</c:v>
                </c:pt>
                <c:pt idx="1">
                  <c:v>Miasta ogółem</c:v>
                </c:pt>
                <c:pt idx="2">
                  <c:v>Miasta poniżej
20 tys.</c:v>
                </c:pt>
                <c:pt idx="3">
                  <c:v>Miasta
20–99
tys. </c:v>
                </c:pt>
                <c:pt idx="4">
                  <c:v>Miasta
100–499
tys.</c:v>
                </c:pt>
                <c:pt idx="5">
                  <c:v>Miasta
500 tys.
i większe</c:v>
                </c:pt>
                <c:pt idx="6">
                  <c:v>Wieś</c:v>
                </c:pt>
              </c:strCache>
            </c:strRef>
          </c:cat>
          <c:val>
            <c:numRef>
              <c:f>('16 dochody wydatki klm'!$C$5:$G$5,'16 dochody wydatki klm'!$J$5:$K$5)</c:f>
              <c:numCache>
                <c:formatCode>0.00</c:formatCode>
                <c:ptCount val="7"/>
                <c:pt idx="0">
                  <c:v>1209.58</c:v>
                </c:pt>
                <c:pt idx="1">
                  <c:v>1346.85</c:v>
                </c:pt>
                <c:pt idx="2">
                  <c:v>1211.6499999999999</c:v>
                </c:pt>
                <c:pt idx="3">
                  <c:v>1200.0899999999999</c:v>
                </c:pt>
                <c:pt idx="4">
                  <c:v>1363.81</c:v>
                </c:pt>
                <c:pt idx="5">
                  <c:v>1665.51</c:v>
                </c:pt>
                <c:pt idx="6">
                  <c:v>994.97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FA-4619-A1BA-FCC507A40044}"/>
            </c:ext>
          </c:extLst>
        </c:ser>
        <c:ser>
          <c:idx val="2"/>
          <c:order val="2"/>
          <c:tx>
            <c:strRef>
              <c:f>'16 dochody wydatki klm'!$B$6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91FA-4619-A1BA-FCC507A40044}"/>
              </c:ext>
            </c:extLst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7-91FA-4619-A1BA-FCC507A40044}"/>
              </c:ext>
            </c:extLst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9-91FA-4619-A1BA-FCC507A40044}"/>
              </c:ext>
            </c:extLst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B-91FA-4619-A1BA-FCC507A40044}"/>
              </c:ext>
            </c:extLst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D-91FA-4619-A1BA-FCC507A40044}"/>
              </c:ext>
            </c:extLst>
          </c:dPt>
          <c:dPt>
            <c:idx val="5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F-91FA-4619-A1BA-FCC507A40044}"/>
              </c:ext>
            </c:extLst>
          </c:dPt>
          <c:dPt>
            <c:idx val="6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11-91FA-4619-A1BA-FCC507A40044}"/>
              </c:ext>
            </c:extLst>
          </c:dPt>
          <c:dPt>
            <c:idx val="7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13-91FA-4619-A1BA-FCC507A40044}"/>
              </c:ext>
            </c:extLst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('16 dochody wydatki klm'!$C$3:$G$3,'16 dochody wydatki klm'!$J$3:$K$3)</c:f>
              <c:strCache>
                <c:ptCount val="7"/>
                <c:pt idx="0">
                  <c:v>Ogółem</c:v>
                </c:pt>
                <c:pt idx="1">
                  <c:v>Miasta ogółem</c:v>
                </c:pt>
                <c:pt idx="2">
                  <c:v>Miasta poniżej
20 tys.</c:v>
                </c:pt>
                <c:pt idx="3">
                  <c:v>Miasta
20–99
tys. </c:v>
                </c:pt>
                <c:pt idx="4">
                  <c:v>Miasta
100–499
tys.</c:v>
                </c:pt>
                <c:pt idx="5">
                  <c:v>Miasta
500 tys.
i większe</c:v>
                </c:pt>
                <c:pt idx="6">
                  <c:v>Wieś</c:v>
                </c:pt>
              </c:strCache>
            </c:strRef>
          </c:cat>
          <c:val>
            <c:numRef>
              <c:f>('16 dochody wydatki klm'!$C$6:$G$6,'16 dochody wydatki klm'!$J$6:$K$6)</c:f>
              <c:numCache>
                <c:formatCode>0.0%</c:formatCode>
                <c:ptCount val="7"/>
                <c:pt idx="0">
                  <c:v>0.63024890449716353</c:v>
                </c:pt>
                <c:pt idx="1">
                  <c:v>0.64190123056686277</c:v>
                </c:pt>
                <c:pt idx="2">
                  <c:v>0.64825316997485427</c:v>
                </c:pt>
                <c:pt idx="3">
                  <c:v>0.6218147338314387</c:v>
                </c:pt>
                <c:pt idx="4">
                  <c:v>0.65076895914949351</c:v>
                </c:pt>
                <c:pt idx="5">
                  <c:v>0.64916472431614969</c:v>
                </c:pt>
                <c:pt idx="6">
                  <c:v>0.60693698035172849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1FA-4619-A1BA-FCC507A40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-142292416"/>
        <c:axId val="-142294592"/>
      </c:barChart>
      <c:catAx>
        <c:axId val="-14229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2294592"/>
        <c:crosses val="autoZero"/>
        <c:auto val="1"/>
        <c:lblAlgn val="ctr"/>
        <c:lblOffset val="100"/>
        <c:noMultiLvlLbl val="0"/>
      </c:catAx>
      <c:valAx>
        <c:axId val="-142294592"/>
        <c:scaling>
          <c:orientation val="minMax"/>
          <c:max val="30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2292416"/>
        <c:crosses val="autoZero"/>
        <c:crossBetween val="between"/>
        <c:majorUnit val="500"/>
      </c:valAx>
    </c:plotArea>
    <c:legend>
      <c:legendPos val="r"/>
      <c:layout>
        <c:manualLayout>
          <c:xMode val="edge"/>
          <c:yMode val="edge"/>
          <c:x val="7.1842414268688704E-2"/>
          <c:y val="0.19040174722685213"/>
          <c:w val="0.92815758573130935"/>
          <c:h val="6.1779091483554566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6.24303E-7</cdr:y>
    </cdr:from>
    <cdr:to>
      <cdr:x>0.99927</cdr:x>
      <cdr:y>0.20323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0" y="2"/>
          <a:ext cx="5116902" cy="6510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1. Poziom przeciętnych miesięcznych dochodów i wydatków</a:t>
          </a:r>
          <a:r>
            <a:rPr lang="pl-PL" sz="900" b="0" baseline="3000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2</a:t>
          </a:r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na 1 osobę</a:t>
          </a:r>
        </a:p>
        <a:p xmlns:a="http://schemas.openxmlformats.org/drawingml/2006/main">
          <a:pPr algn="l"/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w gospodarstwach domowych oraz udział wydatków w dochodzie</a:t>
          </a:r>
        </a:p>
        <a:p xmlns:a="http://schemas.openxmlformats.org/drawingml/2006/main">
          <a:pPr algn="l"/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rozporządzalnym w latach 2004–2020</a:t>
          </a:r>
        </a:p>
        <a:p xmlns:a="http://schemas.openxmlformats.org/drawingml/2006/main">
          <a:pPr algn="l"/>
          <a:endParaRPr lang="pl-PL" sz="900" b="0">
            <a:solidFill>
              <a:sysClr val="windowText" lastClr="000000"/>
            </a:solidFill>
            <a:latin typeface="Fira Sans SemiBold" panose="020B0603050000020004" pitchFamily="34" charset="0"/>
            <a:ea typeface="Fira Sans SemiBold" panose="020B0603050000020004" pitchFamily="34" charset="0"/>
            <a:cs typeface="Arial" panose="020B0604020202020204" pitchFamily="34" charset="0"/>
          </a:endParaRPr>
        </a:p>
        <a:p xmlns:a="http://schemas.openxmlformats.org/drawingml/2006/main">
          <a:pPr algn="l"/>
          <a:endParaRPr lang="pl-PL" sz="900" b="0">
            <a:solidFill>
              <a:sysClr val="windowText" lastClr="000000"/>
            </a:solidFill>
            <a:latin typeface="Fira Sans SemiBold" panose="020B0603050000020004" pitchFamily="34" charset="0"/>
            <a:ea typeface="Fira Sans SemiBold" panose="020B06030500000200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0.19975</cdr:y>
    </cdr:from>
    <cdr:to>
      <cdr:x>0.05952</cdr:x>
      <cdr:y>0.25522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0" y="603394"/>
          <a:ext cx="304894" cy="167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0.99968</cdr:x>
      <cdr:y>0.18532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20906" cy="4913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10.</a:t>
          </a:r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Przeciętne miesięczne spożycie wybranych artykułów żywnościowych na 1 osobę </a:t>
          </a:r>
        </a:p>
        <a:p xmlns:a="http://schemas.openxmlformats.org/drawingml/2006/main">
          <a:pPr algn="l"/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  </a:t>
          </a:r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 gospodarstwach domowych według grup kwintylowych w 2020 r.</a:t>
          </a:r>
        </a:p>
      </cdr:txBody>
    </cdr:sp>
  </cdr:relSizeAnchor>
  <cdr:relSizeAnchor xmlns:cdr="http://schemas.openxmlformats.org/drawingml/2006/chartDrawing">
    <cdr:from>
      <cdr:x>0</cdr:x>
      <cdr:y>0.178</cdr:y>
    </cdr:from>
    <cdr:to>
      <cdr:x>0.03719</cdr:x>
      <cdr:y>0.23629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474165"/>
          <a:ext cx="190555" cy="15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kg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0.99968</cdr:x>
      <cdr:y>0.16988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20906" cy="4503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</a:t>
          </a:r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11.</a:t>
          </a:r>
          <a:r>
            <a:rPr lang="pl-PL" sz="900" b="0" i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Przeciętne miesięczne spożycie wybranych artykułów żywnościowych na 1 osobę </a:t>
          </a:r>
        </a:p>
        <a:p xmlns:a="http://schemas.openxmlformats.org/drawingml/2006/main">
          <a:pPr algn="l"/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 w gospodarstwach domowych według miejsca zamieszkania w 2020 r.</a:t>
          </a:r>
        </a:p>
      </cdr:txBody>
    </cdr:sp>
  </cdr:relSizeAnchor>
  <cdr:relSizeAnchor xmlns:cdr="http://schemas.openxmlformats.org/drawingml/2006/chartDrawing">
    <cdr:from>
      <cdr:x>0</cdr:x>
      <cdr:y>0.16968</cdr:y>
    </cdr:from>
    <cdr:to>
      <cdr:x>0.03719</cdr:x>
      <cdr:y>0.22797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451986"/>
          <a:ext cx="190555" cy="15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kg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7.40741E-7</cdr:y>
    </cdr:from>
    <cdr:to>
      <cdr:x>0.99945</cdr:x>
      <cdr:y>0.16581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2"/>
          <a:ext cx="5120997" cy="4476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12.</a:t>
          </a:r>
          <a:r>
            <a:rPr lang="pl-PL" sz="900" b="1" i="1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Wyposażenie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gospodarstw</a:t>
          </a:r>
          <a:r>
            <a:rPr lang="pl-PL" sz="900" b="1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domowych w wybrane dobra trwałego użytkowania</a:t>
          </a:r>
        </a:p>
        <a:p xmlns:a="http://schemas.openxmlformats.org/drawingml/2006/main">
          <a:pPr algn="l"/>
          <a:r>
            <a:rPr lang="pl-PL" sz="900" b="1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  </a:t>
          </a:r>
          <a:r>
            <a:rPr lang="pl-PL" sz="900" b="1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według grup kwintylowych</a:t>
          </a:r>
          <a:r>
            <a:rPr lang="pl-PL" sz="900" b="1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 2020 r.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0.99945</cdr:x>
      <cdr:y>0.19109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6116129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13.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Wyposażenie gospodarstw domowych w wybrane dobra trwałego użytkowania</a:t>
          </a:r>
        </a:p>
        <a:p xmlns:a="http://schemas.openxmlformats.org/drawingml/2006/main">
          <a:pPr algn="l"/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 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według miejsca zamieszkania w 2020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r.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</cdr:x>
      <cdr:y>0.00304</cdr:y>
    </cdr:from>
    <cdr:to>
      <cdr:x>0.99979</cdr:x>
      <cdr:y>0.174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7988"/>
          <a:ext cx="5122739" cy="4492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14</a:t>
          </a:r>
          <a:r>
            <a:rPr lang="pl-PL" sz="900" b="0" i="1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. 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Wyposażenie mieszkań w wybrane instalacje techniczno-sanitarne według</a:t>
          </a:r>
        </a:p>
        <a:p xmlns:a="http://schemas.openxmlformats.org/drawingml/2006/main">
          <a:pPr algn="l"/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  miejsca zamieszkania w 2020 r.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0.00304</cdr:y>
    </cdr:from>
    <cdr:to>
      <cdr:x>0.99979</cdr:x>
      <cdr:y>0.16312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7988"/>
          <a:ext cx="5122739" cy="420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 spc="-1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15. Wyposażenie mieszkań w wybrane instalacje techniczno-sanitarne według</a:t>
          </a:r>
        </a:p>
        <a:p xmlns:a="http://schemas.openxmlformats.org/drawingml/2006/main">
          <a:pPr algn="l"/>
          <a:r>
            <a:rPr lang="pl-PL" sz="900" b="0" spc="-1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  grup kwintylowych w 2020 r.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1"/>
          <a:ext cx="6092456" cy="8612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pl-PL" sz="1050" b="1"/>
            <a:t>Wykres 20.</a:t>
          </a:r>
        </a:p>
        <a:p xmlns:a="http://schemas.openxmlformats.org/drawingml/2006/main">
          <a:pPr algn="ctr"/>
          <a:r>
            <a:rPr lang="pl-PL" sz="1050" b="1"/>
            <a:t>Subiektywna ocena sytuacji materialnej gospodarstw domowych według grup społeczno ekonomicznych w 2014 r.</a:t>
          </a:r>
          <a:endParaRPr lang="pl-PL" sz="1050">
            <a:effectLst/>
          </a:endParaRPr>
        </a:p>
      </cdr:txBody>
    </cdr:sp>
  </cdr:relSizeAnchor>
  <cdr:relSizeAnchor xmlns:cdr="http://schemas.openxmlformats.org/drawingml/2006/chartDrawing">
    <cdr:from>
      <cdr:x>0</cdr:x>
      <cdr:y>0.42818</cdr:y>
    </cdr:from>
    <cdr:to>
      <cdr:x>0.05542</cdr:x>
      <cdr:y>0.512</cdr:y>
    </cdr:to>
    <cdr:sp macro="" textlink="">
      <cdr:nvSpPr>
        <cdr:cNvPr id="3" name="pole tekstowe 2"/>
        <cdr:cNvSpPr txBox="1"/>
      </cdr:nvSpPr>
      <cdr:spPr>
        <a:xfrm xmlns:a="http://schemas.openxmlformats.org/drawingml/2006/main" rot="16200000">
          <a:off x="23812" y="1862137"/>
          <a:ext cx="37147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</cdr:x>
      <cdr:y>0</cdr:y>
    </cdr:from>
    <cdr:to>
      <cdr:x>0.99688</cdr:x>
      <cdr:y>0.12127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0"/>
          <a:ext cx="5107829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16.</a:t>
          </a:r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i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Subiektywna ocena sytuacji materialnej gospodarstw domowych według</a:t>
          </a:r>
        </a:p>
        <a:p xmlns:a="http://schemas.openxmlformats.org/drawingml/2006/main">
          <a:pPr algn="l"/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   grup społeczno-ekonomicznych w 2020 r.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0.99963</cdr:x>
      <cdr:y>0.16066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20640" cy="508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17.</a:t>
          </a:r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Subiektywna ocena sytuacji materialnej gospodarstw domowych</a:t>
          </a:r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według</a:t>
          </a:r>
        </a:p>
        <a:p xmlns:a="http://schemas.openxmlformats.org/drawingml/2006/main">
          <a:pPr algn="l"/>
          <a:r>
            <a:rPr lang="pl-PL" sz="900" b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  miejsca zamieszkania w 2020 r.</a:t>
          </a: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0.01657</cdr:x>
      <cdr:y>0.23341</cdr:y>
    </cdr:from>
    <cdr:to>
      <cdr:x>0.04528</cdr:x>
      <cdr:y>0.27782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03793" y="994673"/>
          <a:ext cx="179884" cy="1892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pl-PL" sz="1000"/>
        </a:p>
      </cdr:txBody>
    </cdr:sp>
  </cdr:relSizeAnchor>
  <cdr:relSizeAnchor xmlns:cdr="http://schemas.openxmlformats.org/drawingml/2006/chartDrawing">
    <cdr:from>
      <cdr:x>0</cdr:x>
      <cdr:y>0</cdr:y>
    </cdr:from>
    <cdr:to>
      <cdr:x>0.99959</cdr:x>
      <cdr:y>0.13444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0"/>
          <a:ext cx="5120700" cy="517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rIns="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 i="0" u="none" strike="noStrike" spc="-2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Wykres 18.</a:t>
          </a:r>
          <a:r>
            <a:rPr lang="pl-PL" sz="900" b="0" i="0" u="none" strike="noStrike" spc="-20" baseline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Subiektywna ocena* gospodarstw domowych, które </a:t>
          </a:r>
          <a:r>
            <a:rPr lang="pl-PL" sz="900" b="0" i="0" u="none" strike="noStrike" spc="-2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w wyniku pandemii COVID-19</a:t>
          </a:r>
          <a:r>
            <a:rPr lang="pl-PL" sz="900" b="0" i="0" u="none" strike="noStrike" spc="-20" baseline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</a:t>
          </a:r>
          <a:r>
            <a:rPr lang="pl-PL" sz="900" b="0" i="0" u="none" strike="noStrike" spc="-2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musiały</a:t>
          </a:r>
          <a:r>
            <a:rPr lang="pl-PL" sz="900" b="0" i="0" u="none" strike="noStrike" spc="-20" baseline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 </a:t>
          </a:r>
        </a:p>
        <a:p xmlns:a="http://schemas.openxmlformats.org/drawingml/2006/main">
          <a:pPr algn="l"/>
          <a:r>
            <a:rPr lang="pl-PL" sz="900" b="0" i="0" u="none" strike="noStrike" spc="-20" baseline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                     </a:t>
          </a:r>
          <a:r>
            <a:rPr lang="pl-PL" sz="900" b="0" i="0" u="none" strike="noStrike" spc="-2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ograniczyć wydatki według grup społeczno-ekonomicznych w II-IV kwartale</a:t>
          </a:r>
          <a:r>
            <a:rPr lang="pl-PL" sz="900" b="0" i="0" u="none" strike="noStrike" spc="-20" baseline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</a:t>
          </a:r>
          <a:r>
            <a:rPr lang="pl-PL" sz="900" b="0" i="0" u="none" strike="noStrike" spc="-2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2020</a:t>
          </a:r>
          <a:r>
            <a:rPr lang="pl-PL" sz="900" b="0" i="0" u="none" strike="noStrike" spc="-20" baseline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</a:t>
          </a:r>
          <a:r>
            <a:rPr lang="pl-PL" sz="900" b="0" i="0" u="none" strike="noStrike" spc="-2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r.</a:t>
          </a:r>
        </a:p>
      </cdr:txBody>
    </cdr:sp>
  </cdr:relSizeAnchor>
  <cdr:relSizeAnchor xmlns:cdr="http://schemas.openxmlformats.org/drawingml/2006/chartDrawing">
    <cdr:from>
      <cdr:x>0</cdr:x>
      <cdr:y>0.94662</cdr:y>
    </cdr:from>
    <cdr:to>
      <cdr:x>0.82855</cdr:x>
      <cdr:y>1</cdr:y>
    </cdr:to>
    <cdr:sp macro="" textlink="">
      <cdr:nvSpPr>
        <cdr:cNvPr id="5" name="pole tekstowe 1">
          <a:extLst xmlns:a="http://schemas.openxmlformats.org/drawingml/2006/main">
            <a:ext uri="{FF2B5EF4-FFF2-40B4-BE49-F238E27FC236}">
              <a16:creationId xmlns:a16="http://schemas.microsoft.com/office/drawing/2014/main" id="{83F60988-4C62-424E-831E-0972ACE303C2}"/>
            </a:ext>
          </a:extLst>
        </cdr:cNvPr>
        <cdr:cNvSpPr txBox="1"/>
      </cdr:nvSpPr>
      <cdr:spPr>
        <a:xfrm xmlns:a="http://schemas.openxmlformats.org/drawingml/2006/main">
          <a:off x="0" y="3952874"/>
          <a:ext cx="4225344" cy="2228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36000" tIns="0" rIns="3600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*Nie uwzględniono oceny</a:t>
          </a:r>
          <a:r>
            <a:rPr lang="pl-PL" sz="800" baseline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"trudno powiedzieć".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0.01657</cdr:x>
      <cdr:y>0.23341</cdr:y>
    </cdr:from>
    <cdr:to>
      <cdr:x>0.04528</cdr:x>
      <cdr:y>0.27782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03793" y="994673"/>
          <a:ext cx="179884" cy="1892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pl-PL" sz="1000"/>
        </a:p>
      </cdr:txBody>
    </cdr:sp>
  </cdr:relSizeAnchor>
  <cdr:relSizeAnchor xmlns:cdr="http://schemas.openxmlformats.org/drawingml/2006/chartDrawing">
    <cdr:from>
      <cdr:x>0</cdr:x>
      <cdr:y>0</cdr:y>
    </cdr:from>
    <cdr:to>
      <cdr:x>0.99959</cdr:x>
      <cdr:y>0.11082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0"/>
          <a:ext cx="5106851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rIns="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 i="0" u="none" strike="noStrike" spc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Wykres 19.</a:t>
          </a:r>
          <a:r>
            <a:rPr lang="pl-PL" sz="900" b="0" i="0" u="none" strike="noStrike" spc="0" baseline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Subiektywna ocena* zmian w dochodach </a:t>
          </a:r>
          <a:r>
            <a:rPr lang="pl-PL" sz="900" b="0" i="0" u="none" strike="noStrike" spc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gospodarstw domowych w wyniku pandemii</a:t>
          </a:r>
          <a:br>
            <a:rPr lang="pl-PL" sz="900" b="0" i="0" u="none" strike="noStrike" spc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</a:br>
          <a:r>
            <a:rPr lang="pl-PL" sz="900" b="0" i="0" u="none" strike="noStrike" spc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                    COVID-19 według grup społeczno-ekonomicznych w II-IV kwartale 2020</a:t>
          </a:r>
          <a:r>
            <a:rPr lang="pl-PL" sz="900" b="0" i="0" u="none" strike="noStrike" spc="0" baseline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 </a:t>
          </a:r>
          <a:r>
            <a:rPr lang="pl-PL" sz="900" b="0" i="0" u="none" strike="noStrike" spc="0"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+mn-cs"/>
            </a:rPr>
            <a:t>r.</a:t>
          </a:r>
        </a:p>
      </cdr:txBody>
    </cdr:sp>
  </cdr:relSizeAnchor>
  <cdr:relSizeAnchor xmlns:cdr="http://schemas.openxmlformats.org/drawingml/2006/chartDrawing">
    <cdr:from>
      <cdr:x>0</cdr:x>
      <cdr:y>0.94708</cdr:y>
    </cdr:from>
    <cdr:to>
      <cdr:x>0.82855</cdr:x>
      <cdr:y>1</cdr:y>
    </cdr:to>
    <cdr:sp macro="" textlink="">
      <cdr:nvSpPr>
        <cdr:cNvPr id="5" name="pole tekstowe 1">
          <a:extLst xmlns:a="http://schemas.openxmlformats.org/drawingml/2006/main">
            <a:ext uri="{FF2B5EF4-FFF2-40B4-BE49-F238E27FC236}">
              <a16:creationId xmlns:a16="http://schemas.microsoft.com/office/drawing/2014/main" id="{83F60988-4C62-424E-831E-0972ACE303C2}"/>
            </a:ext>
          </a:extLst>
        </cdr:cNvPr>
        <cdr:cNvSpPr txBox="1"/>
      </cdr:nvSpPr>
      <cdr:spPr>
        <a:xfrm xmlns:a="http://schemas.openxmlformats.org/drawingml/2006/main">
          <a:off x="0" y="3886200"/>
          <a:ext cx="4234814" cy="2171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36000" tIns="0" rIns="3600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*Nie uwzględniono oceny</a:t>
          </a:r>
          <a:r>
            <a:rPr lang="pl-PL" sz="800" baseline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"trudno powiedzieć".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0.10622</cdr:x>
      <cdr:y>0.12135</cdr:y>
    </cdr:from>
    <cdr:to>
      <cdr:x>0.21431</cdr:x>
      <cdr:y>0.18241</cdr:y>
    </cdr:to>
    <cdr:sp macro="" textlink="">
      <cdr:nvSpPr>
        <cdr:cNvPr id="6" name="pole tekstowe 1">
          <a:extLst xmlns:a="http://schemas.openxmlformats.org/drawingml/2006/main">
            <a:ext uri="{FF2B5EF4-FFF2-40B4-BE49-F238E27FC236}">
              <a16:creationId xmlns:a16="http://schemas.microsoft.com/office/drawing/2014/main" id="{EC7366BE-C0CF-4CE4-9C4B-83B5B3F65EE0}"/>
            </a:ext>
          </a:extLst>
        </cdr:cNvPr>
        <cdr:cNvSpPr txBox="1"/>
      </cdr:nvSpPr>
      <cdr:spPr>
        <a:xfrm xmlns:a="http://schemas.openxmlformats.org/drawingml/2006/main">
          <a:off x="542925" y="497959"/>
          <a:ext cx="552450" cy="2505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36000" tIns="0" rIns="3600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Dochód: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6.24303E-7</cdr:y>
    </cdr:from>
    <cdr:to>
      <cdr:x>0.99927</cdr:x>
      <cdr:y>0.20323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0" y="2"/>
          <a:ext cx="5116902" cy="6510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2.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Przeciętny miesięczny dochód rozporządzalny i wydatki na 1 osobę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 gospodarstwach 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domowych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oraz </a:t>
          </a:r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udział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przeciętnych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miesięcznych wydatków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 dochodzie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rozporządzalnym według grup społeczno-ekonomicznych w 2020 r. </a:t>
          </a:r>
        </a:p>
      </cdr:txBody>
    </cdr:sp>
  </cdr:relSizeAnchor>
  <cdr:relSizeAnchor xmlns:cdr="http://schemas.openxmlformats.org/drawingml/2006/chartDrawing">
    <cdr:from>
      <cdr:x>0</cdr:x>
      <cdr:y>0.21552</cdr:y>
    </cdr:from>
    <cdr:to>
      <cdr:x>0.05952</cdr:x>
      <cdr:y>0.27099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0" y="643898"/>
          <a:ext cx="304800" cy="165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0.99907</cdr:x>
      <cdr:y>0.19143</cdr:y>
    </cdr:to>
    <cdr:sp macro="" textlink="">
      <cdr:nvSpPr>
        <cdr:cNvPr id="6" name="pole tekstowe 2"/>
        <cdr:cNvSpPr txBox="1"/>
      </cdr:nvSpPr>
      <cdr:spPr>
        <a:xfrm xmlns:a="http://schemas.openxmlformats.org/drawingml/2006/main">
          <a:off x="0" y="0"/>
          <a:ext cx="5117781" cy="6202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3.</a:t>
          </a:r>
          <a:r>
            <a:rPr lang="pl-PL" sz="900" b="0" i="1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Wskaźnik przeciętnego miesięcznego dochodu rozporządzalnego i wydatków</a:t>
          </a:r>
        </a:p>
        <a:p xmlns:a="http://schemas.openxmlformats.org/drawingml/2006/main">
          <a:pPr algn="l"/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na 1 osobę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 gospodarstwach domowych według grup społeczno-ekonomicznych</a:t>
          </a:r>
          <a:b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</a:b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 odniesieniu do średniej krajowej w 2020 r.</a:t>
          </a:r>
          <a:endParaRPr lang="pl-PL" sz="900" b="0" spc="0" baseline="0">
            <a:solidFill>
              <a:sysClr val="windowText" lastClr="000000"/>
            </a:solidFill>
            <a:latin typeface="Fira Sans SemiBold" panose="020B0603050000020004" pitchFamily="34" charset="0"/>
            <a:ea typeface="Fira Sans SemiBold" panose="020B06030500000200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0.4258</cdr:x>
      <cdr:y>0.53863</cdr:y>
    </cdr:from>
    <cdr:to>
      <cdr:x>0.82187</cdr:x>
      <cdr:y>0.61528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181180" y="1647888"/>
          <a:ext cx="2028886" cy="23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pl-PL" sz="900" b="0" i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Średnia</a:t>
          </a:r>
          <a:r>
            <a:rPr lang="pl-PL" sz="900" b="0" i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krajowa</a:t>
          </a:r>
          <a:r>
            <a:rPr lang="pl-PL" sz="900" b="0" i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= 100%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0.99963</cdr:x>
      <cdr:y>0.15712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18745" cy="5486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4.</a:t>
          </a:r>
          <a:r>
            <a:rPr lang="pl-PL" sz="900" b="1" i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Struktura przeciętnego </a:t>
          </a:r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miesięcznego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dochodu rozporządzalnego na 1 osobę</a:t>
          </a:r>
          <a:endParaRPr lang="pl-PL" sz="900" b="1" baseline="0">
            <a:solidFill>
              <a:sysClr val="windowText" lastClr="000000"/>
            </a:solidFill>
            <a:latin typeface="Fira Sans SemiBold" panose="020B0603050000020004" pitchFamily="34" charset="0"/>
            <a:ea typeface="Fira Sans SemiBold" panose="020B0603050000020004" pitchFamily="34" charset="0"/>
            <a:cs typeface="Arial" panose="020B0604020202020204" pitchFamily="34" charset="0"/>
          </a:endParaRP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w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gospodarstwach domowych 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ogółem w 2020 r.</a:t>
          </a:r>
        </a:p>
      </cdr:txBody>
    </cdr:sp>
  </cdr:relSizeAnchor>
  <cdr:relSizeAnchor xmlns:cdr="http://schemas.openxmlformats.org/drawingml/2006/chartDrawing">
    <cdr:from>
      <cdr:x>0</cdr:x>
      <cdr:y>0.91573</cdr:y>
    </cdr:from>
    <cdr:to>
      <cdr:x>0.99772</cdr:x>
      <cdr:y>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0" y="3206338"/>
          <a:ext cx="5108965" cy="2950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36000" tIns="0" rIns="3600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*Na</a:t>
          </a:r>
          <a:r>
            <a:rPr lang="pl-PL" sz="800" baseline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kategorię "Inne dochody" składają się: dochody z własności, dochody z wynajmu nieruchomości oraz pozostałe dochody.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0.00304</cdr:y>
    </cdr:from>
    <cdr:to>
      <cdr:x>0.99963</cdr:x>
      <cdr:y>0.18699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8206"/>
          <a:ext cx="5120640" cy="496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-2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</a:t>
          </a:r>
          <a:r>
            <a:rPr lang="pl-PL" sz="900" b="1" spc="-2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5. 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Zróżnicowanie</a:t>
          </a:r>
          <a:r>
            <a:rPr lang="pl-PL" sz="900" b="1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dochodów mierzone współczynnikiem Giniego dla Polski</a:t>
          </a:r>
        </a:p>
        <a:p xmlns:a="http://schemas.openxmlformats.org/drawingml/2006/main">
          <a:pPr algn="l"/>
          <a:r>
            <a:rPr lang="pl-PL" sz="900" b="1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według miejsca zamieszkania w latach 2004</a:t>
          </a:r>
          <a:r>
            <a:rPr lang="pl-PL" sz="900" b="1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–</a:t>
          </a:r>
          <a:r>
            <a:rPr lang="pl-PL" sz="900" b="1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2020</a:t>
          </a:r>
          <a:endParaRPr lang="pl-PL" sz="900" b="1" i="1" spc="0">
            <a:solidFill>
              <a:sysClr val="windowText" lastClr="000000"/>
            </a:solidFill>
            <a:latin typeface="Fira Sans SemiBold" panose="020B0603050000020004" pitchFamily="34" charset="0"/>
            <a:ea typeface="Fira Sans SemiBold" panose="020B06030500000200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0.00304</cdr:y>
    </cdr:from>
    <cdr:to>
      <cdr:x>0.99927</cdr:x>
      <cdr:y>0.2236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8972"/>
          <a:ext cx="5118806" cy="6509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6. Udział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przeciętnych miesięcznych wydatków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na 1 osobę na żywność i napoje       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bezalkoholowe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oraz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utrzymanie mieszkania lub domu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i nośniki energii w całości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wydatków </a:t>
          </a:r>
          <a:r>
            <a:rPr lang="pl-PL" sz="900" b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gospodarstw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domowych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 latach 2004</a:t>
          </a:r>
          <a:r>
            <a:rPr lang="pl-PL" sz="900" b="1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–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2020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0.99927</cdr:x>
      <cdr:y>0.10815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18806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7.</a:t>
          </a:r>
          <a:r>
            <a:rPr lang="pl-PL" sz="900" b="1" i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Struktura przeciętnych miesięcznych wydatków na 1 osobę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w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gospodarstwach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1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domowych (w</a:t>
          </a:r>
          <a:r>
            <a:rPr lang="pl-PL" sz="900" b="1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% wydatków ogółem) w 2020 r.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0.17616</cdr:x>
      <cdr:y>0.01509</cdr:y>
    </cdr:from>
    <cdr:to>
      <cdr:x>0.85986</cdr:x>
      <cdr:y>0.10776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281114" y="66676"/>
          <a:ext cx="4972050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0.0871</cdr:x>
      <cdr:y>0.00647</cdr:y>
    </cdr:from>
    <cdr:to>
      <cdr:x>0.89915</cdr:x>
      <cdr:y>0.11853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633414" y="28576"/>
          <a:ext cx="5905500" cy="495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0.09889</cdr:x>
      <cdr:y>0.01293</cdr:y>
    </cdr:from>
    <cdr:to>
      <cdr:x>0.87033</cdr:x>
      <cdr:y>0.13147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719139" y="57151"/>
          <a:ext cx="5610225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</cdr:x>
      <cdr:y>4.2735E-7</cdr:y>
    </cdr:from>
    <cdr:to>
      <cdr:x>0.9994</cdr:x>
      <cdr:y>0.22388</cdr:y>
    </cdr:to>
    <cdr:sp macro="" textlink="">
      <cdr:nvSpPr>
        <cdr:cNvPr id="11" name="pole tekstowe 10"/>
        <cdr:cNvSpPr txBox="1"/>
      </cdr:nvSpPr>
      <cdr:spPr>
        <a:xfrm xmlns:a="http://schemas.openxmlformats.org/drawingml/2006/main">
          <a:off x="0" y="1"/>
          <a:ext cx="5119726" cy="5238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8</a:t>
          </a:r>
          <a:r>
            <a:rPr lang="pl-PL" sz="900" b="0" i="1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.</a:t>
          </a:r>
          <a:r>
            <a:rPr lang="pl-PL" sz="900" b="0" i="1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Przeciętny</a:t>
          </a:r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miesięczny d</a:t>
          </a:r>
          <a:r>
            <a:rPr lang="pl-PL" sz="900" b="0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ochód</a:t>
          </a:r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rozporządzalny</a:t>
          </a:r>
          <a:r>
            <a:rPr lang="pl-PL" sz="900" b="0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i wydatki </a:t>
          </a:r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na 1 osobę w gospodarstwach</a:t>
          </a:r>
        </a:p>
        <a:p xmlns:a="http://schemas.openxmlformats.org/drawingml/2006/main">
          <a:pPr algn="l"/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domowych </a:t>
          </a:r>
          <a:r>
            <a:rPr lang="pl-PL" sz="900" b="0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oraz udział</a:t>
          </a:r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przeciętnych miesięcznych wydatków w dochodzie</a:t>
          </a:r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</a:t>
          </a:r>
        </a:p>
        <a:p xmlns:a="http://schemas.openxmlformats.org/drawingml/2006/main">
          <a:pPr algn="l"/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0" spc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rozporządzalnym</a:t>
          </a:r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według grup kwintylowych w 2020 r.</a:t>
          </a:r>
        </a:p>
      </cdr:txBody>
    </cdr:sp>
  </cdr:relSizeAnchor>
  <cdr:relSizeAnchor xmlns:cdr="http://schemas.openxmlformats.org/drawingml/2006/chartDrawing">
    <cdr:from>
      <cdr:x>0</cdr:x>
      <cdr:y>0.2151</cdr:y>
    </cdr:from>
    <cdr:to>
      <cdr:x>0.0595</cdr:x>
      <cdr:y>0.26821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0" y="619430"/>
          <a:ext cx="304791" cy="152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1.34111E-6</cdr:y>
    </cdr:from>
    <cdr:to>
      <cdr:x>0.99963</cdr:x>
      <cdr:y>0.21061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4"/>
          <a:ext cx="5120640" cy="6281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Wykres 9.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spc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Przeciętny miesięczny dochód 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rozporządzalny i wydatki na 1 osobę w gospodarstwach</a:t>
          </a:r>
        </a:p>
        <a:p xmlns:a="http://schemas.openxmlformats.org/drawingml/2006/main">
          <a:pPr algn="l"/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domowych oraz udział wydatków w dochodzie rozporządzalnym</a:t>
          </a:r>
          <a:r>
            <a:rPr lang="pl-PL" sz="900" b="0" spc="0" baseline="0">
              <a:solidFill>
                <a:sysClr val="windowText" lastClr="000000"/>
              </a:solidFill>
              <a:effectLst/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</a:t>
          </a:r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według klasy</a:t>
          </a:r>
        </a:p>
        <a:p xmlns:a="http://schemas.openxmlformats.org/drawingml/2006/main">
          <a:pPr algn="l"/>
          <a:r>
            <a:rPr lang="pl-PL" sz="900" b="0" spc="0" baseline="0">
              <a:solidFill>
                <a:sysClr val="windowText" lastClr="000000"/>
              </a:solidFill>
              <a:latin typeface="Fira Sans SemiBold" panose="020B0603050000020004" pitchFamily="34" charset="0"/>
              <a:ea typeface="Fira Sans SemiBold" panose="020B0603050000020004" pitchFamily="34" charset="0"/>
              <a:cs typeface="Arial" panose="020B0604020202020204" pitchFamily="34" charset="0"/>
            </a:rPr>
            <a:t>                   miejscowości zamieszkania w 2020 r.</a:t>
          </a:r>
        </a:p>
      </cdr:txBody>
    </cdr:sp>
  </cdr:relSizeAnchor>
  <cdr:relSizeAnchor xmlns:cdr="http://schemas.openxmlformats.org/drawingml/2006/chartDrawing">
    <cdr:from>
      <cdr:x>0</cdr:x>
      <cdr:y>0.18991</cdr:y>
    </cdr:from>
    <cdr:to>
      <cdr:x>0.0595</cdr:x>
      <cdr:y>0.25187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594770"/>
          <a:ext cx="304791" cy="1940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GRANATOWY LOGO">
      <a:dk1>
        <a:sysClr val="windowText" lastClr="000000"/>
      </a:dk1>
      <a:lt1>
        <a:sysClr val="window" lastClr="FFFFFF"/>
      </a:lt1>
      <a:dk2>
        <a:srgbClr val="F0AB00"/>
      </a:dk2>
      <a:lt2>
        <a:srgbClr val="CF0B2D"/>
      </a:lt2>
      <a:accent1>
        <a:srgbClr val="001D77"/>
      </a:accent1>
      <a:accent2>
        <a:srgbClr val="334A92"/>
      </a:accent2>
      <a:accent3>
        <a:srgbClr val="6677AD"/>
      </a:accent3>
      <a:accent4>
        <a:srgbClr val="99A5C9"/>
      </a:accent4>
      <a:accent5>
        <a:srgbClr val="CCD2E4"/>
      </a:accent5>
      <a:accent6>
        <a:srgbClr val="D0CFCF"/>
      </a:accent6>
      <a:hlink>
        <a:srgbClr val="AAA9A9"/>
      </a:hlink>
      <a:folHlink>
        <a:srgbClr val="605D5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Sytuacja gospodarstw domowych w 2020 r. w świetle wyników badania budżetów gospodarstw domowych.docx</NazwaPliku>
    <Odbiorcy2 xmlns="8C029B3F-2CC4-4A59-AF0D-A90575FA3373" xsi:nil="true"/>
    <Osoba xmlns="8C029B3F-2CC4-4A59-AF0D-A90575FA3373">STAT\LysonP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218BD5-AE31-4FF1-AF57-1276B1CF5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C2329-7F1E-4071-820A-FBA8D7E6E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3877</Words>
  <Characters>23264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Sytuacja gospodarstw domowych w 2020 r. w świetle wyników badania budżetów gospodarstw domowych</dc:title>
  <dc:subject>Sytuacja gospodarstw domowych w 2020 r. w świetle wyników badania budżetów gospodarstw domowych</dc:subject>
  <dc:creator>Główny Urząd Statystyczny</dc:creator>
  <cp:keywords>budżety gospodarstw domowych; dochody do dyspozycji; dochód rozporządzalny; gospodarstwa domowe; warunki mieszkaniowe; wyposażenie gospodarstw domowych</cp:keywords>
  <dc:description/>
  <cp:lastPrinted>2020-06-26T12:09:00Z</cp:lastPrinted>
  <dcterms:created xsi:type="dcterms:W3CDTF">2021-05-31T07:14:00Z</dcterms:created>
  <dcterms:modified xsi:type="dcterms:W3CDTF">2021-05-31T07:14:00Z</dcterms:modified>
  <cp:category>Dochody, wydatki i warunki życia ludności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/>
  </property>
  <property fmtid="{D5CDD505-2E9C-101B-9397-08002B2CF9AE}" pid="4" name="UNPPisma">
    <vt:lpwstr>2020-89280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Jacyków Dariusz</vt:lpwstr>
  </property>
  <property fmtid="{D5CDD505-2E9C-101B-9397-08002B2CF9AE}" pid="8" name="AutorInicjaly">
    <vt:lpwstr>DJ</vt:lpwstr>
  </property>
  <property fmtid="{D5CDD505-2E9C-101B-9397-08002B2CF9AE}" pid="9" name="AutorNrTelefonu">
    <vt:lpwstr>(22) 608-3574</vt:lpwstr>
  </property>
  <property fmtid="{D5CDD505-2E9C-101B-9397-08002B2CF9AE}" pid="10" name="Stanowisko">
    <vt:lpwstr>główny specjalista</vt:lpwstr>
  </property>
  <property fmtid="{D5CDD505-2E9C-101B-9397-08002B2CF9AE}" pid="11" name="OpisPisma">
    <vt:lpwstr>Sytuacja gospodarstw domowych w 2019 r. w świetle wyników badania budżetów gospodarstw domowych - prośba o akceptację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2020-05-22</vt:lpwstr>
  </property>
  <property fmtid="{D5CDD505-2E9C-101B-9397-08002B2CF9AE}" pid="15" name="Wydzial">
    <vt:lpwstr>Wydział Społeczno-Ekonomicznych Badań Gospodarstw Domowych</vt:lpwstr>
  </property>
  <property fmtid="{D5CDD505-2E9C-101B-9397-08002B2CF9AE}" pid="16" name="KodWydzialu">
    <vt:lpwstr>BS-06</vt:lpwstr>
  </property>
  <property fmtid="{D5CDD505-2E9C-101B-9397-08002B2CF9AE}" pid="17" name="ZaakceptowanePrzez">
    <vt:lpwstr>n/d</vt:lpwstr>
  </property>
  <property fmtid="{D5CDD505-2E9C-101B-9397-08002B2CF9AE}" pid="18" name="PrzekazanieDo">
    <vt:lpwstr>Dariusz Jacyków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Społeczno-Ekonomicznych Badań Gospodarstw Domowych(BS-06)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>2020-05-14</vt:lpwstr>
  </property>
  <property fmtid="{D5CDD505-2E9C-101B-9397-08002B2CF9AE}" pid="35" name="KodKreskowy">
    <vt:lpwstr/>
  </property>
  <property fmtid="{D5CDD505-2E9C-101B-9397-08002B2CF9AE}" pid="36" name="TrescPisma">
    <vt:lpwstr/>
  </property>
</Properties>
</file>