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8B5C" w14:textId="77C44B56" w:rsidR="00393761" w:rsidRPr="007D605C" w:rsidRDefault="00316A71" w:rsidP="00F049AB">
      <w:pPr>
        <w:pStyle w:val="Tytuinfomacjisygnalnej"/>
      </w:pPr>
      <w:r>
        <w:t xml:space="preserve">Wskaźniki cen produkcji budowlano-montażowej     </w:t>
      </w:r>
      <w:r w:rsidRPr="003F006F">
        <w:t>w</w:t>
      </w:r>
      <w:r>
        <w:t xml:space="preserve"> </w:t>
      </w:r>
      <w:r w:rsidR="001A1C52">
        <w:t>lutym</w:t>
      </w:r>
      <w:r>
        <w:t xml:space="preserve"> </w:t>
      </w:r>
      <w:r w:rsidRPr="003F006F">
        <w:t>202</w:t>
      </w:r>
      <w:r>
        <w:t>2</w:t>
      </w:r>
      <w:r w:rsidRPr="003F006F">
        <w:t xml:space="preserve"> r.</w:t>
      </w:r>
      <w:r w:rsidR="00364AF9" w:rsidRPr="007D605C">
        <w:rPr>
          <w:sz w:val="32"/>
        </w:rPr>
        <w:tab/>
      </w:r>
    </w:p>
    <w:p w14:paraId="1E690351" w14:textId="7264CB9F" w:rsidR="00DE58F1" w:rsidRPr="007D0869" w:rsidRDefault="00731D27" w:rsidP="00F049AB">
      <w:pPr>
        <w:pStyle w:val="Lead"/>
        <w:rPr>
          <w:rFonts w:eastAsia="Times New Roman" w:cs="Times New Roman"/>
          <w:bCs/>
          <w:noProof w:val="0"/>
        </w:rPr>
      </w:pPr>
      <w:r w:rsidRPr="00587CEE">
        <w:rPr>
          <w:color w:val="001D77"/>
        </w:rPr>
        <mc:AlternateContent>
          <mc:Choice Requires="wps">
            <w:drawing>
              <wp:anchor distT="45720" distB="45720" distL="114300" distR="114300" simplePos="0" relativeHeight="251738112" behindDoc="0" locked="0" layoutInCell="1" allowOverlap="1" wp14:anchorId="2FC13F97" wp14:editId="42BE8D1A">
                <wp:simplePos x="0" y="0"/>
                <wp:positionH relativeFrom="margin">
                  <wp:align>left</wp:align>
                </wp:positionH>
                <wp:positionV relativeFrom="paragraph">
                  <wp:posOffset>43180</wp:posOffset>
                </wp:positionV>
                <wp:extent cx="2101850" cy="1059815"/>
                <wp:effectExtent l="0" t="0" r="0" b="6985"/>
                <wp:wrapSquare wrapText="bothSides"/>
                <wp:docPr id="6" name="Pole tekstowe 2" descr="o 9,3% wzrost cen producentów w budownictwie w porównaniu z lutym 2021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00" cy="1059815"/>
                        </a:xfrm>
                        <a:prstGeom prst="roundRect">
                          <a:avLst/>
                        </a:prstGeom>
                        <a:solidFill>
                          <a:srgbClr val="001D77"/>
                        </a:solidFill>
                        <a:ln w="9525">
                          <a:noFill/>
                          <a:miter lim="800000"/>
                          <a:headEnd/>
                          <a:tailEnd/>
                        </a:ln>
                      </wps:spPr>
                      <wps:txbx>
                        <w:txbxContent>
                          <w:p w14:paraId="30951E30" w14:textId="32E7CA44" w:rsidR="005C0CAC" w:rsidRPr="007D605C" w:rsidRDefault="00DE6B58" w:rsidP="00CB6AD4">
                            <w:pPr>
                              <w:autoSpaceDE w:val="0"/>
                              <w:autoSpaceDN w:val="0"/>
                              <w:adjustRightInd w:val="0"/>
                              <w:spacing w:before="0"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00BA1490">
                              <w:rPr>
                                <w:rStyle w:val="WartowskanikaZnak"/>
                              </w:rPr>
                              <w:t>9</w:t>
                            </w:r>
                            <w:r w:rsidRPr="00BA1490">
                              <w:rPr>
                                <w:rStyle w:val="WartowskanikaZnak"/>
                              </w:rPr>
                              <w:t>,</w:t>
                            </w:r>
                            <w:r w:rsidR="00067C4B" w:rsidRPr="00BA1490">
                              <w:rPr>
                                <w:rStyle w:val="WartowskanikaZnak"/>
                              </w:rPr>
                              <w:t>3</w:t>
                            </w:r>
                            <w:r w:rsidR="003A7D2B" w:rsidRPr="00BA1490">
                              <w:rPr>
                                <w:rStyle w:val="WartowskanikaZnak"/>
                              </w:rPr>
                              <w:t>%</w:t>
                            </w:r>
                          </w:p>
                          <w:p w14:paraId="340F07C6" w14:textId="77777777" w:rsidR="00B14BA6" w:rsidRDefault="00067C4B" w:rsidP="00316A71">
                            <w:pPr>
                              <w:pStyle w:val="tekstnaniebieskimtle"/>
                            </w:pPr>
                            <w:r>
                              <w:t>wzrost</w:t>
                            </w:r>
                            <w:r w:rsidR="00316A71">
                              <w:t xml:space="preserve"> </w:t>
                            </w:r>
                            <w:r w:rsidR="005744F9">
                              <w:t xml:space="preserve">cen producentów </w:t>
                            </w:r>
                          </w:p>
                          <w:p w14:paraId="4207C0FA" w14:textId="2337F06B" w:rsidR="004770F8" w:rsidRDefault="00316A71" w:rsidP="00316A71">
                            <w:pPr>
                              <w:pStyle w:val="tekstnaniebieskimtle"/>
                            </w:pPr>
                            <w:r>
                              <w:t>w</w:t>
                            </w:r>
                            <w:r w:rsidR="00B14BA6">
                              <w:t> </w:t>
                            </w:r>
                            <w:r w:rsidR="005744F9">
                              <w:t xml:space="preserve">budownictwie w </w:t>
                            </w:r>
                            <w:r w:rsidRPr="00135B7C">
                              <w:t>porównaniu</w:t>
                            </w:r>
                            <w:r w:rsidR="00B14BA6">
                              <w:t xml:space="preserve"> </w:t>
                            </w:r>
                            <w:r w:rsidRPr="00135B7C">
                              <w:t>z</w:t>
                            </w:r>
                            <w:r w:rsidR="005E0060">
                              <w:t xml:space="preserve"> lutym </w:t>
                            </w:r>
                            <w:r w:rsidR="00CC5BE5">
                              <w:t xml:space="preserve"> 2021 r.</w:t>
                            </w:r>
                          </w:p>
                          <w:p w14:paraId="456E3BD0" w14:textId="7D04F3BE" w:rsidR="00316A71" w:rsidRPr="00EB6683" w:rsidRDefault="00B651AD" w:rsidP="00316A71">
                            <w:pPr>
                              <w:pStyle w:val="tekstnaniebieskimtle"/>
                              <w:rPr>
                                <w:color w:val="FFFFFF" w:themeColor="background1"/>
                                <w:sz w:val="18"/>
                                <w:szCs w:val="20"/>
                              </w:rPr>
                            </w:pPr>
                            <w:r>
                              <w:t xml:space="preserve"> poprzedniego roku</w:t>
                            </w:r>
                          </w:p>
                          <w:p w14:paraId="63B3F253" w14:textId="2E67211E" w:rsidR="005C0CAC" w:rsidRPr="007D605C" w:rsidRDefault="005C0CAC" w:rsidP="00316A71">
                            <w:pPr>
                              <w:pStyle w:val="Opiswskanika"/>
                              <w:rPr>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o 9,3% wzrost cen producentów w budownictwie w porównaniu z lutym 2021 r." style="position:absolute;margin-left:0;margin-top:3.4pt;width:165.5pt;height:83.4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" fillcolor="#001d77" stroked="f">
                <v:stroke joinstyle="miter"/>
                <v:textbox>
                  <w:txbxContent>
                    <w:p w14:paraId="30951E30" w14:textId="32E7CA44" w:rsidR="005C0CAC" w:rsidRPr="007D605C" w:rsidRDefault="00DE6B58" w:rsidP="00CB6AD4">
                      <w:pPr>
                        <w:autoSpaceDE w:val="0"/>
                        <w:autoSpaceDN w:val="0"/>
                        <w:adjustRightInd w:val="0"/>
                        <w:spacing w:before="0" w:after="0" w:line="240" w:lineRule="auto"/>
                        <w:rPr>
                          <w:rFonts w:ascii="Fira Sans SemiBold" w:hAnsi="Fira Sans SemiBold"/>
                          <w:color w:val="FFFFFF" w:themeColor="background1"/>
                          <w:sz w:val="60"/>
                          <w:szCs w:val="60"/>
                        </w:rPr>
                      </w:pPr>
                      <w:r w:rsidRPr="00F049AB">
                        <w:rPr>
                          <w:rStyle w:val="IkonawskanikaZnak"/>
                        </w:rPr>
                        <w:sym w:font="Wingdings" w:char="F0F1"/>
                      </w:r>
                      <w:r>
                        <w:rPr>
                          <w:rFonts w:ascii="Fira Sans SemiBold" w:hAnsi="Fira Sans SemiBold"/>
                          <w:color w:val="FFFFFF" w:themeColor="background1"/>
                          <w:sz w:val="60"/>
                          <w:szCs w:val="60"/>
                        </w:rPr>
                        <w:t xml:space="preserve"> </w:t>
                      </w:r>
                      <w:r w:rsidR="00BA1490">
                        <w:rPr>
                          <w:rStyle w:val="WartowskanikaZnak"/>
                        </w:rPr>
                        <w:t>9</w:t>
                      </w:r>
                      <w:r w:rsidRPr="00BA1490">
                        <w:rPr>
                          <w:rStyle w:val="WartowskanikaZnak"/>
                        </w:rPr>
                        <w:t>,</w:t>
                      </w:r>
                      <w:r w:rsidR="00067C4B" w:rsidRPr="00BA1490">
                        <w:rPr>
                          <w:rStyle w:val="WartowskanikaZnak"/>
                        </w:rPr>
                        <w:t>3</w:t>
                      </w:r>
                      <w:r w:rsidR="003A7D2B" w:rsidRPr="00BA1490">
                        <w:rPr>
                          <w:rStyle w:val="WartowskanikaZnak"/>
                        </w:rPr>
                        <w:t>%</w:t>
                      </w:r>
                    </w:p>
                    <w:p w14:paraId="340F07C6" w14:textId="77777777" w:rsidR="00B14BA6" w:rsidRDefault="00067C4B" w:rsidP="00316A71">
                      <w:pPr>
                        <w:pStyle w:val="tekstnaniebieskimtle"/>
                      </w:pPr>
                      <w:r>
                        <w:t>wzrost</w:t>
                      </w:r>
                      <w:r w:rsidR="00316A71">
                        <w:t xml:space="preserve"> </w:t>
                      </w:r>
                      <w:r w:rsidR="005744F9">
                        <w:t xml:space="preserve">cen producentów </w:t>
                      </w:r>
                    </w:p>
                    <w:p w14:paraId="4207C0FA" w14:textId="2337F06B" w:rsidR="004770F8" w:rsidRDefault="00316A71" w:rsidP="00316A71">
                      <w:pPr>
                        <w:pStyle w:val="tekstnaniebieskimtle"/>
                      </w:pPr>
                      <w:r>
                        <w:t>w</w:t>
                      </w:r>
                      <w:r w:rsidR="00B14BA6">
                        <w:t> </w:t>
                      </w:r>
                      <w:r w:rsidR="005744F9">
                        <w:t xml:space="preserve">budownictwie w </w:t>
                      </w:r>
                      <w:r w:rsidRPr="00135B7C">
                        <w:t>porównaniu</w:t>
                      </w:r>
                      <w:r w:rsidR="00B14BA6">
                        <w:t xml:space="preserve"> </w:t>
                      </w:r>
                      <w:r w:rsidRPr="00135B7C">
                        <w:t>z</w:t>
                      </w:r>
                      <w:r w:rsidR="005E0060">
                        <w:t xml:space="preserve"> lutym </w:t>
                      </w:r>
                      <w:r w:rsidR="00CC5BE5">
                        <w:t xml:space="preserve"> 2021 r.</w:t>
                      </w:r>
                    </w:p>
                    <w:p w14:paraId="456E3BD0" w14:textId="7D04F3BE" w:rsidR="00316A71" w:rsidRPr="00EB6683" w:rsidRDefault="00B651AD" w:rsidP="00316A71">
                      <w:pPr>
                        <w:pStyle w:val="tekstnaniebieskimtle"/>
                        <w:rPr>
                          <w:color w:val="FFFFFF" w:themeColor="background1"/>
                          <w:sz w:val="18"/>
                          <w:szCs w:val="20"/>
                        </w:rPr>
                      </w:pPr>
                      <w:r>
                        <w:t xml:space="preserve"> poprzedniego roku</w:t>
                      </w:r>
                    </w:p>
                    <w:p w14:paraId="63B3F253" w14:textId="2E67211E" w:rsidR="005C0CAC" w:rsidRPr="007D605C" w:rsidRDefault="005C0CAC" w:rsidP="00316A71">
                      <w:pPr>
                        <w:pStyle w:val="Opiswskanika"/>
                        <w:rPr>
                          <w:sz w:val="18"/>
                          <w:szCs w:val="20"/>
                        </w:rPr>
                      </w:pPr>
                    </w:p>
                  </w:txbxContent>
                </v:textbox>
                <w10:wrap type="square" anchorx="margin"/>
              </v:roundrect>
            </w:pict>
          </mc:Fallback>
        </mc:AlternateContent>
      </w:r>
      <w:r w:rsidR="00074DD8" w:rsidRPr="007D605C">
        <w:rPr>
          <w:color w:val="001D77"/>
        </w:rPr>
        <w:t xml:space="preserve"> </w:t>
      </w:r>
      <w:r w:rsidR="00A90A6D" w:rsidRPr="007D605C">
        <w:br/>
      </w:r>
      <w:r w:rsidR="00316A71" w:rsidRPr="000225B5">
        <w:rPr>
          <w:rFonts w:eastAsia="Times New Roman" w:cs="Times New Roman"/>
          <w:bCs/>
        </w:rPr>
        <w:t xml:space="preserve">Według wstępnych </w:t>
      </w:r>
      <w:r w:rsidR="00316A71" w:rsidRPr="00B6377D">
        <w:rPr>
          <w:rFonts w:eastAsia="Times New Roman" w:cs="Times New Roman"/>
          <w:bCs/>
        </w:rPr>
        <w:t>danych</w:t>
      </w:r>
      <w:r w:rsidR="00316A71" w:rsidRPr="00AD505B">
        <w:rPr>
          <w:rFonts w:eastAsia="Times New Roman" w:cs="Times New Roman"/>
          <w:bCs/>
        </w:rPr>
        <w:t xml:space="preserve">, </w:t>
      </w:r>
      <w:r w:rsidR="00316A71" w:rsidRPr="00C617E2">
        <w:rPr>
          <w:rFonts w:eastAsia="Times New Roman" w:cs="Times New Roman"/>
          <w:bCs/>
        </w:rPr>
        <w:t>w</w:t>
      </w:r>
      <w:r w:rsidR="00316A71">
        <w:rPr>
          <w:rFonts w:eastAsia="Times New Roman" w:cs="Times New Roman"/>
          <w:bCs/>
        </w:rPr>
        <w:t xml:space="preserve"> </w:t>
      </w:r>
      <w:r w:rsidR="005E0060">
        <w:rPr>
          <w:rFonts w:eastAsia="Times New Roman" w:cs="Times New Roman"/>
          <w:bCs/>
        </w:rPr>
        <w:t>lutym</w:t>
      </w:r>
      <w:r w:rsidR="00316A71" w:rsidRPr="00C617E2">
        <w:rPr>
          <w:rFonts w:eastAsia="Times New Roman" w:cs="Times New Roman"/>
          <w:bCs/>
        </w:rPr>
        <w:t xml:space="preserve"> 202</w:t>
      </w:r>
      <w:r w:rsidR="00316A71">
        <w:rPr>
          <w:rFonts w:eastAsia="Times New Roman" w:cs="Times New Roman"/>
          <w:bCs/>
        </w:rPr>
        <w:t>2</w:t>
      </w:r>
      <w:r w:rsidR="00316A71" w:rsidRPr="00C617E2">
        <w:rPr>
          <w:rFonts w:eastAsia="Times New Roman" w:cs="Times New Roman"/>
          <w:bCs/>
        </w:rPr>
        <w:t xml:space="preserve"> r. ceny</w:t>
      </w:r>
      <w:r w:rsidR="00316A71">
        <w:rPr>
          <w:rFonts w:eastAsia="Times New Roman" w:cs="Times New Roman"/>
          <w:bCs/>
        </w:rPr>
        <w:t xml:space="preserve"> produkcji</w:t>
      </w:r>
      <w:r w:rsidR="00316A71" w:rsidRPr="000225B5">
        <w:rPr>
          <w:rFonts w:eastAsia="Times New Roman" w:cs="Times New Roman"/>
          <w:bCs/>
        </w:rPr>
        <w:t xml:space="preserve"> budowlano-montażowej</w:t>
      </w:r>
      <w:r w:rsidR="00316A71">
        <w:rPr>
          <w:rFonts w:eastAsia="Times New Roman" w:cs="Times New Roman"/>
          <w:bCs/>
        </w:rPr>
        <w:t xml:space="preserve"> w porównaniu </w:t>
      </w:r>
      <w:r w:rsidR="001F3E4C">
        <w:rPr>
          <w:rFonts w:eastAsia="Times New Roman" w:cs="Times New Roman"/>
          <w:bCs/>
        </w:rPr>
        <w:t xml:space="preserve">  </w:t>
      </w:r>
      <w:r w:rsidR="004F0246">
        <w:rPr>
          <w:rFonts w:eastAsia="Times New Roman" w:cs="Times New Roman"/>
          <w:bCs/>
        </w:rPr>
        <w:t xml:space="preserve"> </w:t>
      </w:r>
      <w:r w:rsidR="001F3E4C">
        <w:rPr>
          <w:rFonts w:eastAsia="Times New Roman" w:cs="Times New Roman"/>
          <w:bCs/>
        </w:rPr>
        <w:t xml:space="preserve"> </w:t>
      </w:r>
      <w:r w:rsidR="00316A71">
        <w:rPr>
          <w:rFonts w:eastAsia="Times New Roman" w:cs="Times New Roman"/>
          <w:bCs/>
        </w:rPr>
        <w:t xml:space="preserve">z analogicznym miesiącem poprzedniego </w:t>
      </w:r>
      <w:r w:rsidR="00316A71" w:rsidRPr="00BA6634">
        <w:rPr>
          <w:rFonts w:eastAsia="Times New Roman" w:cs="Times New Roman"/>
          <w:bCs/>
        </w:rPr>
        <w:t xml:space="preserve">roku </w:t>
      </w:r>
      <w:r w:rsidR="00316A71" w:rsidRPr="00030B44">
        <w:rPr>
          <w:rFonts w:eastAsia="Times New Roman" w:cs="Times New Roman"/>
          <w:bCs/>
        </w:rPr>
        <w:t xml:space="preserve">wzrosły </w:t>
      </w:r>
      <w:r w:rsidR="00316A71" w:rsidRPr="00FE79AA">
        <w:rPr>
          <w:rFonts w:eastAsia="Times New Roman" w:cs="Times New Roman"/>
          <w:bCs/>
        </w:rPr>
        <w:t xml:space="preserve">o </w:t>
      </w:r>
      <w:r w:rsidR="004D0AED" w:rsidRPr="00FE79AA">
        <w:rPr>
          <w:rFonts w:eastAsia="Times New Roman" w:cs="Times New Roman"/>
          <w:bCs/>
        </w:rPr>
        <w:t>9</w:t>
      </w:r>
      <w:r w:rsidR="00316A71" w:rsidRPr="00FE79AA">
        <w:rPr>
          <w:rFonts w:eastAsia="Times New Roman" w:cs="Times New Roman"/>
          <w:bCs/>
        </w:rPr>
        <w:t>,</w:t>
      </w:r>
      <w:r w:rsidR="001F3E4C" w:rsidRPr="00FE79AA">
        <w:rPr>
          <w:rFonts w:eastAsia="Times New Roman" w:cs="Times New Roman"/>
          <w:bCs/>
        </w:rPr>
        <w:t>3</w:t>
      </w:r>
      <w:r w:rsidR="00316A71" w:rsidRPr="00FE79AA">
        <w:rPr>
          <w:rFonts w:eastAsia="Times New Roman" w:cs="Times New Roman"/>
          <w:bCs/>
        </w:rPr>
        <w:t>%,</w:t>
      </w:r>
      <w:r w:rsidR="00316A71">
        <w:rPr>
          <w:rFonts w:eastAsia="Times New Roman" w:cs="Times New Roman"/>
          <w:bCs/>
        </w:rPr>
        <w:t xml:space="preserve"> </w:t>
      </w:r>
      <w:r w:rsidR="005E0060">
        <w:rPr>
          <w:rFonts w:eastAsia="Times New Roman" w:cs="Times New Roman"/>
          <w:bCs/>
        </w:rPr>
        <w:t xml:space="preserve"> </w:t>
      </w:r>
      <w:r w:rsidR="00316A71" w:rsidRPr="00C65D3D">
        <w:rPr>
          <w:rFonts w:eastAsia="Times New Roman" w:cs="Times New Roman"/>
          <w:bCs/>
        </w:rPr>
        <w:t xml:space="preserve">a w porównaniu </w:t>
      </w:r>
      <w:r w:rsidR="00316A71" w:rsidRPr="009B4E08">
        <w:rPr>
          <w:rFonts w:eastAsia="Times New Roman" w:cs="Times New Roman"/>
          <w:bCs/>
        </w:rPr>
        <w:t>z</w:t>
      </w:r>
      <w:r w:rsidR="005E0060">
        <w:rPr>
          <w:rFonts w:eastAsia="Times New Roman" w:cs="Times New Roman"/>
          <w:bCs/>
        </w:rPr>
        <w:t xml:space="preserve">e  styczniem </w:t>
      </w:r>
      <w:r w:rsidR="004D0AED">
        <w:rPr>
          <w:rFonts w:eastAsia="Times New Roman" w:cs="Times New Roman"/>
          <w:bCs/>
        </w:rPr>
        <w:t xml:space="preserve"> </w:t>
      </w:r>
      <w:r w:rsidR="004F0246">
        <w:rPr>
          <w:rFonts w:eastAsia="Times New Roman" w:cs="Times New Roman"/>
          <w:bCs/>
        </w:rPr>
        <w:t xml:space="preserve"> </w:t>
      </w:r>
      <w:r w:rsidR="005E0060">
        <w:rPr>
          <w:rFonts w:eastAsia="Times New Roman" w:cs="Times New Roman"/>
          <w:bCs/>
        </w:rPr>
        <w:t xml:space="preserve"> </w:t>
      </w:r>
      <w:r w:rsidR="00316A71" w:rsidRPr="009B4E08">
        <w:rPr>
          <w:rFonts w:eastAsia="Times New Roman" w:cs="Times New Roman"/>
          <w:bCs/>
        </w:rPr>
        <w:t>202</w:t>
      </w:r>
      <w:r w:rsidR="005E0060">
        <w:rPr>
          <w:rFonts w:eastAsia="Times New Roman" w:cs="Times New Roman"/>
          <w:bCs/>
        </w:rPr>
        <w:t>2</w:t>
      </w:r>
      <w:r w:rsidR="00316A71" w:rsidRPr="009B4E08">
        <w:rPr>
          <w:rFonts w:eastAsia="Times New Roman" w:cs="Times New Roman"/>
          <w:bCs/>
        </w:rPr>
        <w:t xml:space="preserve"> r</w:t>
      </w:r>
      <w:r w:rsidR="00316A71" w:rsidRPr="003F006F">
        <w:rPr>
          <w:rFonts w:eastAsia="Times New Roman" w:cs="Times New Roman"/>
          <w:bCs/>
        </w:rPr>
        <w:t xml:space="preserve">. </w:t>
      </w:r>
      <w:r w:rsidR="00316A71" w:rsidRPr="001F3E4C">
        <w:rPr>
          <w:rFonts w:eastAsia="Times New Roman" w:cs="Times New Roman"/>
          <w:bCs/>
        </w:rPr>
        <w:t xml:space="preserve">- </w:t>
      </w:r>
      <w:r w:rsidR="00316A71" w:rsidRPr="004D0AED">
        <w:rPr>
          <w:rFonts w:eastAsia="Times New Roman" w:cs="Times New Roman"/>
          <w:bCs/>
        </w:rPr>
        <w:t>o 1,</w:t>
      </w:r>
      <w:r w:rsidR="004D0AED" w:rsidRPr="004D0AED">
        <w:rPr>
          <w:rFonts w:eastAsia="Times New Roman" w:cs="Times New Roman"/>
          <w:bCs/>
        </w:rPr>
        <w:t>2</w:t>
      </w:r>
      <w:r w:rsidR="00316A71" w:rsidRPr="004D0AED">
        <w:rPr>
          <w:rFonts w:eastAsia="Times New Roman" w:cs="Times New Roman"/>
          <w:bCs/>
        </w:rPr>
        <w:t>%.</w:t>
      </w:r>
    </w:p>
    <w:p w14:paraId="3DB10F9F" w14:textId="4679FDBC" w:rsidR="00E95B8E" w:rsidRDefault="000647A9" w:rsidP="00E95B8E">
      <w:pPr>
        <w:pStyle w:val="Nagwek1"/>
        <w:rPr>
          <w:rFonts w:ascii="Fira Sans" w:hAnsi="Fira Sans"/>
          <w:b/>
          <w:szCs w:val="19"/>
        </w:rPr>
      </w:pPr>
      <w:r w:rsidRPr="00823593">
        <w:rPr>
          <w:rFonts w:ascii="Fira Sans" w:hAnsi="Fira Sans"/>
          <w:b/>
          <w:noProof/>
          <w:spacing w:val="-2"/>
          <w:szCs w:val="19"/>
        </w:rPr>
        <mc:AlternateContent>
          <mc:Choice Requires="wps">
            <w:drawing>
              <wp:anchor distT="45720" distB="45720" distL="114300" distR="114300" simplePos="0" relativeHeight="251674624" behindDoc="1" locked="0" layoutInCell="1" allowOverlap="1" wp14:anchorId="6367A9BC" wp14:editId="090B88F2">
                <wp:simplePos x="0" y="0"/>
                <wp:positionH relativeFrom="column">
                  <wp:posOffset>5273684</wp:posOffset>
                </wp:positionH>
                <wp:positionV relativeFrom="paragraph">
                  <wp:posOffset>215341</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descr="Lorem ipsum dolor sit amet, consectetur adipiscing eli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66113316" w14:textId="56539F62" w:rsidR="00D616D2" w:rsidRPr="00E95B8E" w:rsidRDefault="00D616D2" w:rsidP="005F45EE">
                            <w:pPr>
                              <w:pStyle w:val="tekstzboku"/>
                              <w:rPr>
                                <w:bCs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Lorem ipsum dolor sit amet, consectetur adipiscing elit" style="position:absolute;margin-left:415.25pt;margin-top:16.95pt;width:135.85pt;height:6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" filled="f" stroked="f">
                <v:textbox>
                  <w:txbxContent>
                    <w:p w14:paraId="66113316" w14:textId="56539F62" w:rsidR="00D616D2" w:rsidRPr="00E95B8E" w:rsidRDefault="00D616D2" w:rsidP="005F45EE">
                      <w:pPr>
                        <w:pStyle w:val="tekstzboku"/>
                        <w:rPr>
                          <w:bCs w:val="0"/>
                        </w:rPr>
                      </w:pPr>
                    </w:p>
                  </w:txbxContent>
                </v:textbox>
                <w10:wrap type="tight"/>
              </v:shape>
            </w:pict>
          </mc:Fallback>
        </mc:AlternateContent>
      </w:r>
      <w:r w:rsidR="00CB6AD4" w:rsidRPr="00E231AB">
        <w:rPr>
          <w:shd w:val="clear" w:color="auto" w:fill="FFFFFF"/>
        </w:rPr>
        <w:br/>
      </w:r>
    </w:p>
    <w:p w14:paraId="6C402599" w14:textId="26DB147A" w:rsidR="001578AB" w:rsidRPr="009B7A1C" w:rsidRDefault="001578AB" w:rsidP="001578AB">
      <w:pPr>
        <w:jc w:val="both"/>
        <w:rPr>
          <w:shd w:val="clear" w:color="auto" w:fill="FFFFFF"/>
        </w:rPr>
      </w:pPr>
      <w:r w:rsidRPr="001857EF">
        <w:rPr>
          <w:shd w:val="clear" w:color="auto" w:fill="FFFFFF"/>
        </w:rPr>
        <w:t>W</w:t>
      </w:r>
      <w:r>
        <w:rPr>
          <w:shd w:val="clear" w:color="auto" w:fill="FFFFFF"/>
        </w:rPr>
        <w:t xml:space="preserve"> </w:t>
      </w:r>
      <w:r w:rsidR="005E0060">
        <w:rPr>
          <w:shd w:val="clear" w:color="auto" w:fill="FFFFFF"/>
        </w:rPr>
        <w:t>lutym</w:t>
      </w:r>
      <w:r w:rsidRPr="001857EF">
        <w:rPr>
          <w:shd w:val="clear" w:color="auto" w:fill="FFFFFF"/>
        </w:rPr>
        <w:t xml:space="preserve"> 202</w:t>
      </w:r>
      <w:r>
        <w:rPr>
          <w:shd w:val="clear" w:color="auto" w:fill="FFFFFF"/>
        </w:rPr>
        <w:t>2</w:t>
      </w:r>
      <w:r w:rsidRPr="001857EF">
        <w:rPr>
          <w:shd w:val="clear" w:color="auto" w:fill="FFFFFF"/>
        </w:rPr>
        <w:t xml:space="preserve"> r.</w:t>
      </w:r>
      <w:r w:rsidRPr="00EE2C6C">
        <w:rPr>
          <w:shd w:val="clear" w:color="auto" w:fill="FFFFFF"/>
        </w:rPr>
        <w:t xml:space="preserve"> w stosunku do </w:t>
      </w:r>
      <w:r w:rsidR="005E0060">
        <w:rPr>
          <w:shd w:val="clear" w:color="auto" w:fill="FFFFFF"/>
        </w:rPr>
        <w:t>stycznia</w:t>
      </w:r>
      <w:r w:rsidRPr="001857EF">
        <w:rPr>
          <w:shd w:val="clear" w:color="auto" w:fill="FFFFFF"/>
        </w:rPr>
        <w:t xml:space="preserve"> 202</w:t>
      </w:r>
      <w:r w:rsidR="005E0060">
        <w:rPr>
          <w:shd w:val="clear" w:color="auto" w:fill="FFFFFF"/>
        </w:rPr>
        <w:t>2</w:t>
      </w:r>
      <w:r w:rsidRPr="001857EF">
        <w:rPr>
          <w:shd w:val="clear" w:color="auto" w:fill="FFFFFF"/>
        </w:rPr>
        <w:t xml:space="preserve"> r.</w:t>
      </w:r>
      <w:r w:rsidRPr="00B334AE">
        <w:rPr>
          <w:shd w:val="clear" w:color="auto" w:fill="FFFFFF"/>
        </w:rPr>
        <w:t xml:space="preserve"> </w:t>
      </w:r>
      <w:r>
        <w:rPr>
          <w:shd w:val="clear" w:color="auto" w:fill="FFFFFF"/>
        </w:rPr>
        <w:t>z</w:t>
      </w:r>
      <w:r w:rsidRPr="009B7A1C">
        <w:rPr>
          <w:shd w:val="clear" w:color="auto" w:fill="FFFFFF"/>
        </w:rPr>
        <w:t xml:space="preserve">anotowano </w:t>
      </w:r>
      <w:r>
        <w:rPr>
          <w:shd w:val="clear" w:color="auto" w:fill="FFFFFF"/>
        </w:rPr>
        <w:t xml:space="preserve">wzrost cen budowy budynków  oraz </w:t>
      </w:r>
      <w:r w:rsidRPr="002B4251">
        <w:rPr>
          <w:shd w:val="clear" w:color="auto" w:fill="FFFFFF"/>
        </w:rPr>
        <w:t>budowy</w:t>
      </w:r>
      <w:r>
        <w:rPr>
          <w:shd w:val="clear" w:color="auto" w:fill="FFFFFF"/>
        </w:rPr>
        <w:t xml:space="preserve"> </w:t>
      </w:r>
      <w:r w:rsidRPr="009B7A1C">
        <w:rPr>
          <w:shd w:val="clear" w:color="auto" w:fill="FFFFFF"/>
        </w:rPr>
        <w:t>obiektów inżynierii lądowej</w:t>
      </w:r>
      <w:r>
        <w:rPr>
          <w:shd w:val="clear" w:color="auto" w:fill="FFFFFF"/>
        </w:rPr>
        <w:t xml:space="preserve"> </w:t>
      </w:r>
      <w:r w:rsidRPr="00C264A5">
        <w:rPr>
          <w:shd w:val="clear" w:color="auto" w:fill="FFFFFF"/>
        </w:rPr>
        <w:t>i </w:t>
      </w:r>
      <w:r w:rsidRPr="000607AB">
        <w:rPr>
          <w:shd w:val="clear" w:color="auto" w:fill="FFFFFF"/>
        </w:rPr>
        <w:t>wodnej</w:t>
      </w:r>
      <w:r w:rsidRPr="007A5335">
        <w:rPr>
          <w:shd w:val="clear" w:color="auto" w:fill="FFFFFF"/>
        </w:rPr>
        <w:t xml:space="preserve"> </w:t>
      </w:r>
      <w:r w:rsidRPr="00C4736D">
        <w:rPr>
          <w:shd w:val="clear" w:color="auto" w:fill="FFFFFF"/>
        </w:rPr>
        <w:t xml:space="preserve">- </w:t>
      </w:r>
      <w:r w:rsidRPr="002F403F">
        <w:rPr>
          <w:shd w:val="clear" w:color="auto" w:fill="FFFFFF"/>
        </w:rPr>
        <w:t>po 1,</w:t>
      </w:r>
      <w:r w:rsidR="002F403F" w:rsidRPr="002F403F">
        <w:rPr>
          <w:shd w:val="clear" w:color="auto" w:fill="FFFFFF"/>
        </w:rPr>
        <w:t>2</w:t>
      </w:r>
      <w:r w:rsidRPr="002F403F">
        <w:rPr>
          <w:shd w:val="clear" w:color="auto" w:fill="FFFFFF"/>
        </w:rPr>
        <w:t>%,</w:t>
      </w:r>
      <w:r>
        <w:rPr>
          <w:shd w:val="clear" w:color="auto" w:fill="FFFFFF"/>
        </w:rPr>
        <w:t xml:space="preserve"> jak również  robót </w:t>
      </w:r>
      <w:r w:rsidRPr="009B7A1C">
        <w:rPr>
          <w:shd w:val="clear" w:color="auto" w:fill="FFFFFF"/>
        </w:rPr>
        <w:t xml:space="preserve">budowlanych </w:t>
      </w:r>
      <w:r w:rsidRPr="00CA449D">
        <w:rPr>
          <w:shd w:val="clear" w:color="auto" w:fill="FFFFFF"/>
        </w:rPr>
        <w:t>specjalistycznych</w:t>
      </w:r>
      <w:r>
        <w:rPr>
          <w:shd w:val="clear" w:color="auto" w:fill="FFFFFF"/>
        </w:rPr>
        <w:t xml:space="preserve"> </w:t>
      </w:r>
      <w:r w:rsidRPr="001F3E4C">
        <w:rPr>
          <w:shd w:val="clear" w:color="auto" w:fill="FFFFFF"/>
        </w:rPr>
        <w:t xml:space="preserve">- </w:t>
      </w:r>
      <w:r w:rsidRPr="002F403F">
        <w:rPr>
          <w:shd w:val="clear" w:color="auto" w:fill="FFFFFF"/>
        </w:rPr>
        <w:t xml:space="preserve">o </w:t>
      </w:r>
      <w:r w:rsidR="001F3E4C" w:rsidRPr="002F403F">
        <w:rPr>
          <w:shd w:val="clear" w:color="auto" w:fill="FFFFFF"/>
        </w:rPr>
        <w:t>1</w:t>
      </w:r>
      <w:r w:rsidRPr="002F403F">
        <w:rPr>
          <w:shd w:val="clear" w:color="auto" w:fill="FFFFFF"/>
        </w:rPr>
        <w:t>,</w:t>
      </w:r>
      <w:r w:rsidR="002F403F" w:rsidRPr="002F403F">
        <w:rPr>
          <w:shd w:val="clear" w:color="auto" w:fill="FFFFFF"/>
        </w:rPr>
        <w:t>1</w:t>
      </w:r>
      <w:r w:rsidRPr="002F403F">
        <w:rPr>
          <w:shd w:val="clear" w:color="auto" w:fill="FFFFFF"/>
        </w:rPr>
        <w:t>%.</w:t>
      </w:r>
      <w:r>
        <w:rPr>
          <w:shd w:val="clear" w:color="auto" w:fill="FFFFFF"/>
        </w:rPr>
        <w:t xml:space="preserve">  </w:t>
      </w:r>
      <w:r w:rsidRPr="007D20B4">
        <w:rPr>
          <w:shd w:val="clear" w:color="auto" w:fill="FFFFFF"/>
        </w:rPr>
        <w:t xml:space="preserve"> </w:t>
      </w:r>
    </w:p>
    <w:p w14:paraId="40E618D6" w14:textId="6EC7E1D8" w:rsidR="001578AB" w:rsidRDefault="001578AB" w:rsidP="001578AB">
      <w:pPr>
        <w:jc w:val="both"/>
        <w:rPr>
          <w:shd w:val="clear" w:color="auto" w:fill="FFFFFF"/>
        </w:rPr>
      </w:pPr>
      <w:r>
        <w:rPr>
          <w:shd w:val="clear" w:color="auto" w:fill="FFFFFF"/>
        </w:rPr>
        <w:t xml:space="preserve"> </w:t>
      </w:r>
      <w:r w:rsidRPr="001E7DD5">
        <w:rPr>
          <w:shd w:val="clear" w:color="auto" w:fill="FFFFFF"/>
        </w:rPr>
        <w:t xml:space="preserve">W porównaniu </w:t>
      </w:r>
      <w:r w:rsidRPr="00E046AD">
        <w:rPr>
          <w:shd w:val="clear" w:color="auto" w:fill="FFFFFF"/>
        </w:rPr>
        <w:t>z</w:t>
      </w:r>
      <w:r w:rsidR="005E0060">
        <w:rPr>
          <w:shd w:val="clear" w:color="auto" w:fill="FFFFFF"/>
        </w:rPr>
        <w:t xml:space="preserve"> lutym</w:t>
      </w:r>
      <w:r w:rsidRPr="00E046AD">
        <w:rPr>
          <w:shd w:val="clear" w:color="auto" w:fill="FFFFFF"/>
        </w:rPr>
        <w:t xml:space="preserve"> 202</w:t>
      </w:r>
      <w:r>
        <w:rPr>
          <w:shd w:val="clear" w:color="auto" w:fill="FFFFFF"/>
        </w:rPr>
        <w:t>1</w:t>
      </w:r>
      <w:r w:rsidR="005E12BF">
        <w:rPr>
          <w:shd w:val="clear" w:color="auto" w:fill="FFFFFF"/>
        </w:rPr>
        <w:t xml:space="preserve"> </w:t>
      </w:r>
      <w:r w:rsidRPr="00E046AD">
        <w:rPr>
          <w:shd w:val="clear" w:color="auto" w:fill="FFFFFF"/>
        </w:rPr>
        <w:t>r.</w:t>
      </w:r>
      <w:r w:rsidRPr="001D2F4B">
        <w:rPr>
          <w:shd w:val="clear" w:color="auto" w:fill="FFFFFF"/>
        </w:rPr>
        <w:t xml:space="preserve"> podniesiono</w:t>
      </w:r>
      <w:r>
        <w:rPr>
          <w:shd w:val="clear" w:color="auto" w:fill="FFFFFF"/>
        </w:rPr>
        <w:t xml:space="preserve"> ceny</w:t>
      </w:r>
      <w:r w:rsidRPr="00AC14C9">
        <w:rPr>
          <w:shd w:val="clear" w:color="auto" w:fill="FFFFFF"/>
        </w:rPr>
        <w:t xml:space="preserve"> budowy </w:t>
      </w:r>
      <w:r w:rsidRPr="00947EA8">
        <w:rPr>
          <w:shd w:val="clear" w:color="auto" w:fill="FFFFFF"/>
        </w:rPr>
        <w:t>budynków</w:t>
      </w:r>
      <w:r>
        <w:rPr>
          <w:shd w:val="clear" w:color="auto" w:fill="FFFFFF"/>
        </w:rPr>
        <w:t xml:space="preserve"> </w:t>
      </w:r>
      <w:r w:rsidRPr="004A1469">
        <w:rPr>
          <w:shd w:val="clear" w:color="auto" w:fill="FFFFFF"/>
        </w:rPr>
        <w:t xml:space="preserve">o </w:t>
      </w:r>
      <w:r w:rsidR="004A1469" w:rsidRPr="004A1469">
        <w:rPr>
          <w:shd w:val="clear" w:color="auto" w:fill="FFFFFF"/>
        </w:rPr>
        <w:t>9</w:t>
      </w:r>
      <w:r w:rsidRPr="004A1469">
        <w:rPr>
          <w:shd w:val="clear" w:color="auto" w:fill="FFFFFF"/>
        </w:rPr>
        <w:t>,</w:t>
      </w:r>
      <w:r w:rsidR="00EC57DB" w:rsidRPr="004A1469">
        <w:rPr>
          <w:shd w:val="clear" w:color="auto" w:fill="FFFFFF"/>
        </w:rPr>
        <w:t>7</w:t>
      </w:r>
      <w:r w:rsidRPr="004A1469">
        <w:rPr>
          <w:shd w:val="clear" w:color="auto" w:fill="FFFFFF"/>
        </w:rPr>
        <w:t>%,</w:t>
      </w:r>
      <w:r>
        <w:rPr>
          <w:shd w:val="clear" w:color="auto" w:fill="FFFFFF"/>
        </w:rPr>
        <w:t xml:space="preserve"> budowy obiektów </w:t>
      </w:r>
      <w:r w:rsidRPr="00AC14C9">
        <w:rPr>
          <w:shd w:val="clear" w:color="auto" w:fill="FFFFFF"/>
        </w:rPr>
        <w:t>in</w:t>
      </w:r>
      <w:r>
        <w:rPr>
          <w:shd w:val="clear" w:color="auto" w:fill="FFFFFF"/>
        </w:rPr>
        <w:t xml:space="preserve">żynierii lądowej i </w:t>
      </w:r>
      <w:r w:rsidRPr="00C4736D">
        <w:rPr>
          <w:shd w:val="clear" w:color="auto" w:fill="FFFFFF"/>
        </w:rPr>
        <w:t xml:space="preserve">wodnej </w:t>
      </w:r>
      <w:r w:rsidRPr="004A1469">
        <w:rPr>
          <w:shd w:val="clear" w:color="auto" w:fill="FFFFFF"/>
        </w:rPr>
        <w:t xml:space="preserve">- o </w:t>
      </w:r>
      <w:r w:rsidR="004A1469" w:rsidRPr="004A1469">
        <w:rPr>
          <w:shd w:val="clear" w:color="auto" w:fill="FFFFFF"/>
        </w:rPr>
        <w:t>9</w:t>
      </w:r>
      <w:r w:rsidRPr="004A1469">
        <w:rPr>
          <w:shd w:val="clear" w:color="auto" w:fill="FFFFFF"/>
        </w:rPr>
        <w:t>,</w:t>
      </w:r>
      <w:r w:rsidR="004A1469" w:rsidRPr="004A1469">
        <w:rPr>
          <w:shd w:val="clear" w:color="auto" w:fill="FFFFFF"/>
        </w:rPr>
        <w:t>6</w:t>
      </w:r>
      <w:r w:rsidRPr="004A1469">
        <w:rPr>
          <w:shd w:val="clear" w:color="auto" w:fill="FFFFFF"/>
        </w:rPr>
        <w:t>%</w:t>
      </w:r>
      <w:r>
        <w:rPr>
          <w:shd w:val="clear" w:color="auto" w:fill="FFFFFF"/>
        </w:rPr>
        <w:t xml:space="preserve"> oraz </w:t>
      </w:r>
      <w:r w:rsidRPr="00B50F19">
        <w:rPr>
          <w:shd w:val="clear" w:color="auto" w:fill="FFFFFF"/>
        </w:rPr>
        <w:t>robót budowlanych specjalistycznych</w:t>
      </w:r>
      <w:r w:rsidR="00F43224">
        <w:rPr>
          <w:shd w:val="clear" w:color="auto" w:fill="FFFFFF"/>
        </w:rPr>
        <w:t xml:space="preserve"> </w:t>
      </w:r>
      <w:r w:rsidR="00F43224" w:rsidRPr="00A75D45">
        <w:rPr>
          <w:shd w:val="clear" w:color="auto" w:fill="FFFFFF"/>
        </w:rPr>
        <w:t>– o </w:t>
      </w:r>
      <w:r w:rsidR="00A75D45" w:rsidRPr="00A75D45">
        <w:rPr>
          <w:shd w:val="clear" w:color="auto" w:fill="FFFFFF"/>
        </w:rPr>
        <w:t>8</w:t>
      </w:r>
      <w:r w:rsidRPr="00A75D45">
        <w:rPr>
          <w:shd w:val="clear" w:color="auto" w:fill="FFFFFF"/>
        </w:rPr>
        <w:t>,5%.</w:t>
      </w:r>
      <w:r>
        <w:rPr>
          <w:shd w:val="clear" w:color="auto" w:fill="FFFFFF"/>
        </w:rPr>
        <w:t xml:space="preserve"> </w:t>
      </w:r>
    </w:p>
    <w:p w14:paraId="053018C1" w14:textId="77777777" w:rsidR="00BE6521" w:rsidRDefault="00BE6521" w:rsidP="001578AB">
      <w:pPr>
        <w:jc w:val="both"/>
        <w:rPr>
          <w:shd w:val="clear" w:color="auto" w:fill="FFFFFF"/>
        </w:rPr>
      </w:pPr>
    </w:p>
    <w:p w14:paraId="38E777BD" w14:textId="2A153795" w:rsidR="001578AB" w:rsidRDefault="001578AB" w:rsidP="001578AB">
      <w:pPr>
        <w:rPr>
          <w:b/>
          <w:shd w:val="clear" w:color="auto" w:fill="FFFFFF"/>
        </w:rPr>
      </w:pPr>
      <w:r w:rsidRPr="00D11337">
        <w:rPr>
          <w:b/>
          <w:shd w:val="clear" w:color="auto" w:fill="FFFFFF"/>
        </w:rPr>
        <w:t xml:space="preserve">Tablica 1. Wskaźniki cen produkcji </w:t>
      </w:r>
      <w:r>
        <w:rPr>
          <w:b/>
          <w:shd w:val="clear" w:color="auto" w:fill="FFFFFF"/>
        </w:rPr>
        <w:t>budowlano-</w:t>
      </w:r>
      <w:r w:rsidRPr="00D20010">
        <w:rPr>
          <w:b/>
          <w:shd w:val="clear" w:color="auto" w:fill="FFFFFF"/>
        </w:rPr>
        <w:t xml:space="preserve">montażowej </w:t>
      </w:r>
      <w:r w:rsidRPr="00E046AD">
        <w:rPr>
          <w:b/>
          <w:shd w:val="clear" w:color="auto" w:fill="FFFFFF"/>
        </w:rPr>
        <w:t xml:space="preserve">w </w:t>
      </w:r>
      <w:r w:rsidR="00173157">
        <w:rPr>
          <w:b/>
          <w:shd w:val="clear" w:color="auto" w:fill="FFFFFF"/>
        </w:rPr>
        <w:t xml:space="preserve">lutym </w:t>
      </w:r>
      <w:r w:rsidRPr="00E046AD">
        <w:rPr>
          <w:b/>
          <w:shd w:val="clear" w:color="auto" w:fill="FFFFFF"/>
        </w:rPr>
        <w:t>202</w:t>
      </w:r>
      <w:r>
        <w:rPr>
          <w:b/>
          <w:shd w:val="clear" w:color="auto" w:fill="FFFFFF"/>
        </w:rPr>
        <w:t>2</w:t>
      </w:r>
      <w:r w:rsidRPr="00E046AD">
        <w:rPr>
          <w:b/>
          <w:shd w:val="clear" w:color="auto" w:fill="FFFFFF"/>
        </w:rPr>
        <w:t xml:space="preserve"> r.</w:t>
      </w:r>
    </w:p>
    <w:tbl>
      <w:tblPr>
        <w:tblStyle w:val="Tabela-Siatka"/>
        <w:tblpPr w:leftFromText="141" w:rightFromText="141" w:vertAnchor="text" w:horzAnchor="margin" w:tblpY="182"/>
        <w:tblW w:w="0" w:type="auto"/>
        <w:tblBorders>
          <w:top w:val="none" w:sz="0" w:space="0" w:color="auto"/>
          <w:left w:val="none" w:sz="0" w:space="0" w:color="auto"/>
          <w:bottom w:val="none" w:sz="0" w:space="0" w:color="auto"/>
          <w:right w:val="none" w:sz="0" w:space="0" w:color="auto"/>
          <w:insideH w:val="single" w:sz="4" w:space="0" w:color="001D77"/>
          <w:insideV w:val="single" w:sz="4" w:space="0" w:color="001D77"/>
        </w:tblBorders>
        <w:tblLayout w:type="fixed"/>
        <w:tblLook w:val="04A0" w:firstRow="1" w:lastRow="0" w:firstColumn="1" w:lastColumn="0" w:noHBand="0" w:noVBand="1"/>
        <w:tblCaption w:val="Wskaźniki cen produkcji budowlano-montażowej w lutym 2022 r."/>
        <w:tblDescription w:val="Wskaźniki cen produkcji budowlano-montażowej w  różnych okresach odniesienia: styczeń 2022 r. do grudnia 2021 r., styczeń 2022 r. do analogicznego okresu ubiegłego roku tj. stycznia  2021 r.,luty 2022 r. do analogicznego okresu ubiegłego roku tj. lutego 2021 r.,luty 2022 r. do stycznia 2022 r., luty 2022 r. do grudnia 2021 r., narastająco styczeń i luty 2022 r. do stycznia i lutego 2021 r."/>
      </w:tblPr>
      <w:tblGrid>
        <w:gridCol w:w="2194"/>
        <w:gridCol w:w="953"/>
        <w:gridCol w:w="953"/>
        <w:gridCol w:w="953"/>
        <w:gridCol w:w="953"/>
        <w:gridCol w:w="953"/>
        <w:gridCol w:w="979"/>
      </w:tblGrid>
      <w:tr w:rsidR="00173157" w:rsidRPr="002929E3" w14:paraId="42B45BC3" w14:textId="77777777" w:rsidTr="00173157">
        <w:tc>
          <w:tcPr>
            <w:tcW w:w="2194" w:type="dxa"/>
          </w:tcPr>
          <w:p w14:paraId="3BA04DB8" w14:textId="77777777" w:rsidR="00173157" w:rsidRDefault="00173157" w:rsidP="007E46B2">
            <w:pPr>
              <w:rPr>
                <w:shd w:val="clear" w:color="auto" w:fill="FFFFFF"/>
              </w:rPr>
            </w:pPr>
          </w:p>
        </w:tc>
        <w:tc>
          <w:tcPr>
            <w:tcW w:w="1906" w:type="dxa"/>
            <w:gridSpan w:val="2"/>
          </w:tcPr>
          <w:p w14:paraId="0FD2641D" w14:textId="772359CA" w:rsidR="00173157" w:rsidRPr="002929E3" w:rsidRDefault="00173157" w:rsidP="00173157">
            <w:pPr>
              <w:jc w:val="center"/>
              <w:rPr>
                <w:shd w:val="clear" w:color="auto" w:fill="FFFFFF"/>
              </w:rPr>
            </w:pPr>
            <w:r>
              <w:rPr>
                <w:color w:val="000000" w:themeColor="text1"/>
                <w:sz w:val="16"/>
                <w:szCs w:val="16"/>
              </w:rPr>
              <w:t xml:space="preserve">01 </w:t>
            </w:r>
            <w:r w:rsidRPr="002929E3">
              <w:rPr>
                <w:color w:val="000000" w:themeColor="text1"/>
                <w:sz w:val="16"/>
                <w:szCs w:val="16"/>
              </w:rPr>
              <w:t>202</w:t>
            </w:r>
            <w:r>
              <w:rPr>
                <w:color w:val="000000" w:themeColor="text1"/>
                <w:sz w:val="16"/>
                <w:szCs w:val="16"/>
              </w:rPr>
              <w:t>2</w:t>
            </w:r>
          </w:p>
        </w:tc>
        <w:tc>
          <w:tcPr>
            <w:tcW w:w="2859" w:type="dxa"/>
            <w:gridSpan w:val="3"/>
          </w:tcPr>
          <w:p w14:paraId="15575EF7" w14:textId="2EE3500D" w:rsidR="00173157" w:rsidRPr="002929E3" w:rsidRDefault="00173157" w:rsidP="00173157">
            <w:pPr>
              <w:jc w:val="center"/>
              <w:rPr>
                <w:shd w:val="clear" w:color="auto" w:fill="FFFFFF"/>
              </w:rPr>
            </w:pPr>
            <w:r>
              <w:rPr>
                <w:color w:val="000000" w:themeColor="text1"/>
                <w:sz w:val="16"/>
                <w:szCs w:val="16"/>
              </w:rPr>
              <w:t xml:space="preserve">02 </w:t>
            </w:r>
            <w:r w:rsidRPr="002929E3">
              <w:rPr>
                <w:color w:val="000000" w:themeColor="text1"/>
                <w:sz w:val="16"/>
                <w:szCs w:val="16"/>
              </w:rPr>
              <w:t>202</w:t>
            </w:r>
            <w:r>
              <w:rPr>
                <w:color w:val="000000" w:themeColor="text1"/>
                <w:sz w:val="16"/>
                <w:szCs w:val="16"/>
              </w:rPr>
              <w:t>2</w:t>
            </w:r>
          </w:p>
        </w:tc>
        <w:tc>
          <w:tcPr>
            <w:tcW w:w="979" w:type="dxa"/>
          </w:tcPr>
          <w:p w14:paraId="53E2E692" w14:textId="278F090D" w:rsidR="00173157" w:rsidRPr="002929E3" w:rsidRDefault="00173157" w:rsidP="00173157">
            <w:pPr>
              <w:jc w:val="center"/>
              <w:rPr>
                <w:color w:val="000000" w:themeColor="text1"/>
                <w:sz w:val="16"/>
                <w:szCs w:val="16"/>
              </w:rPr>
            </w:pPr>
            <w:r>
              <w:rPr>
                <w:color w:val="000000" w:themeColor="text1"/>
                <w:sz w:val="16"/>
                <w:szCs w:val="16"/>
              </w:rPr>
              <w:t>01</w:t>
            </w:r>
            <w:r w:rsidRPr="002929E3">
              <w:rPr>
                <w:color w:val="000000" w:themeColor="text1"/>
                <w:sz w:val="16"/>
                <w:szCs w:val="16"/>
              </w:rPr>
              <w:t>-</w:t>
            </w:r>
            <w:r>
              <w:rPr>
                <w:color w:val="000000" w:themeColor="text1"/>
                <w:sz w:val="16"/>
                <w:szCs w:val="16"/>
              </w:rPr>
              <w:t>02</w:t>
            </w:r>
            <w:r w:rsidRPr="002929E3">
              <w:rPr>
                <w:color w:val="000000" w:themeColor="text1"/>
                <w:sz w:val="16"/>
                <w:szCs w:val="16"/>
              </w:rPr>
              <w:t xml:space="preserve"> 202</w:t>
            </w:r>
            <w:r>
              <w:rPr>
                <w:color w:val="000000" w:themeColor="text1"/>
                <w:sz w:val="16"/>
                <w:szCs w:val="16"/>
              </w:rPr>
              <w:t>2</w:t>
            </w:r>
          </w:p>
        </w:tc>
      </w:tr>
      <w:tr w:rsidR="00173157" w:rsidRPr="002929E3" w14:paraId="5225CF8F" w14:textId="77777777" w:rsidTr="00173157">
        <w:tc>
          <w:tcPr>
            <w:tcW w:w="2194" w:type="dxa"/>
            <w:tcBorders>
              <w:bottom w:val="single" w:sz="12" w:space="0" w:color="001D77"/>
            </w:tcBorders>
          </w:tcPr>
          <w:p w14:paraId="1C3110D3" w14:textId="77777777" w:rsidR="00173157" w:rsidRDefault="00173157" w:rsidP="007E46B2">
            <w:pPr>
              <w:rPr>
                <w:shd w:val="clear" w:color="auto" w:fill="FFFFFF"/>
              </w:rPr>
            </w:pPr>
            <w:r w:rsidRPr="009C7251">
              <w:rPr>
                <w:rFonts w:cs="Arial"/>
                <w:color w:val="000000" w:themeColor="text1"/>
                <w:sz w:val="16"/>
                <w:szCs w:val="16"/>
              </w:rPr>
              <w:t>WYSZCZEGÓLNIENIE</w:t>
            </w:r>
          </w:p>
        </w:tc>
        <w:tc>
          <w:tcPr>
            <w:tcW w:w="953" w:type="dxa"/>
            <w:tcBorders>
              <w:bottom w:val="single" w:sz="12" w:space="0" w:color="001D77"/>
            </w:tcBorders>
          </w:tcPr>
          <w:p w14:paraId="215F1EFC" w14:textId="0A0AA9E0" w:rsidR="00173157" w:rsidRPr="00687D68" w:rsidRDefault="00173157" w:rsidP="00173157">
            <w:pPr>
              <w:rPr>
                <w:spacing w:val="-12"/>
                <w:sz w:val="15"/>
                <w:szCs w:val="15"/>
                <w:shd w:val="clear" w:color="auto" w:fill="FFFFFF"/>
              </w:rPr>
            </w:pPr>
            <w:r>
              <w:rPr>
                <w:color w:val="000000" w:themeColor="text1"/>
                <w:spacing w:val="-12"/>
                <w:sz w:val="15"/>
                <w:szCs w:val="15"/>
              </w:rPr>
              <w:t xml:space="preserve">12  </w:t>
            </w:r>
            <w:r w:rsidRPr="00687D68">
              <w:rPr>
                <w:color w:val="000000" w:themeColor="text1"/>
                <w:spacing w:val="-12"/>
                <w:sz w:val="15"/>
                <w:szCs w:val="15"/>
              </w:rPr>
              <w:t>202</w:t>
            </w:r>
            <w:r>
              <w:rPr>
                <w:color w:val="000000" w:themeColor="text1"/>
                <w:spacing w:val="-12"/>
                <w:sz w:val="15"/>
                <w:szCs w:val="15"/>
              </w:rPr>
              <w:t>1</w:t>
            </w:r>
            <w:r w:rsidRPr="00687D68">
              <w:rPr>
                <w:color w:val="000000" w:themeColor="text1"/>
                <w:spacing w:val="-12"/>
                <w:sz w:val="15"/>
                <w:szCs w:val="15"/>
              </w:rPr>
              <w:t>=100</w:t>
            </w:r>
          </w:p>
        </w:tc>
        <w:tc>
          <w:tcPr>
            <w:tcW w:w="1906" w:type="dxa"/>
            <w:gridSpan w:val="2"/>
            <w:tcBorders>
              <w:bottom w:val="single" w:sz="12" w:space="0" w:color="001D77"/>
            </w:tcBorders>
          </w:tcPr>
          <w:p w14:paraId="59346317" w14:textId="00629171" w:rsidR="00173157" w:rsidRPr="002929E3" w:rsidRDefault="00173157" w:rsidP="00173157">
            <w:pPr>
              <w:jc w:val="center"/>
              <w:rPr>
                <w:shd w:val="clear" w:color="auto" w:fill="FFFFFF"/>
              </w:rPr>
            </w:pPr>
            <w:r w:rsidRPr="002929E3">
              <w:rPr>
                <w:color w:val="000000" w:themeColor="text1"/>
                <w:sz w:val="16"/>
                <w:szCs w:val="16"/>
              </w:rPr>
              <w:t>analogiczny okres 20</w:t>
            </w:r>
            <w:r>
              <w:rPr>
                <w:color w:val="000000" w:themeColor="text1"/>
                <w:sz w:val="16"/>
                <w:szCs w:val="16"/>
              </w:rPr>
              <w:t>21</w:t>
            </w:r>
            <w:r w:rsidRPr="002929E3">
              <w:rPr>
                <w:color w:val="000000" w:themeColor="text1"/>
                <w:sz w:val="16"/>
                <w:szCs w:val="16"/>
              </w:rPr>
              <w:t>=100</w:t>
            </w:r>
          </w:p>
        </w:tc>
        <w:tc>
          <w:tcPr>
            <w:tcW w:w="953" w:type="dxa"/>
            <w:tcBorders>
              <w:bottom w:val="single" w:sz="12" w:space="0" w:color="001D77"/>
            </w:tcBorders>
          </w:tcPr>
          <w:p w14:paraId="49CA5660" w14:textId="20966311" w:rsidR="00173157" w:rsidRPr="002929E3" w:rsidRDefault="00173157" w:rsidP="00183273">
            <w:pPr>
              <w:rPr>
                <w:color w:val="000000" w:themeColor="text1"/>
                <w:spacing w:val="-12"/>
                <w:sz w:val="16"/>
                <w:szCs w:val="16"/>
              </w:rPr>
            </w:pPr>
            <w:r>
              <w:rPr>
                <w:color w:val="000000" w:themeColor="text1"/>
                <w:spacing w:val="-12"/>
                <w:sz w:val="16"/>
                <w:szCs w:val="16"/>
              </w:rPr>
              <w:t xml:space="preserve">01 </w:t>
            </w:r>
            <w:r w:rsidRPr="002929E3">
              <w:rPr>
                <w:color w:val="000000" w:themeColor="text1"/>
                <w:spacing w:val="-12"/>
                <w:sz w:val="16"/>
                <w:szCs w:val="16"/>
              </w:rPr>
              <w:t>202</w:t>
            </w:r>
            <w:r w:rsidR="00183273">
              <w:rPr>
                <w:color w:val="000000" w:themeColor="text1"/>
                <w:spacing w:val="-12"/>
                <w:sz w:val="16"/>
                <w:szCs w:val="16"/>
              </w:rPr>
              <w:t>2</w:t>
            </w:r>
            <w:r w:rsidRPr="002929E3">
              <w:rPr>
                <w:color w:val="000000" w:themeColor="text1"/>
                <w:spacing w:val="-12"/>
                <w:sz w:val="16"/>
                <w:szCs w:val="16"/>
              </w:rPr>
              <w:t>=100</w:t>
            </w:r>
          </w:p>
        </w:tc>
        <w:tc>
          <w:tcPr>
            <w:tcW w:w="953" w:type="dxa"/>
            <w:tcBorders>
              <w:bottom w:val="single" w:sz="12" w:space="0" w:color="001D77"/>
            </w:tcBorders>
          </w:tcPr>
          <w:p w14:paraId="726085BA" w14:textId="46DD8735" w:rsidR="00173157" w:rsidRPr="00577244" w:rsidRDefault="00173157" w:rsidP="00173157">
            <w:pPr>
              <w:rPr>
                <w:color w:val="000000" w:themeColor="text1"/>
                <w:spacing w:val="-12"/>
                <w:sz w:val="15"/>
                <w:szCs w:val="15"/>
              </w:rPr>
            </w:pPr>
            <w:r>
              <w:rPr>
                <w:color w:val="000000" w:themeColor="text1"/>
                <w:spacing w:val="-12"/>
                <w:sz w:val="15"/>
                <w:szCs w:val="15"/>
              </w:rPr>
              <w:t xml:space="preserve">12 </w:t>
            </w:r>
            <w:r w:rsidRPr="00577244">
              <w:rPr>
                <w:color w:val="000000" w:themeColor="text1"/>
                <w:spacing w:val="-12"/>
                <w:sz w:val="15"/>
                <w:szCs w:val="15"/>
              </w:rPr>
              <w:t xml:space="preserve"> 202</w:t>
            </w:r>
            <w:r>
              <w:rPr>
                <w:color w:val="000000" w:themeColor="text1"/>
                <w:spacing w:val="-12"/>
                <w:sz w:val="15"/>
                <w:szCs w:val="15"/>
              </w:rPr>
              <w:t>1</w:t>
            </w:r>
            <w:r w:rsidRPr="00577244">
              <w:rPr>
                <w:color w:val="000000" w:themeColor="text1"/>
                <w:spacing w:val="-12"/>
                <w:sz w:val="15"/>
                <w:szCs w:val="15"/>
              </w:rPr>
              <w:t>=100</w:t>
            </w:r>
          </w:p>
        </w:tc>
        <w:tc>
          <w:tcPr>
            <w:tcW w:w="979" w:type="dxa"/>
            <w:tcBorders>
              <w:bottom w:val="single" w:sz="12" w:space="0" w:color="001D77"/>
            </w:tcBorders>
          </w:tcPr>
          <w:p w14:paraId="7BF71D23" w14:textId="0BC28333" w:rsidR="00173157" w:rsidRPr="002929E3" w:rsidRDefault="00173157" w:rsidP="00173157">
            <w:pPr>
              <w:jc w:val="center"/>
              <w:rPr>
                <w:color w:val="000000" w:themeColor="text1"/>
                <w:sz w:val="16"/>
                <w:szCs w:val="16"/>
              </w:rPr>
            </w:pPr>
            <w:r>
              <w:rPr>
                <w:color w:val="000000" w:themeColor="text1"/>
                <w:sz w:val="16"/>
                <w:szCs w:val="16"/>
              </w:rPr>
              <w:t>01</w:t>
            </w:r>
            <w:r w:rsidRPr="002929E3">
              <w:rPr>
                <w:color w:val="000000" w:themeColor="text1"/>
                <w:sz w:val="16"/>
                <w:szCs w:val="16"/>
              </w:rPr>
              <w:t>-</w:t>
            </w:r>
            <w:r>
              <w:rPr>
                <w:color w:val="000000" w:themeColor="text1"/>
                <w:sz w:val="16"/>
                <w:szCs w:val="16"/>
              </w:rPr>
              <w:t xml:space="preserve">02 </w:t>
            </w:r>
            <w:r w:rsidRPr="002929E3">
              <w:rPr>
                <w:color w:val="000000" w:themeColor="text1"/>
                <w:sz w:val="16"/>
                <w:szCs w:val="16"/>
              </w:rPr>
              <w:t>20</w:t>
            </w:r>
            <w:r>
              <w:rPr>
                <w:color w:val="000000" w:themeColor="text1"/>
                <w:sz w:val="16"/>
                <w:szCs w:val="16"/>
              </w:rPr>
              <w:t>21=100</w:t>
            </w:r>
          </w:p>
        </w:tc>
      </w:tr>
      <w:tr w:rsidR="00173157" w:rsidRPr="00864080" w14:paraId="74DAA3EC" w14:textId="77777777" w:rsidTr="00173157">
        <w:tc>
          <w:tcPr>
            <w:tcW w:w="2194" w:type="dxa"/>
          </w:tcPr>
          <w:p w14:paraId="0F9886EE" w14:textId="77777777" w:rsidR="00173157" w:rsidRPr="002929E3" w:rsidRDefault="00173157" w:rsidP="007E46B2">
            <w:pPr>
              <w:rPr>
                <w:shd w:val="clear" w:color="auto" w:fill="FFFFFF"/>
              </w:rPr>
            </w:pPr>
            <w:r w:rsidRPr="002929E3">
              <w:rPr>
                <w:b/>
                <w:color w:val="000000" w:themeColor="text1"/>
                <w:sz w:val="16"/>
                <w:szCs w:val="16"/>
              </w:rPr>
              <w:t>OGÓŁEM</w:t>
            </w:r>
          </w:p>
        </w:tc>
        <w:tc>
          <w:tcPr>
            <w:tcW w:w="953" w:type="dxa"/>
            <w:vAlign w:val="center"/>
          </w:tcPr>
          <w:p w14:paraId="697D141A" w14:textId="7E53A1B5" w:rsidR="00173157" w:rsidRPr="00173157" w:rsidRDefault="00173157" w:rsidP="008E1C49">
            <w:pPr>
              <w:jc w:val="right"/>
              <w:rPr>
                <w:rFonts w:cs="Arial"/>
                <w:b/>
                <w:color w:val="000000" w:themeColor="text1"/>
                <w:sz w:val="16"/>
                <w:szCs w:val="16"/>
                <w:highlight w:val="yellow"/>
              </w:rPr>
            </w:pPr>
            <w:r w:rsidRPr="00290187">
              <w:rPr>
                <w:rFonts w:cs="Arial"/>
                <w:b/>
                <w:color w:val="000000" w:themeColor="text1"/>
                <w:sz w:val="16"/>
                <w:szCs w:val="16"/>
              </w:rPr>
              <w:t>10</w:t>
            </w:r>
            <w:r w:rsidR="008E1C49" w:rsidRPr="00290187">
              <w:rPr>
                <w:rFonts w:cs="Arial"/>
                <w:b/>
                <w:color w:val="000000" w:themeColor="text1"/>
                <w:sz w:val="16"/>
                <w:szCs w:val="16"/>
              </w:rPr>
              <w:t>1,1</w:t>
            </w:r>
          </w:p>
        </w:tc>
        <w:tc>
          <w:tcPr>
            <w:tcW w:w="953" w:type="dxa"/>
            <w:vAlign w:val="center"/>
          </w:tcPr>
          <w:p w14:paraId="7E7919C2" w14:textId="244A9B53" w:rsidR="00173157" w:rsidRPr="00173157" w:rsidRDefault="00173157" w:rsidP="00FE3A19">
            <w:pPr>
              <w:jc w:val="right"/>
              <w:rPr>
                <w:rFonts w:cs="Arial"/>
                <w:b/>
                <w:color w:val="000000" w:themeColor="text1"/>
                <w:sz w:val="16"/>
                <w:szCs w:val="16"/>
                <w:highlight w:val="yellow"/>
              </w:rPr>
            </w:pPr>
            <w:r w:rsidRPr="00FE3A19">
              <w:rPr>
                <w:rFonts w:cs="Arial"/>
                <w:b/>
                <w:color w:val="000000" w:themeColor="text1"/>
                <w:sz w:val="16"/>
                <w:szCs w:val="16"/>
              </w:rPr>
              <w:t>10</w:t>
            </w:r>
            <w:r w:rsidR="00FE3A19" w:rsidRPr="00FE3A19">
              <w:rPr>
                <w:rFonts w:cs="Arial"/>
                <w:b/>
                <w:color w:val="000000" w:themeColor="text1"/>
                <w:sz w:val="16"/>
                <w:szCs w:val="16"/>
              </w:rPr>
              <w:t>8</w:t>
            </w:r>
            <w:r w:rsidRPr="00FE3A19">
              <w:rPr>
                <w:rFonts w:cs="Arial"/>
                <w:b/>
                <w:color w:val="000000" w:themeColor="text1"/>
                <w:sz w:val="16"/>
                <w:szCs w:val="16"/>
              </w:rPr>
              <w:t>,</w:t>
            </w:r>
            <w:r w:rsidR="00FE3A19" w:rsidRPr="00FE3A19">
              <w:rPr>
                <w:rFonts w:cs="Arial"/>
                <w:b/>
                <w:color w:val="000000" w:themeColor="text1"/>
                <w:sz w:val="16"/>
                <w:szCs w:val="16"/>
              </w:rPr>
              <w:t>3</w:t>
            </w:r>
          </w:p>
        </w:tc>
        <w:tc>
          <w:tcPr>
            <w:tcW w:w="953" w:type="dxa"/>
            <w:vAlign w:val="center"/>
          </w:tcPr>
          <w:p w14:paraId="06DE3266" w14:textId="13583C87" w:rsidR="00173157" w:rsidRPr="00173157" w:rsidRDefault="00173157" w:rsidP="00CB3239">
            <w:pPr>
              <w:jc w:val="right"/>
              <w:rPr>
                <w:rFonts w:cs="Arial"/>
                <w:b/>
                <w:color w:val="000000" w:themeColor="text1"/>
                <w:sz w:val="16"/>
                <w:szCs w:val="16"/>
                <w:highlight w:val="yellow"/>
              </w:rPr>
            </w:pPr>
            <w:r w:rsidRPr="00CB3239">
              <w:rPr>
                <w:rFonts w:cs="Arial"/>
                <w:b/>
                <w:color w:val="000000" w:themeColor="text1"/>
                <w:sz w:val="16"/>
                <w:szCs w:val="16"/>
              </w:rPr>
              <w:t>10</w:t>
            </w:r>
            <w:r w:rsidR="00CB3239" w:rsidRPr="00CB3239">
              <w:rPr>
                <w:rFonts w:cs="Arial"/>
                <w:b/>
                <w:color w:val="000000" w:themeColor="text1"/>
                <w:sz w:val="16"/>
                <w:szCs w:val="16"/>
              </w:rPr>
              <w:t>9</w:t>
            </w:r>
            <w:r w:rsidRPr="00CB3239">
              <w:rPr>
                <w:rFonts w:cs="Arial"/>
                <w:b/>
                <w:color w:val="000000" w:themeColor="text1"/>
                <w:sz w:val="16"/>
                <w:szCs w:val="16"/>
              </w:rPr>
              <w:t>,</w:t>
            </w:r>
            <w:r w:rsidR="00CB3239" w:rsidRPr="00CB3239">
              <w:rPr>
                <w:rFonts w:cs="Arial"/>
                <w:b/>
                <w:color w:val="000000" w:themeColor="text1"/>
                <w:sz w:val="16"/>
                <w:szCs w:val="16"/>
              </w:rPr>
              <w:t>3</w:t>
            </w:r>
          </w:p>
        </w:tc>
        <w:tc>
          <w:tcPr>
            <w:tcW w:w="953" w:type="dxa"/>
            <w:vAlign w:val="center"/>
          </w:tcPr>
          <w:p w14:paraId="15401D8B" w14:textId="5A8CEA38" w:rsidR="00173157" w:rsidRPr="00173157" w:rsidRDefault="00173157" w:rsidP="00FA0F12">
            <w:pPr>
              <w:jc w:val="right"/>
              <w:rPr>
                <w:rFonts w:cs="Arial"/>
                <w:b/>
                <w:color w:val="000000" w:themeColor="text1"/>
                <w:sz w:val="16"/>
                <w:szCs w:val="16"/>
                <w:highlight w:val="yellow"/>
              </w:rPr>
            </w:pPr>
            <w:r w:rsidRPr="002E1606">
              <w:rPr>
                <w:rFonts w:cs="Arial"/>
                <w:b/>
                <w:color w:val="000000" w:themeColor="text1"/>
                <w:sz w:val="16"/>
                <w:szCs w:val="16"/>
              </w:rPr>
              <w:t>10</w:t>
            </w:r>
            <w:r w:rsidR="00FA0F12" w:rsidRPr="002E1606">
              <w:rPr>
                <w:rFonts w:cs="Arial"/>
                <w:b/>
                <w:color w:val="000000" w:themeColor="text1"/>
                <w:sz w:val="16"/>
                <w:szCs w:val="16"/>
              </w:rPr>
              <w:t>1</w:t>
            </w:r>
            <w:r w:rsidRPr="002E1606">
              <w:rPr>
                <w:rFonts w:cs="Arial"/>
                <w:b/>
                <w:color w:val="000000" w:themeColor="text1"/>
                <w:sz w:val="16"/>
                <w:szCs w:val="16"/>
              </w:rPr>
              <w:t>,2</w:t>
            </w:r>
          </w:p>
        </w:tc>
        <w:tc>
          <w:tcPr>
            <w:tcW w:w="953" w:type="dxa"/>
            <w:vAlign w:val="center"/>
          </w:tcPr>
          <w:p w14:paraId="57BA1099" w14:textId="7AF86F64" w:rsidR="00173157" w:rsidRPr="00173157" w:rsidRDefault="00173157" w:rsidP="00FA0F12">
            <w:pPr>
              <w:jc w:val="right"/>
              <w:rPr>
                <w:rFonts w:cs="Arial"/>
                <w:b/>
                <w:color w:val="000000" w:themeColor="text1"/>
                <w:sz w:val="16"/>
                <w:szCs w:val="16"/>
                <w:highlight w:val="yellow"/>
              </w:rPr>
            </w:pPr>
            <w:r w:rsidRPr="00FA0F12">
              <w:rPr>
                <w:rFonts w:cs="Arial"/>
                <w:b/>
                <w:color w:val="000000" w:themeColor="text1"/>
                <w:sz w:val="16"/>
                <w:szCs w:val="16"/>
              </w:rPr>
              <w:t>10</w:t>
            </w:r>
            <w:r w:rsidR="00FA0F12" w:rsidRPr="00FA0F12">
              <w:rPr>
                <w:rFonts w:cs="Arial"/>
                <w:b/>
                <w:color w:val="000000" w:themeColor="text1"/>
                <w:sz w:val="16"/>
                <w:szCs w:val="16"/>
              </w:rPr>
              <w:t>2</w:t>
            </w:r>
            <w:r w:rsidRPr="00FA0F12">
              <w:rPr>
                <w:rFonts w:cs="Arial"/>
                <w:b/>
                <w:color w:val="000000" w:themeColor="text1"/>
                <w:sz w:val="16"/>
                <w:szCs w:val="16"/>
              </w:rPr>
              <w:t>,</w:t>
            </w:r>
            <w:r w:rsidR="00FA0F12" w:rsidRPr="00FA0F12">
              <w:rPr>
                <w:rFonts w:cs="Arial"/>
                <w:b/>
                <w:color w:val="000000" w:themeColor="text1"/>
                <w:sz w:val="16"/>
                <w:szCs w:val="16"/>
              </w:rPr>
              <w:t>3</w:t>
            </w:r>
          </w:p>
        </w:tc>
        <w:tc>
          <w:tcPr>
            <w:tcW w:w="979" w:type="dxa"/>
            <w:vAlign w:val="center"/>
          </w:tcPr>
          <w:p w14:paraId="181B92C7" w14:textId="7C62BAA1" w:rsidR="00173157" w:rsidRPr="00173157" w:rsidRDefault="00FA0F12" w:rsidP="00FA0F12">
            <w:pPr>
              <w:jc w:val="right"/>
              <w:rPr>
                <w:rFonts w:cs="Arial"/>
                <w:b/>
                <w:color w:val="000000" w:themeColor="text1"/>
                <w:sz w:val="16"/>
                <w:szCs w:val="16"/>
                <w:highlight w:val="yellow"/>
              </w:rPr>
            </w:pPr>
            <w:r w:rsidRPr="00FA0F12">
              <w:rPr>
                <w:rFonts w:cs="Arial"/>
                <w:b/>
                <w:color w:val="000000" w:themeColor="text1"/>
                <w:sz w:val="16"/>
                <w:szCs w:val="16"/>
              </w:rPr>
              <w:t>108,8</w:t>
            </w:r>
          </w:p>
        </w:tc>
      </w:tr>
      <w:tr w:rsidR="00173157" w:rsidRPr="00864080" w14:paraId="397FBCBE" w14:textId="77777777" w:rsidTr="00173157">
        <w:tc>
          <w:tcPr>
            <w:tcW w:w="2194" w:type="dxa"/>
          </w:tcPr>
          <w:p w14:paraId="02CF8774" w14:textId="77777777" w:rsidR="00173157" w:rsidRPr="002929E3" w:rsidRDefault="00173157" w:rsidP="007E46B2">
            <w:pPr>
              <w:rPr>
                <w:shd w:val="clear" w:color="auto" w:fill="FFFFFF"/>
              </w:rPr>
            </w:pPr>
            <w:r w:rsidRPr="002929E3">
              <w:rPr>
                <w:sz w:val="16"/>
                <w:szCs w:val="16"/>
              </w:rPr>
              <w:t xml:space="preserve">Budowa </w:t>
            </w:r>
            <w:proofErr w:type="spellStart"/>
            <w:r w:rsidRPr="002929E3">
              <w:rPr>
                <w:sz w:val="16"/>
                <w:szCs w:val="16"/>
              </w:rPr>
              <w:t>budynków</w:t>
            </w:r>
            <w:r w:rsidRPr="002929E3">
              <w:rPr>
                <w:rFonts w:cstheme="majorBidi"/>
                <w:i/>
                <w:color w:val="000000" w:themeColor="text1"/>
                <w:sz w:val="16"/>
                <w:szCs w:val="16"/>
                <w:vertAlign w:val="superscript"/>
              </w:rPr>
              <w:t>a</w:t>
            </w:r>
            <w:proofErr w:type="spellEnd"/>
          </w:p>
        </w:tc>
        <w:tc>
          <w:tcPr>
            <w:tcW w:w="953" w:type="dxa"/>
            <w:vAlign w:val="center"/>
          </w:tcPr>
          <w:p w14:paraId="6E8C2436" w14:textId="2BCAA87D" w:rsidR="00173157" w:rsidRPr="00173157" w:rsidRDefault="00173157" w:rsidP="00FA0F12">
            <w:pPr>
              <w:jc w:val="right"/>
              <w:rPr>
                <w:rFonts w:cs="Arial"/>
                <w:color w:val="000000" w:themeColor="text1"/>
                <w:sz w:val="16"/>
                <w:szCs w:val="16"/>
                <w:highlight w:val="yellow"/>
              </w:rPr>
            </w:pPr>
            <w:r w:rsidRPr="00FA0F12">
              <w:rPr>
                <w:rFonts w:cs="Arial"/>
                <w:color w:val="000000" w:themeColor="text1"/>
                <w:sz w:val="16"/>
                <w:szCs w:val="16"/>
              </w:rPr>
              <w:t>10</w:t>
            </w:r>
            <w:r w:rsidR="00FA0F12" w:rsidRPr="00FA0F12">
              <w:rPr>
                <w:rFonts w:cs="Arial"/>
                <w:color w:val="000000" w:themeColor="text1"/>
                <w:sz w:val="16"/>
                <w:szCs w:val="16"/>
              </w:rPr>
              <w:t>1</w:t>
            </w:r>
            <w:r w:rsidRPr="00FA0F12">
              <w:rPr>
                <w:rFonts w:cs="Arial"/>
                <w:color w:val="000000" w:themeColor="text1"/>
                <w:sz w:val="16"/>
                <w:szCs w:val="16"/>
              </w:rPr>
              <w:t>,</w:t>
            </w:r>
            <w:r w:rsidR="00FA0F12" w:rsidRPr="00FA0F12">
              <w:rPr>
                <w:rFonts w:cs="Arial"/>
                <w:color w:val="000000" w:themeColor="text1"/>
                <w:sz w:val="16"/>
                <w:szCs w:val="16"/>
              </w:rPr>
              <w:t>1</w:t>
            </w:r>
          </w:p>
        </w:tc>
        <w:tc>
          <w:tcPr>
            <w:tcW w:w="953" w:type="dxa"/>
            <w:vAlign w:val="center"/>
          </w:tcPr>
          <w:p w14:paraId="115618DE" w14:textId="14F99A0F" w:rsidR="00173157" w:rsidRPr="00173157" w:rsidRDefault="00173157" w:rsidP="00FA0F12">
            <w:pPr>
              <w:jc w:val="right"/>
              <w:rPr>
                <w:rFonts w:cs="Arial"/>
                <w:color w:val="000000" w:themeColor="text1"/>
                <w:sz w:val="16"/>
                <w:szCs w:val="16"/>
                <w:highlight w:val="yellow"/>
              </w:rPr>
            </w:pPr>
            <w:r w:rsidRPr="00FA0F12">
              <w:rPr>
                <w:rFonts w:cs="Arial"/>
                <w:color w:val="000000" w:themeColor="text1"/>
                <w:sz w:val="16"/>
                <w:szCs w:val="16"/>
              </w:rPr>
              <w:t>10</w:t>
            </w:r>
            <w:r w:rsidR="00FA0F12" w:rsidRPr="00FA0F12">
              <w:rPr>
                <w:rFonts w:cs="Arial"/>
                <w:color w:val="000000" w:themeColor="text1"/>
                <w:sz w:val="16"/>
                <w:szCs w:val="16"/>
              </w:rPr>
              <w:t>8</w:t>
            </w:r>
            <w:r w:rsidRPr="00FA0F12">
              <w:rPr>
                <w:rFonts w:cs="Arial"/>
                <w:color w:val="000000" w:themeColor="text1"/>
                <w:sz w:val="16"/>
                <w:szCs w:val="16"/>
              </w:rPr>
              <w:t>,</w:t>
            </w:r>
            <w:r w:rsidR="00FA0F12" w:rsidRPr="00FA0F12">
              <w:rPr>
                <w:rFonts w:cs="Arial"/>
                <w:color w:val="000000" w:themeColor="text1"/>
                <w:sz w:val="16"/>
                <w:szCs w:val="16"/>
              </w:rPr>
              <w:t>7</w:t>
            </w:r>
          </w:p>
        </w:tc>
        <w:tc>
          <w:tcPr>
            <w:tcW w:w="953" w:type="dxa"/>
            <w:vAlign w:val="center"/>
          </w:tcPr>
          <w:p w14:paraId="2F04C0C2" w14:textId="2739B5CD" w:rsidR="00173157" w:rsidRPr="00173157" w:rsidRDefault="00173157" w:rsidP="0054058E">
            <w:pPr>
              <w:jc w:val="right"/>
              <w:rPr>
                <w:rFonts w:cs="Arial"/>
                <w:color w:val="000000" w:themeColor="text1"/>
                <w:sz w:val="16"/>
                <w:szCs w:val="16"/>
                <w:highlight w:val="yellow"/>
              </w:rPr>
            </w:pPr>
            <w:r w:rsidRPr="0054058E">
              <w:rPr>
                <w:rFonts w:cs="Arial"/>
                <w:color w:val="000000" w:themeColor="text1"/>
                <w:sz w:val="16"/>
                <w:szCs w:val="16"/>
              </w:rPr>
              <w:t>10</w:t>
            </w:r>
            <w:r w:rsidR="0054058E" w:rsidRPr="0054058E">
              <w:rPr>
                <w:rFonts w:cs="Arial"/>
                <w:color w:val="000000" w:themeColor="text1"/>
                <w:sz w:val="16"/>
                <w:szCs w:val="16"/>
              </w:rPr>
              <w:t>9</w:t>
            </w:r>
            <w:r w:rsidRPr="0054058E">
              <w:rPr>
                <w:rFonts w:cs="Arial"/>
                <w:color w:val="000000" w:themeColor="text1"/>
                <w:sz w:val="16"/>
                <w:szCs w:val="16"/>
              </w:rPr>
              <w:t>,7</w:t>
            </w:r>
          </w:p>
        </w:tc>
        <w:tc>
          <w:tcPr>
            <w:tcW w:w="953" w:type="dxa"/>
            <w:vAlign w:val="center"/>
          </w:tcPr>
          <w:p w14:paraId="6463B096" w14:textId="2639A50D" w:rsidR="00173157" w:rsidRPr="00173157" w:rsidRDefault="00173157" w:rsidP="0054058E">
            <w:pPr>
              <w:jc w:val="right"/>
              <w:rPr>
                <w:rFonts w:cs="Arial"/>
                <w:color w:val="000000" w:themeColor="text1"/>
                <w:sz w:val="16"/>
                <w:szCs w:val="16"/>
                <w:highlight w:val="yellow"/>
              </w:rPr>
            </w:pPr>
            <w:r w:rsidRPr="0054058E">
              <w:rPr>
                <w:rFonts w:cs="Arial"/>
                <w:color w:val="000000" w:themeColor="text1"/>
                <w:sz w:val="16"/>
                <w:szCs w:val="16"/>
              </w:rPr>
              <w:t>10</w:t>
            </w:r>
            <w:r w:rsidR="0054058E" w:rsidRPr="0054058E">
              <w:rPr>
                <w:rFonts w:cs="Arial"/>
                <w:color w:val="000000" w:themeColor="text1"/>
                <w:sz w:val="16"/>
                <w:szCs w:val="16"/>
              </w:rPr>
              <w:t>1</w:t>
            </w:r>
            <w:r w:rsidRPr="0054058E">
              <w:rPr>
                <w:rFonts w:cs="Arial"/>
                <w:color w:val="000000" w:themeColor="text1"/>
                <w:sz w:val="16"/>
                <w:szCs w:val="16"/>
              </w:rPr>
              <w:t>,</w:t>
            </w:r>
            <w:r w:rsidR="0054058E" w:rsidRPr="0054058E">
              <w:rPr>
                <w:rFonts w:cs="Arial"/>
                <w:color w:val="000000" w:themeColor="text1"/>
                <w:sz w:val="16"/>
                <w:szCs w:val="16"/>
              </w:rPr>
              <w:t>2</w:t>
            </w:r>
          </w:p>
        </w:tc>
        <w:tc>
          <w:tcPr>
            <w:tcW w:w="953" w:type="dxa"/>
            <w:vAlign w:val="center"/>
          </w:tcPr>
          <w:p w14:paraId="5F7A49B9" w14:textId="39BE3815" w:rsidR="00173157" w:rsidRPr="00173157" w:rsidRDefault="00173157" w:rsidP="009544AD">
            <w:pPr>
              <w:jc w:val="right"/>
              <w:rPr>
                <w:rFonts w:cs="Arial"/>
                <w:color w:val="000000" w:themeColor="text1"/>
                <w:sz w:val="16"/>
                <w:szCs w:val="16"/>
                <w:highlight w:val="yellow"/>
              </w:rPr>
            </w:pPr>
            <w:r w:rsidRPr="009544AD">
              <w:rPr>
                <w:rFonts w:cs="Arial"/>
                <w:color w:val="000000" w:themeColor="text1"/>
                <w:sz w:val="16"/>
                <w:szCs w:val="16"/>
              </w:rPr>
              <w:t>10</w:t>
            </w:r>
            <w:r w:rsidR="009544AD" w:rsidRPr="009544AD">
              <w:rPr>
                <w:rFonts w:cs="Arial"/>
                <w:color w:val="000000" w:themeColor="text1"/>
                <w:sz w:val="16"/>
                <w:szCs w:val="16"/>
              </w:rPr>
              <w:t>2</w:t>
            </w:r>
            <w:r w:rsidRPr="009544AD">
              <w:rPr>
                <w:rFonts w:cs="Arial"/>
                <w:color w:val="000000" w:themeColor="text1"/>
                <w:sz w:val="16"/>
                <w:szCs w:val="16"/>
              </w:rPr>
              <w:t>,</w:t>
            </w:r>
            <w:r w:rsidR="009544AD" w:rsidRPr="009544AD">
              <w:rPr>
                <w:rFonts w:cs="Arial"/>
                <w:color w:val="000000" w:themeColor="text1"/>
                <w:sz w:val="16"/>
                <w:szCs w:val="16"/>
              </w:rPr>
              <w:t>3</w:t>
            </w:r>
          </w:p>
        </w:tc>
        <w:tc>
          <w:tcPr>
            <w:tcW w:w="979" w:type="dxa"/>
            <w:vAlign w:val="center"/>
          </w:tcPr>
          <w:p w14:paraId="716B393D" w14:textId="5D431F99" w:rsidR="00173157" w:rsidRPr="00173157" w:rsidRDefault="00173157" w:rsidP="004F41C8">
            <w:pPr>
              <w:jc w:val="right"/>
              <w:rPr>
                <w:rFonts w:cs="Arial"/>
                <w:color w:val="000000" w:themeColor="text1"/>
                <w:sz w:val="16"/>
                <w:szCs w:val="16"/>
                <w:highlight w:val="yellow"/>
              </w:rPr>
            </w:pPr>
            <w:r w:rsidRPr="004F41C8">
              <w:rPr>
                <w:rFonts w:cs="Arial"/>
                <w:color w:val="000000" w:themeColor="text1"/>
                <w:sz w:val="16"/>
                <w:szCs w:val="16"/>
              </w:rPr>
              <w:t>10</w:t>
            </w:r>
            <w:r w:rsidR="004F41C8" w:rsidRPr="004F41C8">
              <w:rPr>
                <w:rFonts w:cs="Arial"/>
                <w:color w:val="000000" w:themeColor="text1"/>
                <w:sz w:val="16"/>
                <w:szCs w:val="16"/>
              </w:rPr>
              <w:t>9</w:t>
            </w:r>
            <w:r w:rsidRPr="004F41C8">
              <w:rPr>
                <w:rFonts w:cs="Arial"/>
                <w:color w:val="000000" w:themeColor="text1"/>
                <w:sz w:val="16"/>
                <w:szCs w:val="16"/>
              </w:rPr>
              <w:t>,</w:t>
            </w:r>
            <w:r w:rsidR="004F41C8" w:rsidRPr="004F41C8">
              <w:rPr>
                <w:rFonts w:cs="Arial"/>
                <w:color w:val="000000" w:themeColor="text1"/>
                <w:sz w:val="16"/>
                <w:szCs w:val="16"/>
              </w:rPr>
              <w:t>2</w:t>
            </w:r>
          </w:p>
        </w:tc>
      </w:tr>
      <w:tr w:rsidR="00173157" w:rsidRPr="00864080" w14:paraId="3B9EB611" w14:textId="77777777" w:rsidTr="00173157">
        <w:tc>
          <w:tcPr>
            <w:tcW w:w="2194" w:type="dxa"/>
          </w:tcPr>
          <w:p w14:paraId="747887EE" w14:textId="77777777" w:rsidR="00173157" w:rsidRPr="002929E3" w:rsidRDefault="00173157" w:rsidP="007E46B2">
            <w:pPr>
              <w:rPr>
                <w:shd w:val="clear" w:color="auto" w:fill="FFFFFF"/>
              </w:rPr>
            </w:pPr>
            <w:r w:rsidRPr="005C3CA8">
              <w:rPr>
                <w:color w:val="000000" w:themeColor="text1"/>
                <w:sz w:val="16"/>
                <w:szCs w:val="16"/>
              </w:rPr>
              <w:t xml:space="preserve">Budowa  obiektów inżynierii  lądowej i </w:t>
            </w:r>
            <w:proofErr w:type="spellStart"/>
            <w:r w:rsidRPr="005C3CA8">
              <w:rPr>
                <w:color w:val="000000" w:themeColor="text1"/>
                <w:sz w:val="16"/>
                <w:szCs w:val="16"/>
              </w:rPr>
              <w:t>wodnej</w:t>
            </w:r>
            <w:r w:rsidRPr="002929E3">
              <w:rPr>
                <w:rFonts w:cstheme="majorBidi"/>
                <w:i/>
                <w:color w:val="000000" w:themeColor="text1"/>
                <w:sz w:val="16"/>
                <w:szCs w:val="16"/>
                <w:vertAlign w:val="superscript"/>
              </w:rPr>
              <w:t>a</w:t>
            </w:r>
            <w:proofErr w:type="spellEnd"/>
          </w:p>
        </w:tc>
        <w:tc>
          <w:tcPr>
            <w:tcW w:w="953" w:type="dxa"/>
            <w:shd w:val="clear" w:color="auto" w:fill="auto"/>
            <w:vAlign w:val="center"/>
          </w:tcPr>
          <w:p w14:paraId="4F03BD88" w14:textId="50C76517" w:rsidR="00173157" w:rsidRPr="00173157" w:rsidRDefault="00173157" w:rsidP="001A3E19">
            <w:pPr>
              <w:jc w:val="right"/>
              <w:rPr>
                <w:rFonts w:cs="Arial"/>
                <w:color w:val="000000" w:themeColor="text1"/>
                <w:sz w:val="16"/>
                <w:szCs w:val="16"/>
                <w:highlight w:val="yellow"/>
              </w:rPr>
            </w:pPr>
            <w:r w:rsidRPr="001A3E19">
              <w:rPr>
                <w:rFonts w:cs="Arial"/>
                <w:color w:val="000000" w:themeColor="text1"/>
                <w:sz w:val="16"/>
                <w:szCs w:val="16"/>
              </w:rPr>
              <w:t>10</w:t>
            </w:r>
            <w:r w:rsidR="001A3E19" w:rsidRPr="001A3E19">
              <w:rPr>
                <w:rFonts w:cs="Arial"/>
                <w:color w:val="000000" w:themeColor="text1"/>
                <w:sz w:val="16"/>
                <w:szCs w:val="16"/>
              </w:rPr>
              <w:t>1</w:t>
            </w:r>
            <w:r w:rsidRPr="001A3E19">
              <w:rPr>
                <w:rFonts w:cs="Arial"/>
                <w:color w:val="000000" w:themeColor="text1"/>
                <w:sz w:val="16"/>
                <w:szCs w:val="16"/>
              </w:rPr>
              <w:t>,2</w:t>
            </w:r>
            <w:r w:rsidR="000F189F">
              <w:rPr>
                <w:rFonts w:cs="Arial"/>
                <w:color w:val="000000" w:themeColor="text1"/>
                <w:sz w:val="16"/>
                <w:szCs w:val="16"/>
              </w:rPr>
              <w:t>*</w:t>
            </w:r>
          </w:p>
        </w:tc>
        <w:tc>
          <w:tcPr>
            <w:tcW w:w="953" w:type="dxa"/>
            <w:shd w:val="clear" w:color="auto" w:fill="auto"/>
            <w:vAlign w:val="center"/>
          </w:tcPr>
          <w:p w14:paraId="5D8ADED9" w14:textId="3D97433F" w:rsidR="00173157" w:rsidRPr="00173157" w:rsidRDefault="00173157" w:rsidP="001A3E19">
            <w:pPr>
              <w:jc w:val="right"/>
              <w:rPr>
                <w:rFonts w:cs="Arial"/>
                <w:color w:val="000000" w:themeColor="text1"/>
                <w:sz w:val="16"/>
                <w:szCs w:val="16"/>
                <w:highlight w:val="yellow"/>
              </w:rPr>
            </w:pPr>
            <w:r w:rsidRPr="001A3E19">
              <w:rPr>
                <w:rFonts w:cs="Arial"/>
                <w:color w:val="000000" w:themeColor="text1"/>
                <w:sz w:val="16"/>
                <w:szCs w:val="16"/>
              </w:rPr>
              <w:t>10</w:t>
            </w:r>
            <w:r w:rsidR="001A3E19" w:rsidRPr="001A3E19">
              <w:rPr>
                <w:rFonts w:cs="Arial"/>
                <w:color w:val="000000" w:themeColor="text1"/>
                <w:sz w:val="16"/>
                <w:szCs w:val="16"/>
              </w:rPr>
              <w:t>8</w:t>
            </w:r>
            <w:r w:rsidRPr="001A3E19">
              <w:rPr>
                <w:rFonts w:cs="Arial"/>
                <w:color w:val="000000" w:themeColor="text1"/>
                <w:sz w:val="16"/>
                <w:szCs w:val="16"/>
              </w:rPr>
              <w:t>,</w:t>
            </w:r>
            <w:r w:rsidR="001A3E19" w:rsidRPr="001A3E19">
              <w:rPr>
                <w:rFonts w:cs="Arial"/>
                <w:color w:val="000000" w:themeColor="text1"/>
                <w:sz w:val="16"/>
                <w:szCs w:val="16"/>
              </w:rPr>
              <w:t>6</w:t>
            </w:r>
            <w:r w:rsidR="00225B35">
              <w:rPr>
                <w:rFonts w:cs="Arial"/>
                <w:color w:val="000000" w:themeColor="text1"/>
                <w:sz w:val="16"/>
                <w:szCs w:val="16"/>
              </w:rPr>
              <w:t>*</w:t>
            </w:r>
          </w:p>
        </w:tc>
        <w:tc>
          <w:tcPr>
            <w:tcW w:w="953" w:type="dxa"/>
            <w:shd w:val="clear" w:color="auto" w:fill="auto"/>
            <w:vAlign w:val="center"/>
          </w:tcPr>
          <w:p w14:paraId="33941FDF" w14:textId="4D644163" w:rsidR="00173157" w:rsidRPr="00173157" w:rsidRDefault="00173157" w:rsidP="000A4FBB">
            <w:pPr>
              <w:jc w:val="right"/>
              <w:rPr>
                <w:rFonts w:cs="Arial"/>
                <w:color w:val="000000" w:themeColor="text1"/>
                <w:sz w:val="16"/>
                <w:szCs w:val="16"/>
                <w:highlight w:val="yellow"/>
              </w:rPr>
            </w:pPr>
            <w:r w:rsidRPr="000A4FBB">
              <w:rPr>
                <w:rFonts w:cs="Arial"/>
                <w:color w:val="000000" w:themeColor="text1"/>
                <w:sz w:val="16"/>
                <w:szCs w:val="16"/>
              </w:rPr>
              <w:t>10</w:t>
            </w:r>
            <w:r w:rsidR="000A4FBB" w:rsidRPr="000A4FBB">
              <w:rPr>
                <w:rFonts w:cs="Arial"/>
                <w:color w:val="000000" w:themeColor="text1"/>
                <w:sz w:val="16"/>
                <w:szCs w:val="16"/>
              </w:rPr>
              <w:t>9</w:t>
            </w:r>
            <w:r w:rsidRPr="000A4FBB">
              <w:rPr>
                <w:rFonts w:cs="Arial"/>
                <w:color w:val="000000" w:themeColor="text1"/>
                <w:sz w:val="16"/>
                <w:szCs w:val="16"/>
              </w:rPr>
              <w:t>,</w:t>
            </w:r>
            <w:r w:rsidR="000A4FBB" w:rsidRPr="000A4FBB">
              <w:rPr>
                <w:rFonts w:cs="Arial"/>
                <w:color w:val="000000" w:themeColor="text1"/>
                <w:sz w:val="16"/>
                <w:szCs w:val="16"/>
              </w:rPr>
              <w:t>6</w:t>
            </w:r>
          </w:p>
        </w:tc>
        <w:tc>
          <w:tcPr>
            <w:tcW w:w="953" w:type="dxa"/>
            <w:shd w:val="clear" w:color="auto" w:fill="auto"/>
            <w:vAlign w:val="center"/>
          </w:tcPr>
          <w:p w14:paraId="54977D36" w14:textId="1A603D65" w:rsidR="00173157" w:rsidRPr="00173157" w:rsidRDefault="00173157" w:rsidP="008872A6">
            <w:pPr>
              <w:jc w:val="right"/>
              <w:rPr>
                <w:rFonts w:cs="Arial"/>
                <w:color w:val="000000" w:themeColor="text1"/>
                <w:sz w:val="16"/>
                <w:szCs w:val="16"/>
                <w:highlight w:val="yellow"/>
              </w:rPr>
            </w:pPr>
            <w:r w:rsidRPr="008872A6">
              <w:rPr>
                <w:rFonts w:cs="Arial"/>
                <w:color w:val="000000" w:themeColor="text1"/>
                <w:sz w:val="16"/>
                <w:szCs w:val="16"/>
              </w:rPr>
              <w:t>10</w:t>
            </w:r>
            <w:r w:rsidR="008872A6" w:rsidRPr="008872A6">
              <w:rPr>
                <w:rFonts w:cs="Arial"/>
                <w:color w:val="000000" w:themeColor="text1"/>
                <w:sz w:val="16"/>
                <w:szCs w:val="16"/>
              </w:rPr>
              <w:t>1</w:t>
            </w:r>
            <w:r w:rsidRPr="008872A6">
              <w:rPr>
                <w:rFonts w:cs="Arial"/>
                <w:color w:val="000000" w:themeColor="text1"/>
                <w:sz w:val="16"/>
                <w:szCs w:val="16"/>
              </w:rPr>
              <w:t>,2</w:t>
            </w:r>
          </w:p>
        </w:tc>
        <w:tc>
          <w:tcPr>
            <w:tcW w:w="953" w:type="dxa"/>
            <w:shd w:val="clear" w:color="auto" w:fill="auto"/>
            <w:vAlign w:val="center"/>
          </w:tcPr>
          <w:p w14:paraId="52AB5A3B" w14:textId="5FCE5547" w:rsidR="00173157" w:rsidRPr="00173157" w:rsidRDefault="00173157" w:rsidP="008872A6">
            <w:pPr>
              <w:jc w:val="right"/>
              <w:rPr>
                <w:rFonts w:cs="Arial"/>
                <w:color w:val="000000" w:themeColor="text1"/>
                <w:sz w:val="16"/>
                <w:szCs w:val="16"/>
                <w:highlight w:val="yellow"/>
              </w:rPr>
            </w:pPr>
            <w:r w:rsidRPr="008872A6">
              <w:rPr>
                <w:rFonts w:cs="Arial"/>
                <w:color w:val="000000" w:themeColor="text1"/>
                <w:sz w:val="16"/>
                <w:szCs w:val="16"/>
              </w:rPr>
              <w:t>10</w:t>
            </w:r>
            <w:r w:rsidR="008872A6" w:rsidRPr="008872A6">
              <w:rPr>
                <w:rFonts w:cs="Arial"/>
                <w:color w:val="000000" w:themeColor="text1"/>
                <w:sz w:val="16"/>
                <w:szCs w:val="16"/>
              </w:rPr>
              <w:t>2</w:t>
            </w:r>
            <w:r w:rsidRPr="008872A6">
              <w:rPr>
                <w:rFonts w:cs="Arial"/>
                <w:color w:val="000000" w:themeColor="text1"/>
                <w:sz w:val="16"/>
                <w:szCs w:val="16"/>
              </w:rPr>
              <w:t>,4</w:t>
            </w:r>
          </w:p>
        </w:tc>
        <w:tc>
          <w:tcPr>
            <w:tcW w:w="979" w:type="dxa"/>
            <w:shd w:val="clear" w:color="auto" w:fill="auto"/>
            <w:vAlign w:val="center"/>
          </w:tcPr>
          <w:p w14:paraId="12B16C91" w14:textId="1882E9CA" w:rsidR="00173157" w:rsidRPr="00173157" w:rsidRDefault="00173157" w:rsidP="006F505D">
            <w:pPr>
              <w:jc w:val="right"/>
              <w:rPr>
                <w:rFonts w:cs="Arial"/>
                <w:color w:val="000000" w:themeColor="text1"/>
                <w:sz w:val="16"/>
                <w:szCs w:val="16"/>
                <w:highlight w:val="yellow"/>
              </w:rPr>
            </w:pPr>
            <w:r w:rsidRPr="006F505D">
              <w:rPr>
                <w:rFonts w:cs="Arial"/>
                <w:color w:val="000000" w:themeColor="text1"/>
                <w:sz w:val="16"/>
                <w:szCs w:val="16"/>
              </w:rPr>
              <w:t>10</w:t>
            </w:r>
            <w:r w:rsidR="006F505D" w:rsidRPr="006F505D">
              <w:rPr>
                <w:rFonts w:cs="Arial"/>
                <w:color w:val="000000" w:themeColor="text1"/>
                <w:sz w:val="16"/>
                <w:szCs w:val="16"/>
              </w:rPr>
              <w:t>9</w:t>
            </w:r>
            <w:r w:rsidRPr="006F505D">
              <w:rPr>
                <w:rFonts w:cs="Arial"/>
                <w:color w:val="000000" w:themeColor="text1"/>
                <w:sz w:val="16"/>
                <w:szCs w:val="16"/>
              </w:rPr>
              <w:t>,</w:t>
            </w:r>
            <w:r w:rsidR="006F505D" w:rsidRPr="006F505D">
              <w:rPr>
                <w:rFonts w:cs="Arial"/>
                <w:color w:val="000000" w:themeColor="text1"/>
                <w:sz w:val="16"/>
                <w:szCs w:val="16"/>
              </w:rPr>
              <w:t>1</w:t>
            </w:r>
          </w:p>
        </w:tc>
      </w:tr>
      <w:tr w:rsidR="00173157" w:rsidRPr="00864080" w14:paraId="5547402D" w14:textId="77777777" w:rsidTr="00173157">
        <w:tc>
          <w:tcPr>
            <w:tcW w:w="2194" w:type="dxa"/>
          </w:tcPr>
          <w:p w14:paraId="52BB7747" w14:textId="77777777" w:rsidR="00173157" w:rsidRPr="002929E3" w:rsidRDefault="00173157" w:rsidP="007E46B2">
            <w:pPr>
              <w:rPr>
                <w:shd w:val="clear" w:color="auto" w:fill="FFFFFF"/>
              </w:rPr>
            </w:pPr>
            <w:r w:rsidRPr="002929E3">
              <w:rPr>
                <w:color w:val="000000" w:themeColor="text1"/>
                <w:sz w:val="16"/>
                <w:szCs w:val="16"/>
              </w:rPr>
              <w:t>Roboty budowlane specjalistyczne</w:t>
            </w:r>
          </w:p>
        </w:tc>
        <w:tc>
          <w:tcPr>
            <w:tcW w:w="953" w:type="dxa"/>
            <w:vAlign w:val="center"/>
          </w:tcPr>
          <w:p w14:paraId="7CDBB51B" w14:textId="0C7E104E" w:rsidR="00173157" w:rsidRPr="00173157" w:rsidRDefault="00173157" w:rsidP="006F505D">
            <w:pPr>
              <w:jc w:val="right"/>
              <w:rPr>
                <w:rFonts w:cs="Arial"/>
                <w:color w:val="000000" w:themeColor="text1"/>
                <w:sz w:val="16"/>
                <w:szCs w:val="16"/>
                <w:highlight w:val="yellow"/>
              </w:rPr>
            </w:pPr>
            <w:r w:rsidRPr="006F505D">
              <w:rPr>
                <w:rFonts w:cs="Arial"/>
                <w:color w:val="000000" w:themeColor="text1"/>
                <w:sz w:val="16"/>
                <w:szCs w:val="16"/>
              </w:rPr>
              <w:t>10</w:t>
            </w:r>
            <w:r w:rsidR="006F505D" w:rsidRPr="006F505D">
              <w:rPr>
                <w:rFonts w:cs="Arial"/>
                <w:color w:val="000000" w:themeColor="text1"/>
                <w:sz w:val="16"/>
                <w:szCs w:val="16"/>
              </w:rPr>
              <w:t>1</w:t>
            </w:r>
            <w:r w:rsidRPr="006F505D">
              <w:rPr>
                <w:rFonts w:cs="Arial"/>
                <w:color w:val="000000" w:themeColor="text1"/>
                <w:sz w:val="16"/>
                <w:szCs w:val="16"/>
              </w:rPr>
              <w:t>,</w:t>
            </w:r>
            <w:r w:rsidR="006F505D" w:rsidRPr="006F505D">
              <w:rPr>
                <w:rFonts w:cs="Arial"/>
                <w:color w:val="000000" w:themeColor="text1"/>
                <w:sz w:val="16"/>
                <w:szCs w:val="16"/>
              </w:rPr>
              <w:t>1</w:t>
            </w:r>
            <w:r w:rsidR="000F189F">
              <w:rPr>
                <w:rFonts w:cs="Arial"/>
                <w:color w:val="000000" w:themeColor="text1"/>
                <w:sz w:val="16"/>
                <w:szCs w:val="16"/>
              </w:rPr>
              <w:t>*</w:t>
            </w:r>
          </w:p>
        </w:tc>
        <w:tc>
          <w:tcPr>
            <w:tcW w:w="953" w:type="dxa"/>
            <w:vAlign w:val="center"/>
          </w:tcPr>
          <w:p w14:paraId="13BFD69B" w14:textId="6EFB9942" w:rsidR="00173157" w:rsidRPr="00173157" w:rsidRDefault="00173157" w:rsidP="00F33A22">
            <w:pPr>
              <w:jc w:val="right"/>
              <w:rPr>
                <w:rFonts w:cs="Arial"/>
                <w:color w:val="000000" w:themeColor="text1"/>
                <w:sz w:val="16"/>
                <w:szCs w:val="16"/>
                <w:highlight w:val="yellow"/>
              </w:rPr>
            </w:pPr>
            <w:r w:rsidRPr="00F33A22">
              <w:rPr>
                <w:rFonts w:cs="Arial"/>
                <w:color w:val="000000" w:themeColor="text1"/>
                <w:sz w:val="16"/>
                <w:szCs w:val="16"/>
              </w:rPr>
              <w:t>10</w:t>
            </w:r>
            <w:r w:rsidR="00F33A22" w:rsidRPr="00F33A22">
              <w:rPr>
                <w:rFonts w:cs="Arial"/>
                <w:color w:val="000000" w:themeColor="text1"/>
                <w:sz w:val="16"/>
                <w:szCs w:val="16"/>
              </w:rPr>
              <w:t>7</w:t>
            </w:r>
            <w:r w:rsidRPr="00F33A22">
              <w:rPr>
                <w:rFonts w:cs="Arial"/>
                <w:color w:val="000000" w:themeColor="text1"/>
                <w:sz w:val="16"/>
                <w:szCs w:val="16"/>
              </w:rPr>
              <w:t>,</w:t>
            </w:r>
            <w:r w:rsidR="00F33A22" w:rsidRPr="00F33A22">
              <w:rPr>
                <w:rFonts w:cs="Arial"/>
                <w:color w:val="000000" w:themeColor="text1"/>
                <w:sz w:val="16"/>
                <w:szCs w:val="16"/>
              </w:rPr>
              <w:t>4</w:t>
            </w:r>
            <w:r w:rsidR="00225B35">
              <w:rPr>
                <w:rFonts w:cs="Arial"/>
                <w:color w:val="000000" w:themeColor="text1"/>
                <w:sz w:val="16"/>
                <w:szCs w:val="16"/>
              </w:rPr>
              <w:t>*</w:t>
            </w:r>
          </w:p>
        </w:tc>
        <w:tc>
          <w:tcPr>
            <w:tcW w:w="953" w:type="dxa"/>
            <w:vAlign w:val="center"/>
          </w:tcPr>
          <w:p w14:paraId="4198AD48" w14:textId="3960B587" w:rsidR="00173157" w:rsidRPr="00173157" w:rsidRDefault="00173157" w:rsidP="00623020">
            <w:pPr>
              <w:jc w:val="right"/>
              <w:rPr>
                <w:rFonts w:cs="Arial"/>
                <w:color w:val="000000" w:themeColor="text1"/>
                <w:sz w:val="16"/>
                <w:szCs w:val="16"/>
                <w:highlight w:val="yellow"/>
              </w:rPr>
            </w:pPr>
            <w:r w:rsidRPr="00623020">
              <w:rPr>
                <w:rFonts w:cs="Arial"/>
                <w:color w:val="000000" w:themeColor="text1"/>
                <w:sz w:val="16"/>
                <w:szCs w:val="16"/>
              </w:rPr>
              <w:t>10</w:t>
            </w:r>
            <w:r w:rsidR="00623020" w:rsidRPr="00623020">
              <w:rPr>
                <w:rFonts w:cs="Arial"/>
                <w:color w:val="000000" w:themeColor="text1"/>
                <w:sz w:val="16"/>
                <w:szCs w:val="16"/>
              </w:rPr>
              <w:t>8</w:t>
            </w:r>
            <w:r w:rsidRPr="00623020">
              <w:rPr>
                <w:rFonts w:cs="Arial"/>
                <w:color w:val="000000" w:themeColor="text1"/>
                <w:sz w:val="16"/>
                <w:szCs w:val="16"/>
              </w:rPr>
              <w:t>,</w:t>
            </w:r>
            <w:r w:rsidR="00623020" w:rsidRPr="00623020">
              <w:rPr>
                <w:rFonts w:cs="Arial"/>
                <w:color w:val="000000" w:themeColor="text1"/>
                <w:sz w:val="16"/>
                <w:szCs w:val="16"/>
              </w:rPr>
              <w:t>5</w:t>
            </w:r>
          </w:p>
        </w:tc>
        <w:tc>
          <w:tcPr>
            <w:tcW w:w="953" w:type="dxa"/>
            <w:vAlign w:val="center"/>
          </w:tcPr>
          <w:p w14:paraId="193C8D1C" w14:textId="721066B6" w:rsidR="00173157" w:rsidRPr="00173157" w:rsidRDefault="00173157" w:rsidP="00113471">
            <w:pPr>
              <w:jc w:val="right"/>
              <w:rPr>
                <w:rFonts w:cs="Arial"/>
                <w:color w:val="000000" w:themeColor="text1"/>
                <w:sz w:val="16"/>
                <w:szCs w:val="16"/>
                <w:highlight w:val="yellow"/>
              </w:rPr>
            </w:pPr>
            <w:r w:rsidRPr="00113471">
              <w:rPr>
                <w:rFonts w:cs="Arial"/>
                <w:color w:val="000000" w:themeColor="text1"/>
                <w:sz w:val="16"/>
                <w:szCs w:val="16"/>
              </w:rPr>
              <w:t>10</w:t>
            </w:r>
            <w:r w:rsidR="00113471" w:rsidRPr="00113471">
              <w:rPr>
                <w:rFonts w:cs="Arial"/>
                <w:color w:val="000000" w:themeColor="text1"/>
                <w:sz w:val="16"/>
                <w:szCs w:val="16"/>
              </w:rPr>
              <w:t>1</w:t>
            </w:r>
            <w:r w:rsidRPr="00113471">
              <w:rPr>
                <w:rFonts w:cs="Arial"/>
                <w:color w:val="000000" w:themeColor="text1"/>
                <w:sz w:val="16"/>
                <w:szCs w:val="16"/>
              </w:rPr>
              <w:t>,1</w:t>
            </w:r>
          </w:p>
        </w:tc>
        <w:tc>
          <w:tcPr>
            <w:tcW w:w="953" w:type="dxa"/>
            <w:vAlign w:val="center"/>
          </w:tcPr>
          <w:p w14:paraId="42FE1881" w14:textId="5081AF9C" w:rsidR="00173157" w:rsidRPr="00173157" w:rsidRDefault="00173157" w:rsidP="00113471">
            <w:pPr>
              <w:jc w:val="right"/>
              <w:rPr>
                <w:rFonts w:cs="Arial"/>
                <w:color w:val="000000" w:themeColor="text1"/>
                <w:sz w:val="16"/>
                <w:szCs w:val="16"/>
                <w:highlight w:val="yellow"/>
              </w:rPr>
            </w:pPr>
            <w:r w:rsidRPr="00113471">
              <w:rPr>
                <w:rFonts w:cs="Arial"/>
                <w:color w:val="000000" w:themeColor="text1"/>
                <w:sz w:val="16"/>
                <w:szCs w:val="16"/>
              </w:rPr>
              <w:t>10</w:t>
            </w:r>
            <w:r w:rsidR="00113471" w:rsidRPr="00113471">
              <w:rPr>
                <w:rFonts w:cs="Arial"/>
                <w:color w:val="000000" w:themeColor="text1"/>
                <w:sz w:val="16"/>
                <w:szCs w:val="16"/>
              </w:rPr>
              <w:t>2</w:t>
            </w:r>
            <w:r w:rsidRPr="00113471">
              <w:rPr>
                <w:rFonts w:cs="Arial"/>
                <w:color w:val="000000" w:themeColor="text1"/>
                <w:sz w:val="16"/>
                <w:szCs w:val="16"/>
              </w:rPr>
              <w:t>,</w:t>
            </w:r>
            <w:r w:rsidR="00113471" w:rsidRPr="00113471">
              <w:rPr>
                <w:rFonts w:cs="Arial"/>
                <w:color w:val="000000" w:themeColor="text1"/>
                <w:sz w:val="16"/>
                <w:szCs w:val="16"/>
              </w:rPr>
              <w:t>2</w:t>
            </w:r>
          </w:p>
        </w:tc>
        <w:tc>
          <w:tcPr>
            <w:tcW w:w="979" w:type="dxa"/>
            <w:vAlign w:val="center"/>
          </w:tcPr>
          <w:p w14:paraId="28FEE295" w14:textId="5B138178" w:rsidR="00173157" w:rsidRPr="00173157" w:rsidRDefault="00173157" w:rsidP="00113471">
            <w:pPr>
              <w:jc w:val="right"/>
              <w:rPr>
                <w:rFonts w:cs="Arial"/>
                <w:color w:val="000000" w:themeColor="text1"/>
                <w:sz w:val="16"/>
                <w:szCs w:val="16"/>
                <w:highlight w:val="yellow"/>
              </w:rPr>
            </w:pPr>
            <w:r w:rsidRPr="00113471">
              <w:rPr>
                <w:rFonts w:cs="Arial"/>
                <w:color w:val="000000" w:themeColor="text1"/>
                <w:sz w:val="16"/>
                <w:szCs w:val="16"/>
              </w:rPr>
              <w:t>10</w:t>
            </w:r>
            <w:r w:rsidR="00113471" w:rsidRPr="00113471">
              <w:rPr>
                <w:rFonts w:cs="Arial"/>
                <w:color w:val="000000" w:themeColor="text1"/>
                <w:sz w:val="16"/>
                <w:szCs w:val="16"/>
              </w:rPr>
              <w:t>8</w:t>
            </w:r>
            <w:r w:rsidRPr="00113471">
              <w:rPr>
                <w:rFonts w:cs="Arial"/>
                <w:color w:val="000000" w:themeColor="text1"/>
                <w:sz w:val="16"/>
                <w:szCs w:val="16"/>
              </w:rPr>
              <w:t>,0</w:t>
            </w:r>
          </w:p>
        </w:tc>
      </w:tr>
    </w:tbl>
    <w:p w14:paraId="69A8D82A" w14:textId="4673CA59" w:rsidR="001578AB" w:rsidRDefault="001578AB" w:rsidP="001578AB">
      <w:pPr>
        <w:rPr>
          <w:rFonts w:cs="Arial"/>
          <w:sz w:val="16"/>
          <w:szCs w:val="16"/>
        </w:rPr>
      </w:pPr>
      <w:r w:rsidRPr="006F302E">
        <w:rPr>
          <w:rFonts w:cs="Arial"/>
          <w:i/>
          <w:sz w:val="16"/>
          <w:szCs w:val="16"/>
          <w:vertAlign w:val="superscript"/>
        </w:rPr>
        <w:t xml:space="preserve">a) </w:t>
      </w:r>
      <w:r w:rsidRPr="006F302E">
        <w:rPr>
          <w:rFonts w:cs="Arial"/>
          <w:sz w:val="16"/>
          <w:szCs w:val="16"/>
        </w:rPr>
        <w:t>Nazwa skrócona według PKD 2007</w:t>
      </w:r>
    </w:p>
    <w:p w14:paraId="0D79A75E" w14:textId="63116B33" w:rsidR="001578AB" w:rsidRPr="006F302E" w:rsidRDefault="001578AB" w:rsidP="001578AB">
      <w:pPr>
        <w:pStyle w:val="Nagwek"/>
        <w:tabs>
          <w:tab w:val="clear" w:pos="4536"/>
          <w:tab w:val="clear" w:pos="9072"/>
        </w:tabs>
        <w:spacing w:before="0"/>
        <w:rPr>
          <w:rFonts w:cs="Arial"/>
          <w:sz w:val="16"/>
          <w:szCs w:val="16"/>
        </w:rPr>
      </w:pPr>
      <w:r w:rsidRPr="006F302E">
        <w:rPr>
          <w:rFonts w:cs="Arial"/>
          <w:sz w:val="16"/>
          <w:szCs w:val="16"/>
        </w:rPr>
        <w:t>* Dane zmienione w stosunku do wcześniej opublikowanych.</w:t>
      </w:r>
    </w:p>
    <w:p w14:paraId="3308D3FC" w14:textId="5232DF04" w:rsidR="001578AB" w:rsidRDefault="001578AB" w:rsidP="00966C9A">
      <w:pPr>
        <w:pStyle w:val="Tablicanotka"/>
      </w:pPr>
    </w:p>
    <w:p w14:paraId="74B94A27" w14:textId="3D376D6C" w:rsidR="001578AB" w:rsidRDefault="001578AB" w:rsidP="00966C9A">
      <w:pPr>
        <w:pStyle w:val="Tablicanotka"/>
      </w:pPr>
    </w:p>
    <w:p w14:paraId="035EB1AF" w14:textId="34815FFE" w:rsidR="001578AB" w:rsidRDefault="001578AB" w:rsidP="00966C9A">
      <w:pPr>
        <w:pStyle w:val="Tablicanotka"/>
      </w:pPr>
    </w:p>
    <w:p w14:paraId="62D32F42" w14:textId="6F3A7B10" w:rsidR="001578AB" w:rsidRDefault="001578AB" w:rsidP="00966C9A">
      <w:pPr>
        <w:pStyle w:val="Tablicanotka"/>
      </w:pPr>
    </w:p>
    <w:p w14:paraId="5AC8E904" w14:textId="6B117886" w:rsidR="001578AB" w:rsidRDefault="001578AB" w:rsidP="00966C9A">
      <w:pPr>
        <w:pStyle w:val="Tablicanotka"/>
      </w:pPr>
    </w:p>
    <w:p w14:paraId="68A029D3" w14:textId="77777777" w:rsidR="001578AB" w:rsidRDefault="001578AB" w:rsidP="00966C9A">
      <w:pPr>
        <w:pStyle w:val="Tablicanotka"/>
      </w:pPr>
    </w:p>
    <w:p w14:paraId="637168A7" w14:textId="6E56B4AD" w:rsidR="001578AB" w:rsidRDefault="001578AB" w:rsidP="00966C9A">
      <w:pPr>
        <w:pStyle w:val="Tablicanotka"/>
      </w:pPr>
    </w:p>
    <w:p w14:paraId="10C8C92E" w14:textId="77777777" w:rsidR="001578AB" w:rsidRDefault="001578AB" w:rsidP="00966C9A">
      <w:pPr>
        <w:pStyle w:val="Tablicanotka"/>
      </w:pPr>
    </w:p>
    <w:p w14:paraId="01DA9C84" w14:textId="23C7B1B4" w:rsidR="001578AB" w:rsidRDefault="001578AB" w:rsidP="00966C9A">
      <w:pPr>
        <w:pStyle w:val="Tablicanotka"/>
      </w:pPr>
    </w:p>
    <w:p w14:paraId="0F69D442" w14:textId="12F61BDE" w:rsidR="001578AB" w:rsidRDefault="001578AB" w:rsidP="00966C9A">
      <w:pPr>
        <w:pStyle w:val="Tablicanotka"/>
      </w:pPr>
    </w:p>
    <w:p w14:paraId="6A0091DC" w14:textId="5D48CF27" w:rsidR="001578AB" w:rsidRDefault="001578AB" w:rsidP="00966C9A">
      <w:pPr>
        <w:pStyle w:val="Tablicanotka"/>
      </w:pPr>
    </w:p>
    <w:p w14:paraId="28E2344E" w14:textId="38F8FD0D" w:rsidR="00216634" w:rsidRDefault="00B14BA6" w:rsidP="008E409E">
      <w:pPr>
        <w:spacing w:line="288" w:lineRule="auto"/>
        <w:ind w:left="851" w:hanging="851"/>
        <w:rPr>
          <w:rFonts w:ascii="Fira Sans SemiBold" w:eastAsia="Times New Roman" w:hAnsi="Fira Sans SemiBold" w:cs="Times New Roman"/>
          <w:b/>
          <w:bCs/>
          <w:noProof/>
          <w:sz w:val="18"/>
          <w:szCs w:val="18"/>
          <w:lang w:eastAsia="pl-PL"/>
        </w:rPr>
      </w:pPr>
      <w:r w:rsidRPr="008D0278">
        <w:rPr>
          <w:noProof/>
          <w:sz w:val="18"/>
          <w:szCs w:val="18"/>
          <w:lang w:eastAsia="pl-PL"/>
        </w:rPr>
        <mc:AlternateContent>
          <mc:Choice Requires="wps">
            <w:drawing>
              <wp:anchor distT="0" distB="0" distL="114300" distR="114300" simplePos="0" relativeHeight="251759616" behindDoc="0" locked="0" layoutInCell="1" allowOverlap="1" wp14:anchorId="0F16680A" wp14:editId="071E89D7">
                <wp:simplePos x="0" y="0"/>
                <wp:positionH relativeFrom="page">
                  <wp:posOffset>5702400</wp:posOffset>
                </wp:positionH>
                <wp:positionV relativeFrom="paragraph">
                  <wp:posOffset>128300</wp:posOffset>
                </wp:positionV>
                <wp:extent cx="1771885" cy="1428750"/>
                <wp:effectExtent l="0" t="0" r="0" b="0"/>
                <wp:wrapNone/>
                <wp:docPr id="25" name="Pole tekstowe 25" descr="W lutym 2022 r. ceny produkcji budowlano-montażowej w stosunku do poprzedniego miesiąca wzrosły o 1,2 %"/>
                <wp:cNvGraphicFramePr/>
                <a:graphic xmlns:a="http://schemas.openxmlformats.org/drawingml/2006/main">
                  <a:graphicData uri="http://schemas.microsoft.com/office/word/2010/wordprocessingShape">
                    <wps:wsp>
                      <wps:cNvSpPr txBox="1"/>
                      <wps:spPr>
                        <a:xfrm>
                          <a:off x="0" y="0"/>
                          <a:ext cx="1771885" cy="1428750"/>
                        </a:xfrm>
                        <a:prstGeom prst="rect">
                          <a:avLst/>
                        </a:prstGeom>
                        <a:noFill/>
                        <a:ln w="6350">
                          <a:noFill/>
                        </a:ln>
                        <a:effectLst/>
                      </wps:spPr>
                      <wps:txbx>
                        <w:txbxContent>
                          <w:p w14:paraId="4A36B16C" w14:textId="7A27BC0B" w:rsidR="00410D85" w:rsidRDefault="00410D85" w:rsidP="00410D85">
                            <w:pPr>
                              <w:pStyle w:val="tekstzboku"/>
                              <w:rPr>
                                <w:bCs w:val="0"/>
                              </w:rPr>
                            </w:pPr>
                            <w:r w:rsidRPr="008D4A9C">
                              <w:rPr>
                                <w:bCs w:val="0"/>
                              </w:rPr>
                              <w:t xml:space="preserve">W </w:t>
                            </w:r>
                            <w:r w:rsidR="005E0060" w:rsidRPr="008D4A9C">
                              <w:rPr>
                                <w:bCs w:val="0"/>
                              </w:rPr>
                              <w:t>lutym</w:t>
                            </w:r>
                            <w:r w:rsidRPr="008D4A9C">
                              <w:rPr>
                                <w:bCs w:val="0"/>
                              </w:rPr>
                              <w:t xml:space="preserve"> 2022 r.</w:t>
                            </w:r>
                            <w:r>
                              <w:rPr>
                                <w:bCs w:val="0"/>
                              </w:rPr>
                              <w:t xml:space="preserve"> ceny</w:t>
                            </w:r>
                            <w:r w:rsidRPr="00EE5E95">
                              <w:rPr>
                                <w:bCs w:val="0"/>
                              </w:rPr>
                              <w:t xml:space="preserve"> produkcji budowlano-montażowej</w:t>
                            </w:r>
                            <w:r>
                              <w:rPr>
                                <w:bCs w:val="0"/>
                              </w:rPr>
                              <w:t xml:space="preserve"> w</w:t>
                            </w:r>
                            <w:r w:rsidR="00B14BA6">
                              <w:rPr>
                                <w:bCs w:val="0"/>
                              </w:rPr>
                              <w:t> </w:t>
                            </w:r>
                            <w:r>
                              <w:rPr>
                                <w:bCs w:val="0"/>
                              </w:rPr>
                              <w:t xml:space="preserve">stosunku do poprzedniego miesiąca  </w:t>
                            </w:r>
                            <w:r w:rsidRPr="008D4A9C">
                              <w:rPr>
                                <w:bCs w:val="0"/>
                              </w:rPr>
                              <w:t>wzrosły</w:t>
                            </w:r>
                            <w:r w:rsidR="008D4A9C">
                              <w:rPr>
                                <w:bCs w:val="0"/>
                              </w:rPr>
                              <w:t xml:space="preserve"> </w:t>
                            </w:r>
                            <w:r w:rsidRPr="008D4A9C">
                              <w:rPr>
                                <w:bCs w:val="0"/>
                              </w:rPr>
                              <w:t>o 1,</w:t>
                            </w:r>
                            <w:r w:rsidR="008D4A9C" w:rsidRPr="008D4A9C">
                              <w:rPr>
                                <w:bCs w:val="0"/>
                              </w:rPr>
                              <w:t>2</w:t>
                            </w:r>
                            <w:r w:rsidRPr="008D4A9C">
                              <w:rPr>
                                <w:bCs w:val="0"/>
                              </w:rPr>
                              <w:t>%</w:t>
                            </w:r>
                          </w:p>
                          <w:p w14:paraId="512DFB98" w14:textId="77777777" w:rsidR="001578AB" w:rsidRDefault="001578AB" w:rsidP="001578AB">
                            <w:pPr>
                              <w:pStyle w:val="tekstzboku"/>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6680A" id="Pole tekstowe 25" o:spid="_x0000_s1028" type="#_x0000_t202" alt="W lutym 2022 r. ceny produkcji budowlano-montażowej w stosunku do poprzedniego miesiąca wzrosły o 1,2 %" style="position:absolute;left:0;text-align:left;margin-left:449pt;margin-top:10.1pt;width:139.5pt;height:112.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" filled="f" stroked="f" strokeweight=".5pt">
                <v:textbox>
                  <w:txbxContent>
                    <w:p w14:paraId="4A36B16C" w14:textId="7A27BC0B" w:rsidR="00410D85" w:rsidRDefault="00410D85" w:rsidP="00410D85">
                      <w:pPr>
                        <w:pStyle w:val="tekstzboku"/>
                        <w:rPr>
                          <w:bCs w:val="0"/>
                        </w:rPr>
                      </w:pPr>
                      <w:r w:rsidRPr="008D4A9C">
                        <w:rPr>
                          <w:bCs w:val="0"/>
                        </w:rPr>
                        <w:t xml:space="preserve">W </w:t>
                      </w:r>
                      <w:r w:rsidR="005E0060" w:rsidRPr="008D4A9C">
                        <w:rPr>
                          <w:bCs w:val="0"/>
                        </w:rPr>
                        <w:t>lutym</w:t>
                      </w:r>
                      <w:r w:rsidRPr="008D4A9C">
                        <w:rPr>
                          <w:bCs w:val="0"/>
                        </w:rPr>
                        <w:t xml:space="preserve"> 2022 r.</w:t>
                      </w:r>
                      <w:r>
                        <w:rPr>
                          <w:bCs w:val="0"/>
                        </w:rPr>
                        <w:t xml:space="preserve"> ceny</w:t>
                      </w:r>
                      <w:r w:rsidRPr="00EE5E95">
                        <w:rPr>
                          <w:bCs w:val="0"/>
                        </w:rPr>
                        <w:t xml:space="preserve"> produkcji budowlano-montażowej</w:t>
                      </w:r>
                      <w:r>
                        <w:rPr>
                          <w:bCs w:val="0"/>
                        </w:rPr>
                        <w:t xml:space="preserve"> w</w:t>
                      </w:r>
                      <w:r w:rsidR="00B14BA6">
                        <w:rPr>
                          <w:bCs w:val="0"/>
                        </w:rPr>
                        <w:t> </w:t>
                      </w:r>
                      <w:r>
                        <w:rPr>
                          <w:bCs w:val="0"/>
                        </w:rPr>
                        <w:t xml:space="preserve">stosunku do poprzedniego miesiąca  </w:t>
                      </w:r>
                      <w:r w:rsidRPr="008D4A9C">
                        <w:rPr>
                          <w:bCs w:val="0"/>
                        </w:rPr>
                        <w:t>wzrosły</w:t>
                      </w:r>
                      <w:r w:rsidR="008D4A9C">
                        <w:rPr>
                          <w:bCs w:val="0"/>
                        </w:rPr>
                        <w:t xml:space="preserve"> </w:t>
                      </w:r>
                      <w:r w:rsidRPr="008D4A9C">
                        <w:rPr>
                          <w:bCs w:val="0"/>
                        </w:rPr>
                        <w:t>o 1,</w:t>
                      </w:r>
                      <w:r w:rsidR="008D4A9C" w:rsidRPr="008D4A9C">
                        <w:rPr>
                          <w:bCs w:val="0"/>
                        </w:rPr>
                        <w:t>2</w:t>
                      </w:r>
                      <w:r w:rsidRPr="008D4A9C">
                        <w:rPr>
                          <w:bCs w:val="0"/>
                        </w:rPr>
                        <w:t>%</w:t>
                      </w:r>
                    </w:p>
                    <w:p w14:paraId="512DFB98" w14:textId="77777777" w:rsidR="001578AB" w:rsidRDefault="001578AB" w:rsidP="001578AB">
                      <w:pPr>
                        <w:pStyle w:val="tekstzboku"/>
                      </w:pPr>
                    </w:p>
                  </w:txbxContent>
                </v:textbox>
                <w10:wrap anchorx="page"/>
              </v:shape>
            </w:pict>
          </mc:Fallback>
        </mc:AlternateContent>
      </w:r>
      <w:r w:rsidR="005A60DF">
        <w:rPr>
          <w:rFonts w:ascii="Fira Sans SemiBold" w:eastAsia="Times New Roman" w:hAnsi="Fira Sans SemiBold" w:cs="Times New Roman"/>
          <w:b/>
          <w:bCs/>
          <w:noProof/>
          <w:sz w:val="18"/>
          <w:szCs w:val="18"/>
          <w:lang w:eastAsia="pl-PL"/>
        </w:rPr>
        <w:drawing>
          <wp:anchor distT="0" distB="0" distL="114300" distR="114300" simplePos="0" relativeHeight="251778048" behindDoc="0" locked="0" layoutInCell="1" allowOverlap="1" wp14:anchorId="22590A01" wp14:editId="568856C4">
            <wp:simplePos x="0" y="0"/>
            <wp:positionH relativeFrom="column">
              <wp:posOffset>-401955</wp:posOffset>
            </wp:positionH>
            <wp:positionV relativeFrom="paragraph">
              <wp:posOffset>332740</wp:posOffset>
            </wp:positionV>
            <wp:extent cx="5549900" cy="3523615"/>
            <wp:effectExtent l="0" t="0" r="0" b="635"/>
            <wp:wrapSquare wrapText="bothSides"/>
            <wp:docPr id="16" name="Obraz 16" descr="Zmiany cen produkcji budowlano-montażowej w latach 2020-2022 w stosunku do  okresu poprzedn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900" cy="3523615"/>
                    </a:xfrm>
                    <a:prstGeom prst="rect">
                      <a:avLst/>
                    </a:prstGeom>
                    <a:noFill/>
                  </pic:spPr>
                </pic:pic>
              </a:graphicData>
            </a:graphic>
            <wp14:sizeRelH relativeFrom="margin">
              <wp14:pctWidth>0</wp14:pctWidth>
            </wp14:sizeRelH>
          </wp:anchor>
        </w:drawing>
      </w:r>
      <w:r w:rsidR="008E409E" w:rsidRPr="008D0278">
        <w:rPr>
          <w:rFonts w:ascii="Fira Sans SemiBold" w:eastAsia="Times New Roman" w:hAnsi="Fira Sans SemiBold" w:cs="Times New Roman"/>
          <w:b/>
          <w:bCs/>
          <w:noProof/>
          <w:sz w:val="18"/>
          <w:szCs w:val="18"/>
          <w:lang w:eastAsia="pl-PL"/>
        </w:rPr>
        <w:t>Wykres 1. Zmiany cen produkcji budowlano-montażowej w latach 2020-2022 w stosunku do  okresu poprzedniego</w:t>
      </w:r>
    </w:p>
    <w:p w14:paraId="51E719B0" w14:textId="4AC37DBF" w:rsidR="005A60DF" w:rsidRDefault="005A60DF" w:rsidP="008E409E">
      <w:pPr>
        <w:spacing w:line="288" w:lineRule="auto"/>
        <w:ind w:left="851" w:hanging="851"/>
        <w:rPr>
          <w:rFonts w:ascii="Fira Sans SemiBold" w:eastAsia="Times New Roman" w:hAnsi="Fira Sans SemiBold" w:cs="Times New Roman"/>
          <w:b/>
          <w:bCs/>
          <w:noProof/>
          <w:sz w:val="18"/>
          <w:szCs w:val="18"/>
          <w:lang w:eastAsia="pl-PL"/>
        </w:rPr>
      </w:pPr>
    </w:p>
    <w:p w14:paraId="5432DC5F" w14:textId="53D18F98" w:rsidR="00B469C3" w:rsidRDefault="00B469C3" w:rsidP="00E95B8E">
      <w:pPr>
        <w:rPr>
          <w:sz w:val="16"/>
        </w:rPr>
      </w:pPr>
    </w:p>
    <w:p w14:paraId="1D2A167D" w14:textId="2E3D3BD5" w:rsidR="00DE4A46" w:rsidRPr="008D0278" w:rsidRDefault="00B14BA6" w:rsidP="00DE4A46">
      <w:pPr>
        <w:spacing w:line="288" w:lineRule="auto"/>
        <w:ind w:left="851" w:hanging="851"/>
        <w:rPr>
          <w:rFonts w:ascii="Fira Sans SemiBold" w:eastAsia="Times New Roman" w:hAnsi="Fira Sans SemiBold" w:cs="Times New Roman"/>
          <w:b/>
          <w:bCs/>
          <w:noProof/>
          <w:sz w:val="18"/>
          <w:szCs w:val="18"/>
          <w:lang w:eastAsia="pl-PL"/>
        </w:rPr>
      </w:pPr>
      <w:r w:rsidRPr="00127824">
        <w:rPr>
          <w:noProof/>
          <w:lang w:eastAsia="pl-PL"/>
        </w:rPr>
        <mc:AlternateContent>
          <mc:Choice Requires="wps">
            <w:drawing>
              <wp:anchor distT="0" distB="0" distL="114300" distR="114300" simplePos="0" relativeHeight="251769856" behindDoc="0" locked="0" layoutInCell="1" allowOverlap="1" wp14:anchorId="6B4A2948" wp14:editId="09C2A40B">
                <wp:simplePos x="0" y="0"/>
                <wp:positionH relativeFrom="page">
                  <wp:posOffset>5695200</wp:posOffset>
                </wp:positionH>
                <wp:positionV relativeFrom="paragraph">
                  <wp:posOffset>165245</wp:posOffset>
                </wp:positionV>
                <wp:extent cx="1763415" cy="1428750"/>
                <wp:effectExtent l="0" t="0" r="0" b="0"/>
                <wp:wrapNone/>
                <wp:docPr id="15" name="Pole tekstowe 15" descr="Od marca 2021 r. obserwuje się rosnący trend w dynamice cen produkcji budowlano-montażowej w skali roku"/>
                <wp:cNvGraphicFramePr/>
                <a:graphic xmlns:a="http://schemas.openxmlformats.org/drawingml/2006/main">
                  <a:graphicData uri="http://schemas.microsoft.com/office/word/2010/wordprocessingShape">
                    <wps:wsp>
                      <wps:cNvSpPr txBox="1"/>
                      <wps:spPr>
                        <a:xfrm>
                          <a:off x="0" y="0"/>
                          <a:ext cx="1763415" cy="1428750"/>
                        </a:xfrm>
                        <a:prstGeom prst="rect">
                          <a:avLst/>
                        </a:prstGeom>
                        <a:noFill/>
                        <a:ln w="6350">
                          <a:noFill/>
                        </a:ln>
                        <a:effectLst/>
                      </wps:spPr>
                      <wps:txbx>
                        <w:txbxContent>
                          <w:p w14:paraId="3CC22E29" w14:textId="0A1774E5" w:rsidR="00BB1006" w:rsidRDefault="00BB1006" w:rsidP="00BB1006">
                            <w:pPr>
                              <w:pStyle w:val="tekstzboku"/>
                            </w:pPr>
                            <w:r w:rsidRPr="00947BEA">
                              <w:rPr>
                                <w:bCs w:val="0"/>
                              </w:rPr>
                              <w:t>Od marca 2021 r.</w:t>
                            </w:r>
                            <w:r w:rsidRPr="00D30232">
                              <w:rPr>
                                <w:bCs w:val="0"/>
                              </w:rPr>
                              <w:t xml:space="preserve"> obserwuje się rosnący trend</w:t>
                            </w:r>
                            <w:r w:rsidRPr="007C041F">
                              <w:rPr>
                                <w:bCs w:val="0"/>
                              </w:rPr>
                              <w:t xml:space="preserve"> w dynamice cen</w:t>
                            </w:r>
                            <w:r>
                              <w:rPr>
                                <w:bCs w:val="0"/>
                              </w:rPr>
                              <w:t xml:space="preserve"> </w:t>
                            </w:r>
                            <w:r w:rsidRPr="00EE5E95">
                              <w:rPr>
                                <w:bCs w:val="0"/>
                              </w:rPr>
                              <w:t>produkcji budowlano-montażowej</w:t>
                            </w:r>
                            <w:r>
                              <w:rPr>
                                <w:bCs w:val="0"/>
                              </w:rPr>
                              <w:t xml:space="preserve"> </w:t>
                            </w:r>
                            <w:r w:rsidRPr="00EE5E95">
                              <w:rPr>
                                <w:bCs w:val="0"/>
                              </w:rPr>
                              <w:t>w skali roku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A2948" id="Pole tekstowe 15" o:spid="_x0000_s1029" type="#_x0000_t202" alt="Od marca 2021 r. obserwuje się rosnący trend w dynamice cen produkcji budowlano-montażowej w skali roku" style="position:absolute;left:0;text-align:left;margin-left:448.45pt;margin-top:13pt;width:138.85pt;height:112.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" filled="f" stroked="f" strokeweight=".5pt">
                <v:textbox>
                  <w:txbxContent>
                    <w:p w14:paraId="3CC22E29" w14:textId="0A1774E5" w:rsidR="00BB1006" w:rsidRDefault="00BB1006" w:rsidP="00BB1006">
                      <w:pPr>
                        <w:pStyle w:val="tekstzboku"/>
                      </w:pPr>
                      <w:r w:rsidRPr="00947BEA">
                        <w:rPr>
                          <w:bCs w:val="0"/>
                        </w:rPr>
                        <w:t>Od marca 2021 r.</w:t>
                      </w:r>
                      <w:r w:rsidRPr="00D30232">
                        <w:rPr>
                          <w:bCs w:val="0"/>
                        </w:rPr>
                        <w:t xml:space="preserve"> obserwuje się rosnący trend</w:t>
                      </w:r>
                      <w:r w:rsidRPr="007C041F">
                        <w:rPr>
                          <w:bCs w:val="0"/>
                        </w:rPr>
                        <w:t xml:space="preserve"> w dynamice cen</w:t>
                      </w:r>
                      <w:r>
                        <w:rPr>
                          <w:bCs w:val="0"/>
                        </w:rPr>
                        <w:t xml:space="preserve"> </w:t>
                      </w:r>
                      <w:r w:rsidRPr="00EE5E95">
                        <w:rPr>
                          <w:bCs w:val="0"/>
                        </w:rPr>
                        <w:t>produkcji budowlano-montażowej</w:t>
                      </w:r>
                      <w:r>
                        <w:rPr>
                          <w:bCs w:val="0"/>
                        </w:rPr>
                        <w:t xml:space="preserve"> </w:t>
                      </w:r>
                      <w:r w:rsidRPr="00EE5E95">
                        <w:rPr>
                          <w:bCs w:val="0"/>
                        </w:rPr>
                        <w:t>w skali roku</w:t>
                      </w:r>
                    </w:p>
                  </w:txbxContent>
                </v:textbox>
                <w10:wrap anchorx="page"/>
              </v:shape>
            </w:pict>
          </mc:Fallback>
        </mc:AlternateContent>
      </w:r>
      <w:r w:rsidR="000245D6">
        <w:rPr>
          <w:noProof/>
          <w:sz w:val="18"/>
          <w:lang w:eastAsia="pl-PL"/>
        </w:rPr>
        <w:drawing>
          <wp:anchor distT="0" distB="0" distL="114300" distR="114300" simplePos="0" relativeHeight="251779072" behindDoc="0" locked="0" layoutInCell="1" allowOverlap="1" wp14:anchorId="37C249F7" wp14:editId="488DE736">
            <wp:simplePos x="0" y="0"/>
            <wp:positionH relativeFrom="column">
              <wp:posOffset>-361950</wp:posOffset>
            </wp:positionH>
            <wp:positionV relativeFrom="paragraph">
              <wp:posOffset>356870</wp:posOffset>
            </wp:positionV>
            <wp:extent cx="5509260" cy="3395980"/>
            <wp:effectExtent l="0" t="0" r="0" b="0"/>
            <wp:wrapSquare wrapText="bothSides"/>
            <wp:docPr id="17" name="Obraz 17" descr="Zmiany cen produkcji budowlano-montażowej w latach 2020-2022 w stosunku do analogicznego okresu roku poprzedn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9260" cy="3395980"/>
                    </a:xfrm>
                    <a:prstGeom prst="rect">
                      <a:avLst/>
                    </a:prstGeom>
                    <a:noFill/>
                  </pic:spPr>
                </pic:pic>
              </a:graphicData>
            </a:graphic>
            <wp14:sizeRelH relativeFrom="margin">
              <wp14:pctWidth>0</wp14:pctWidth>
            </wp14:sizeRelH>
          </wp:anchor>
        </w:drawing>
      </w:r>
      <w:r w:rsidR="00DE4A46" w:rsidRPr="008D0278">
        <w:rPr>
          <w:rFonts w:ascii="Fira Sans SemiBold" w:eastAsia="Times New Roman" w:hAnsi="Fira Sans SemiBold" w:cs="Times New Roman"/>
          <w:b/>
          <w:bCs/>
          <w:noProof/>
          <w:sz w:val="18"/>
          <w:szCs w:val="18"/>
          <w:lang w:eastAsia="pl-PL"/>
        </w:rPr>
        <w:t>Wykres 2. Zmiany cen produkcji budowlano-montażowej w latach 2020-2022 w stosunku do analogicznego okresu roku poprzedniego</w:t>
      </w:r>
    </w:p>
    <w:p w14:paraId="4809D44B" w14:textId="076A3CA6" w:rsidR="00694AF0" w:rsidRDefault="00694AF0" w:rsidP="00E76D26">
      <w:pPr>
        <w:rPr>
          <w:sz w:val="18"/>
        </w:rPr>
      </w:pPr>
    </w:p>
    <w:p w14:paraId="3C222B0C" w14:textId="22C57B1C" w:rsidR="00DA331D" w:rsidRDefault="00DA331D" w:rsidP="00DA331D">
      <w:pPr>
        <w:spacing w:before="360"/>
        <w:rPr>
          <w:sz w:val="18"/>
        </w:rPr>
      </w:pPr>
    </w:p>
    <w:p w14:paraId="3ED2D204" w14:textId="6ED3C4B6" w:rsidR="00F67A86" w:rsidRDefault="00F67A86" w:rsidP="00DA331D">
      <w:pPr>
        <w:spacing w:before="360"/>
        <w:rPr>
          <w:sz w:val="18"/>
        </w:rPr>
      </w:pPr>
    </w:p>
    <w:p w14:paraId="71F1F6D2" w14:textId="00E3F6E4" w:rsidR="00F67A86" w:rsidRDefault="00F67A86" w:rsidP="00DA331D">
      <w:pPr>
        <w:spacing w:before="360"/>
        <w:rPr>
          <w:sz w:val="18"/>
        </w:rPr>
      </w:pPr>
    </w:p>
    <w:p w14:paraId="55957037" w14:textId="40DF8ACA" w:rsidR="00BB1006" w:rsidRDefault="00B14BA6" w:rsidP="00BB1006">
      <w:pPr>
        <w:spacing w:line="288" w:lineRule="auto"/>
        <w:ind w:left="851" w:hanging="851"/>
        <w:rPr>
          <w:rFonts w:ascii="Fira Sans SemiBold" w:eastAsia="Times New Roman" w:hAnsi="Fira Sans SemiBold" w:cs="Times New Roman"/>
          <w:b/>
          <w:bCs/>
          <w:noProof/>
          <w:sz w:val="18"/>
          <w:szCs w:val="18"/>
          <w:lang w:eastAsia="pl-PL"/>
        </w:rPr>
      </w:pPr>
      <w:r w:rsidRPr="00127824">
        <w:rPr>
          <w:noProof/>
          <w:lang w:eastAsia="pl-PL"/>
        </w:rPr>
        <w:lastRenderedPageBreak/>
        <mc:AlternateContent>
          <mc:Choice Requires="wps">
            <w:drawing>
              <wp:anchor distT="0" distB="0" distL="114300" distR="114300" simplePos="0" relativeHeight="251767808" behindDoc="0" locked="0" layoutInCell="1" allowOverlap="1" wp14:anchorId="42D33042" wp14:editId="745D4D77">
                <wp:simplePos x="0" y="0"/>
                <wp:positionH relativeFrom="page">
                  <wp:posOffset>5709600</wp:posOffset>
                </wp:positionH>
                <wp:positionV relativeFrom="paragraph">
                  <wp:posOffset>162500</wp:posOffset>
                </wp:positionV>
                <wp:extent cx="1785600" cy="1428750"/>
                <wp:effectExtent l="0" t="0" r="0" b="0"/>
                <wp:wrapNone/>
                <wp:docPr id="13" name="Pole tekstowe 13" descr="Od stycznia 2020 r. najbardziej rosną ceny budowy budynków"/>
                <wp:cNvGraphicFramePr/>
                <a:graphic xmlns:a="http://schemas.openxmlformats.org/drawingml/2006/main">
                  <a:graphicData uri="http://schemas.microsoft.com/office/word/2010/wordprocessingShape">
                    <wps:wsp>
                      <wps:cNvSpPr txBox="1"/>
                      <wps:spPr>
                        <a:xfrm>
                          <a:off x="0" y="0"/>
                          <a:ext cx="1785600" cy="1428750"/>
                        </a:xfrm>
                        <a:prstGeom prst="rect">
                          <a:avLst/>
                        </a:prstGeom>
                        <a:noFill/>
                        <a:ln w="6350">
                          <a:noFill/>
                        </a:ln>
                        <a:effectLst/>
                      </wps:spPr>
                      <wps:txbx>
                        <w:txbxContent>
                          <w:p w14:paraId="6B5E022F" w14:textId="77777777" w:rsidR="00BB1006" w:rsidRPr="00D616D2" w:rsidRDefault="00BB1006" w:rsidP="00BB1006">
                            <w:pPr>
                              <w:pStyle w:val="tekstzboku"/>
                              <w:rPr>
                                <w:bCs w:val="0"/>
                              </w:rPr>
                            </w:pPr>
                            <w:r w:rsidRPr="00361653">
                              <w:rPr>
                                <w:bCs w:val="0"/>
                              </w:rPr>
                              <w:t>Od stycznia 2020 r.</w:t>
                            </w:r>
                            <w:r>
                              <w:rPr>
                                <w:bCs w:val="0"/>
                              </w:rPr>
                              <w:t xml:space="preserve"> najbardziej rosną ceny budowy budynków </w:t>
                            </w:r>
                          </w:p>
                          <w:p w14:paraId="55FEE6E7" w14:textId="404327E3" w:rsidR="00BB1006" w:rsidRDefault="00BB1006" w:rsidP="00BB1006">
                            <w:pPr>
                              <w:pStyle w:val="tekstzboku"/>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3042" id="Pole tekstowe 13" o:spid="_x0000_s1030" type="#_x0000_t202" alt="Od stycznia 2020 r. najbardziej rosną ceny budowy budynków" style="position:absolute;left:0;text-align:left;margin-left:449.55pt;margin-top:12.8pt;width:140.6pt;height:112.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" filled="f" stroked="f" strokeweight=".5pt">
                <v:textbox>
                  <w:txbxContent>
                    <w:p w14:paraId="6B5E022F" w14:textId="77777777" w:rsidR="00BB1006" w:rsidRPr="00D616D2" w:rsidRDefault="00BB1006" w:rsidP="00BB1006">
                      <w:pPr>
                        <w:pStyle w:val="tekstzboku"/>
                        <w:rPr>
                          <w:bCs w:val="0"/>
                        </w:rPr>
                      </w:pPr>
                      <w:r w:rsidRPr="00361653">
                        <w:rPr>
                          <w:bCs w:val="0"/>
                        </w:rPr>
                        <w:t>Od stycznia 2020 r.</w:t>
                      </w:r>
                      <w:r>
                        <w:rPr>
                          <w:bCs w:val="0"/>
                        </w:rPr>
                        <w:t xml:space="preserve"> najbardziej rosną ceny budowy budynków </w:t>
                      </w:r>
                    </w:p>
                    <w:p w14:paraId="55FEE6E7" w14:textId="404327E3" w:rsidR="00BB1006" w:rsidRDefault="00BB1006" w:rsidP="00BB1006">
                      <w:pPr>
                        <w:pStyle w:val="tekstzboku"/>
                      </w:pPr>
                    </w:p>
                  </w:txbxContent>
                </v:textbox>
                <w10:wrap anchorx="page"/>
              </v:shape>
            </w:pict>
          </mc:Fallback>
        </mc:AlternateContent>
      </w:r>
      <w:r w:rsidR="00033429">
        <w:rPr>
          <w:noProof/>
          <w:lang w:eastAsia="pl-PL"/>
        </w:rPr>
        <w:drawing>
          <wp:anchor distT="0" distB="0" distL="114300" distR="114300" simplePos="0" relativeHeight="251780096" behindDoc="0" locked="0" layoutInCell="1" allowOverlap="1" wp14:anchorId="3CC01972" wp14:editId="0A28B537">
            <wp:simplePos x="0" y="0"/>
            <wp:positionH relativeFrom="column">
              <wp:posOffset>-354330</wp:posOffset>
            </wp:positionH>
            <wp:positionV relativeFrom="paragraph">
              <wp:posOffset>347345</wp:posOffset>
            </wp:positionV>
            <wp:extent cx="5445760" cy="5939155"/>
            <wp:effectExtent l="0" t="0" r="2540" b="4445"/>
            <wp:wrapSquare wrapText="bothSides"/>
            <wp:docPr id="1" name="Wykres 1" descr="Zmiany cen produkcji budowlano-montażowej według działów PKD w latach  2020-2022  w stosunku do grudnia 2019 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BB1006" w:rsidRPr="004510EC">
        <w:rPr>
          <w:rFonts w:ascii="Fira Sans SemiBold" w:eastAsia="Times New Roman" w:hAnsi="Fira Sans SemiBold" w:cs="Times New Roman"/>
          <w:b/>
          <w:bCs/>
          <w:noProof/>
          <w:sz w:val="18"/>
          <w:szCs w:val="18"/>
          <w:lang w:eastAsia="pl-PL"/>
        </w:rPr>
        <w:t>Wykres 3. Zmiany cen produkcji budowlano-montażowej według działów PKD w latach</w:t>
      </w:r>
      <w:r w:rsidR="00BB1006" w:rsidRPr="008D0278">
        <w:rPr>
          <w:rFonts w:eastAsia="Times New Roman" w:cs="Times New Roman"/>
          <w:b/>
          <w:bCs/>
          <w:noProof/>
          <w:sz w:val="18"/>
          <w:szCs w:val="18"/>
          <w:lang w:eastAsia="pl-PL"/>
        </w:rPr>
        <w:t xml:space="preserve"> </w:t>
      </w:r>
      <w:r w:rsidR="00A75F25" w:rsidRPr="008D0278">
        <w:rPr>
          <w:rFonts w:eastAsia="Times New Roman" w:cs="Times New Roman"/>
          <w:b/>
          <w:bCs/>
          <w:noProof/>
          <w:sz w:val="18"/>
          <w:szCs w:val="18"/>
          <w:lang w:eastAsia="pl-PL"/>
        </w:rPr>
        <w:t xml:space="preserve"> </w:t>
      </w:r>
      <w:r w:rsidR="00027A6B">
        <w:rPr>
          <w:rFonts w:eastAsia="Times New Roman" w:cs="Times New Roman"/>
          <w:b/>
          <w:bCs/>
          <w:noProof/>
          <w:sz w:val="18"/>
          <w:szCs w:val="18"/>
          <w:lang w:eastAsia="pl-PL"/>
        </w:rPr>
        <w:t xml:space="preserve"> </w:t>
      </w:r>
      <w:r w:rsidR="004510EC">
        <w:rPr>
          <w:rFonts w:eastAsia="Times New Roman" w:cs="Times New Roman"/>
          <w:b/>
          <w:bCs/>
          <w:noProof/>
          <w:sz w:val="18"/>
          <w:szCs w:val="18"/>
          <w:lang w:eastAsia="pl-PL"/>
        </w:rPr>
        <w:t xml:space="preserve"> </w:t>
      </w:r>
      <w:r w:rsidR="00027A6B">
        <w:rPr>
          <w:rFonts w:eastAsia="Times New Roman" w:cs="Times New Roman"/>
          <w:b/>
          <w:bCs/>
          <w:noProof/>
          <w:sz w:val="18"/>
          <w:szCs w:val="18"/>
          <w:lang w:eastAsia="pl-PL"/>
        </w:rPr>
        <w:t xml:space="preserve">        </w:t>
      </w:r>
      <w:r w:rsidR="00A75F25" w:rsidRPr="008D0278">
        <w:rPr>
          <w:rFonts w:eastAsia="Times New Roman" w:cs="Times New Roman"/>
          <w:b/>
          <w:bCs/>
          <w:noProof/>
          <w:sz w:val="18"/>
          <w:szCs w:val="18"/>
          <w:lang w:eastAsia="pl-PL"/>
        </w:rPr>
        <w:t xml:space="preserve"> </w:t>
      </w:r>
      <w:r w:rsidR="00BB1006" w:rsidRPr="004510EC">
        <w:rPr>
          <w:rFonts w:ascii="Fira Sans SemiBold" w:eastAsia="Times New Roman" w:hAnsi="Fira Sans SemiBold" w:cs="Times New Roman"/>
          <w:b/>
          <w:bCs/>
          <w:noProof/>
          <w:sz w:val="18"/>
          <w:szCs w:val="18"/>
          <w:lang w:eastAsia="pl-PL"/>
        </w:rPr>
        <w:t>2020-2022  w stosunku do grudnia 2019 r.</w:t>
      </w:r>
    </w:p>
    <w:p w14:paraId="614AD9AE" w14:textId="08065837" w:rsidR="00033429" w:rsidRDefault="00033429" w:rsidP="00BB1006">
      <w:pPr>
        <w:spacing w:line="288" w:lineRule="auto"/>
        <w:ind w:left="851" w:hanging="851"/>
        <w:rPr>
          <w:rFonts w:ascii="Fira Sans SemiBold" w:eastAsia="Times New Roman" w:hAnsi="Fira Sans SemiBold" w:cs="Times New Roman"/>
          <w:b/>
          <w:bCs/>
          <w:noProof/>
          <w:sz w:val="18"/>
          <w:szCs w:val="18"/>
          <w:lang w:eastAsia="pl-PL"/>
        </w:rPr>
      </w:pPr>
    </w:p>
    <w:p w14:paraId="37259BAD" w14:textId="77777777" w:rsidR="00033429" w:rsidRDefault="00033429" w:rsidP="00BB1006">
      <w:pPr>
        <w:spacing w:line="288" w:lineRule="auto"/>
        <w:ind w:left="851" w:hanging="851"/>
        <w:rPr>
          <w:rFonts w:ascii="Fira Sans SemiBold" w:eastAsia="Times New Roman" w:hAnsi="Fira Sans SemiBold" w:cs="Times New Roman"/>
          <w:b/>
          <w:bCs/>
          <w:noProof/>
          <w:sz w:val="18"/>
          <w:szCs w:val="18"/>
          <w:lang w:eastAsia="pl-PL"/>
        </w:rPr>
      </w:pPr>
    </w:p>
    <w:p w14:paraId="38D21251" w14:textId="77777777" w:rsidR="00033429" w:rsidRDefault="00033429" w:rsidP="00BB1006">
      <w:pPr>
        <w:spacing w:line="288" w:lineRule="auto"/>
        <w:ind w:left="851" w:hanging="851"/>
        <w:rPr>
          <w:rFonts w:ascii="Fira Sans SemiBold" w:eastAsia="Times New Roman" w:hAnsi="Fira Sans SemiBold" w:cs="Times New Roman"/>
          <w:b/>
          <w:bCs/>
          <w:noProof/>
          <w:sz w:val="18"/>
          <w:szCs w:val="18"/>
          <w:lang w:eastAsia="pl-PL"/>
        </w:rPr>
      </w:pPr>
    </w:p>
    <w:p w14:paraId="367394EF" w14:textId="77777777" w:rsidR="008633D6" w:rsidRDefault="008633D6" w:rsidP="00BB1006">
      <w:pPr>
        <w:spacing w:line="288" w:lineRule="auto"/>
        <w:ind w:left="851" w:hanging="851"/>
        <w:rPr>
          <w:rFonts w:ascii="Fira Sans SemiBold" w:eastAsia="Times New Roman" w:hAnsi="Fira Sans SemiBold" w:cs="Times New Roman"/>
          <w:b/>
          <w:bCs/>
          <w:noProof/>
          <w:sz w:val="18"/>
          <w:szCs w:val="18"/>
          <w:lang w:eastAsia="pl-PL"/>
        </w:rPr>
      </w:pPr>
    </w:p>
    <w:p w14:paraId="0F37680B" w14:textId="77777777" w:rsidR="008F7E65" w:rsidRDefault="008F7E65" w:rsidP="00BB1006">
      <w:pPr>
        <w:spacing w:line="288" w:lineRule="auto"/>
        <w:ind w:left="851" w:hanging="851"/>
        <w:rPr>
          <w:rFonts w:ascii="Fira Sans SemiBold" w:eastAsia="Times New Roman" w:hAnsi="Fira Sans SemiBold" w:cs="Times New Roman"/>
          <w:b/>
          <w:bCs/>
          <w:noProof/>
          <w:sz w:val="18"/>
          <w:szCs w:val="18"/>
          <w:lang w:eastAsia="pl-PL"/>
        </w:rPr>
      </w:pPr>
    </w:p>
    <w:p w14:paraId="66026AFF" w14:textId="51DE745D" w:rsidR="00BB1006" w:rsidRDefault="00BB1006" w:rsidP="00BB1006">
      <w:pPr>
        <w:rPr>
          <w:rFonts w:ascii="Calibri" w:hAnsi="Calibri"/>
          <w:sz w:val="22"/>
        </w:rPr>
      </w:pPr>
      <w:r w:rsidRPr="009929A9">
        <w:t>W przypadku cytowania danych Głównego Urzędu Statystycznego prosimy o zamieszczenie informacji: „Źródło danych GUS”, a w przypadku publikowania obliczeń dokonanych na danych opublikowanych przez GUS prosimy o zamieszczenie informacji: „Opracowanie własne na podstawie danych GUS”.</w:t>
      </w:r>
    </w:p>
    <w:p w14:paraId="1A267214" w14:textId="25E48EF0" w:rsidR="00BB1006" w:rsidRPr="00001C5B" w:rsidRDefault="00BB1006" w:rsidP="00DA331D">
      <w:pPr>
        <w:spacing w:before="360"/>
        <w:rPr>
          <w:sz w:val="18"/>
        </w:rPr>
        <w:sectPr w:rsidR="00BB1006" w:rsidRPr="00001C5B"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14:paraId="196D0BDA" w14:textId="77777777" w:rsidTr="00B84C43">
        <w:trPr>
          <w:trHeight w:val="1626"/>
        </w:trPr>
        <w:tc>
          <w:tcPr>
            <w:tcW w:w="4926" w:type="dxa"/>
          </w:tcPr>
          <w:p w14:paraId="05DA311F" w14:textId="77777777" w:rsidR="00DE2400" w:rsidRPr="004A1D19" w:rsidRDefault="00DE2400" w:rsidP="00DE2400">
            <w:pPr>
              <w:spacing w:before="0" w:after="0" w:line="276" w:lineRule="auto"/>
              <w:rPr>
                <w:rFonts w:cs="Arial"/>
                <w:sz w:val="20"/>
              </w:rPr>
            </w:pPr>
            <w:r w:rsidRPr="004A1D19">
              <w:rPr>
                <w:rFonts w:cs="Arial"/>
                <w:sz w:val="20"/>
              </w:rPr>
              <w:lastRenderedPageBreak/>
              <w:t>Opracowanie merytoryczne:</w:t>
            </w:r>
          </w:p>
          <w:p w14:paraId="1E9B29DC" w14:textId="0CCF6C86" w:rsidR="00DE2400" w:rsidRPr="008925F0" w:rsidRDefault="00DE2400" w:rsidP="00DE2400">
            <w:pPr>
              <w:spacing w:before="0" w:line="276" w:lineRule="auto"/>
              <w:rPr>
                <w:rFonts w:cs="Arial"/>
                <w:b/>
                <w:color w:val="000000" w:themeColor="text1"/>
                <w:sz w:val="20"/>
              </w:rPr>
            </w:pPr>
            <w:r w:rsidRPr="008925F0">
              <w:rPr>
                <w:rFonts w:cs="Arial"/>
                <w:b/>
                <w:color w:val="000000" w:themeColor="text1"/>
                <w:sz w:val="20"/>
              </w:rPr>
              <w:t xml:space="preserve">Departament </w:t>
            </w:r>
            <w:r w:rsidR="00E80DC3">
              <w:rPr>
                <w:rFonts w:cs="Arial"/>
                <w:b/>
                <w:color w:val="000000" w:themeColor="text1"/>
                <w:sz w:val="20"/>
              </w:rPr>
              <w:t>Handlu i Usług</w:t>
            </w:r>
          </w:p>
          <w:p w14:paraId="41A1AE38" w14:textId="76E58B8D" w:rsidR="00DE2400" w:rsidRPr="00DE2400" w:rsidRDefault="00DE2400" w:rsidP="00747B8C">
            <w:pPr>
              <w:spacing w:before="0" w:after="0" w:line="276" w:lineRule="auto"/>
              <w:rPr>
                <w:b/>
                <w:lang w:val="fi-FI"/>
              </w:rPr>
            </w:pPr>
            <w:r w:rsidRPr="00DE2400">
              <w:rPr>
                <w:b/>
                <w:lang w:val="fi-FI"/>
              </w:rPr>
              <w:t xml:space="preserve">Dyrektor </w:t>
            </w:r>
            <w:r w:rsidR="00E80DC3">
              <w:rPr>
                <w:rFonts w:cs="Arial"/>
                <w:b/>
                <w:color w:val="000000" w:themeColor="text1"/>
                <w:sz w:val="20"/>
                <w:szCs w:val="28"/>
              </w:rPr>
              <w:t>Ewa Adach-Stankiewicz</w:t>
            </w:r>
          </w:p>
          <w:p w14:paraId="5425F0B4" w14:textId="0A0B6AAF" w:rsidR="00DE2400" w:rsidRPr="00AB24E4" w:rsidRDefault="00DE2400" w:rsidP="00B1687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E80DC3">
              <w:rPr>
                <w:rFonts w:ascii="Fira Sans" w:hAnsi="Fira Sans" w:cs="Arial"/>
                <w:color w:val="000000" w:themeColor="text1"/>
                <w:sz w:val="20"/>
                <w:lang w:val="fi-FI"/>
              </w:rPr>
              <w:t>22</w:t>
            </w:r>
            <w:r w:rsidR="00E80DC3" w:rsidRPr="00AC6DB5">
              <w:rPr>
                <w:rFonts w:ascii="Fira Sans" w:hAnsi="Fira Sans" w:cs="Arial"/>
                <w:color w:val="000000" w:themeColor="text1"/>
                <w:sz w:val="20"/>
                <w:lang w:val="fi-FI"/>
              </w:rPr>
              <w:t> 608 3</w:t>
            </w:r>
            <w:r w:rsidR="00E80DC3">
              <w:rPr>
                <w:rFonts w:ascii="Fira Sans" w:hAnsi="Fira Sans" w:cs="Arial"/>
                <w:color w:val="000000" w:themeColor="text1"/>
                <w:sz w:val="20"/>
                <w:lang w:val="fi-FI"/>
              </w:rPr>
              <w:t>1 24</w:t>
            </w:r>
          </w:p>
        </w:tc>
        <w:tc>
          <w:tcPr>
            <w:tcW w:w="4927" w:type="dxa"/>
          </w:tcPr>
          <w:p w14:paraId="4E8FFA16" w14:textId="77777777" w:rsidR="00DE2400" w:rsidRPr="004A1D19" w:rsidRDefault="00DE2400" w:rsidP="00DE2400">
            <w:pPr>
              <w:spacing w:before="0" w:line="276" w:lineRule="auto"/>
              <w:rPr>
                <w:rFonts w:cs="Arial"/>
                <w:b/>
                <w:sz w:val="20"/>
              </w:rPr>
            </w:pPr>
            <w:r w:rsidRPr="004A1D19">
              <w:rPr>
                <w:rFonts w:cs="Arial"/>
                <w:sz w:val="20"/>
              </w:rPr>
              <w:t>Rozpowszechnianie:</w:t>
            </w:r>
            <w:r w:rsidRPr="004A1D19">
              <w:rPr>
                <w:rFonts w:cs="Arial"/>
                <w:sz w:val="20"/>
              </w:rPr>
              <w:br/>
            </w:r>
            <w:r w:rsidRPr="004A1D19">
              <w:rPr>
                <w:rFonts w:cs="Arial"/>
                <w:b/>
                <w:sz w:val="20"/>
              </w:rPr>
              <w:t>Rzecznik Prasowy Prezesa GUS</w:t>
            </w:r>
          </w:p>
          <w:p w14:paraId="047A0FE3" w14:textId="77777777" w:rsidR="00DE2400" w:rsidRPr="004A1D19" w:rsidRDefault="00DE2400" w:rsidP="00747B8C">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9C02E89" w14:textId="77777777" w:rsidR="00DE2400" w:rsidRPr="004A1D19" w:rsidRDefault="00DE2400" w:rsidP="00747B8C">
            <w:pPr>
              <w:pStyle w:val="Nagwek3"/>
              <w:spacing w:before="0" w:line="240" w:lineRule="auto"/>
              <w:outlineLvl w:val="2"/>
              <w:rPr>
                <w:rFonts w:ascii="Fira Sans" w:hAnsi="Fira Sans" w:cs="Arial"/>
                <w:color w:val="auto"/>
                <w:sz w:val="20"/>
                <w:lang w:val="fi-FI"/>
              </w:rPr>
            </w:pPr>
            <w:r w:rsidRPr="004A1D19">
              <w:rPr>
                <w:rFonts w:ascii="Fira Sans" w:hAnsi="Fira Sans" w:cs="Arial"/>
                <w:color w:val="auto"/>
                <w:sz w:val="20"/>
                <w:lang w:val="fi-FI"/>
              </w:rPr>
              <w:t>Tel: 695 255</w:t>
            </w:r>
            <w:r>
              <w:rPr>
                <w:rFonts w:ascii="Fira Sans" w:hAnsi="Fira Sans" w:cs="Arial"/>
                <w:color w:val="auto"/>
                <w:sz w:val="20"/>
                <w:lang w:val="fi-FI"/>
              </w:rPr>
              <w:t> </w:t>
            </w:r>
            <w:r w:rsidRPr="004A1D19">
              <w:rPr>
                <w:rFonts w:ascii="Fira Sans" w:hAnsi="Fira Sans" w:cs="Arial"/>
                <w:color w:val="auto"/>
                <w:sz w:val="20"/>
                <w:lang w:val="fi-FI"/>
              </w:rPr>
              <w:t>011</w:t>
            </w:r>
          </w:p>
          <w:p w14:paraId="3CC62B04" w14:textId="77777777" w:rsidR="00DE2400" w:rsidRDefault="00DE2400" w:rsidP="00747B8C">
            <w:pPr>
              <w:rPr>
                <w:sz w:val="18"/>
              </w:rPr>
            </w:pPr>
          </w:p>
        </w:tc>
      </w:tr>
      <w:tr w:rsidR="00DE2400" w14:paraId="28647E7C" w14:textId="77777777" w:rsidTr="00B84C43">
        <w:trPr>
          <w:trHeight w:val="418"/>
        </w:trPr>
        <w:tc>
          <w:tcPr>
            <w:tcW w:w="4926" w:type="dxa"/>
            <w:vMerge w:val="restart"/>
          </w:tcPr>
          <w:p w14:paraId="076C640B" w14:textId="77777777" w:rsidR="00DE2400" w:rsidRPr="00C91687" w:rsidRDefault="00DE2400" w:rsidP="00747B8C">
            <w:pPr>
              <w:rPr>
                <w:b/>
                <w:sz w:val="20"/>
              </w:rPr>
            </w:pPr>
            <w:r w:rsidRPr="00C91687">
              <w:rPr>
                <w:b/>
                <w:sz w:val="20"/>
              </w:rPr>
              <w:t xml:space="preserve">Wydział Współpracy z Mediami </w:t>
            </w:r>
          </w:p>
          <w:p w14:paraId="6446B629" w14:textId="575B0CB9" w:rsidR="00DE2400" w:rsidRPr="00C91687" w:rsidRDefault="00DE2400" w:rsidP="00747B8C">
            <w:pPr>
              <w:rPr>
                <w:sz w:val="20"/>
              </w:rPr>
            </w:pPr>
            <w:r w:rsidRPr="00674DE5">
              <w:rPr>
                <w:sz w:val="20"/>
              </w:rPr>
              <w:t>T</w:t>
            </w:r>
            <w:r>
              <w:rPr>
                <w:sz w:val="20"/>
              </w:rPr>
              <w:t>el</w:t>
            </w:r>
            <w:r w:rsidRPr="00674DE5">
              <w:rPr>
                <w:sz w:val="20"/>
              </w:rPr>
              <w:t xml:space="preserve">: </w:t>
            </w:r>
            <w:r>
              <w:rPr>
                <w:sz w:val="20"/>
              </w:rPr>
              <w:t>22 608 3</w:t>
            </w:r>
            <w:r w:rsidR="00E95036">
              <w:rPr>
                <w:sz w:val="20"/>
              </w:rPr>
              <w:t>8 04</w:t>
            </w:r>
            <w:r w:rsidRPr="00C91687">
              <w:rPr>
                <w:sz w:val="20"/>
              </w:rPr>
              <w:t xml:space="preserve"> </w:t>
            </w:r>
          </w:p>
          <w:p w14:paraId="07C73DA1" w14:textId="77777777" w:rsidR="00DE2400" w:rsidRPr="00F05FC7" w:rsidRDefault="00DE2400" w:rsidP="00747B8C">
            <w:pPr>
              <w:rPr>
                <w:sz w:val="18"/>
                <w:lang w:val="en-US"/>
              </w:rPr>
            </w:pPr>
            <w:r w:rsidRPr="00A82D31">
              <w:rPr>
                <w:b/>
                <w:sz w:val="20"/>
                <w:lang w:val="en-GB"/>
              </w:rPr>
              <w:t>e-mail:</w:t>
            </w:r>
            <w:r w:rsidRPr="00A82D31">
              <w:rPr>
                <w:sz w:val="20"/>
                <w:lang w:val="en-GB"/>
              </w:rPr>
              <w:t xml:space="preserve"> </w:t>
            </w:r>
            <w:hyperlink r:id="rId17"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01941133" w14:textId="77777777" w:rsidR="00DE2400" w:rsidRDefault="00DE2400" w:rsidP="00747B8C">
            <w:pPr>
              <w:ind w:firstLine="680"/>
              <w:rPr>
                <w:sz w:val="18"/>
              </w:rPr>
            </w:pPr>
            <w:r>
              <w:rPr>
                <w:noProof/>
                <w:sz w:val="20"/>
                <w:lang w:eastAsia="pl-PL"/>
              </w:rPr>
              <w:drawing>
                <wp:anchor distT="0" distB="0" distL="114300" distR="114300" simplePos="0" relativeHeight="251744256" behindDoc="0" locked="0" layoutInCell="1" allowOverlap="1" wp14:anchorId="5018E5AE" wp14:editId="704A9D15">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www.stat.gov.pl</w:t>
            </w:r>
            <w:r>
              <w:rPr>
                <w:sz w:val="18"/>
              </w:rPr>
              <w:t xml:space="preserve">      </w:t>
            </w:r>
          </w:p>
        </w:tc>
      </w:tr>
      <w:tr w:rsidR="00DE2400" w14:paraId="36A99721" w14:textId="77777777" w:rsidTr="00B84C43">
        <w:trPr>
          <w:trHeight w:val="418"/>
        </w:trPr>
        <w:tc>
          <w:tcPr>
            <w:tcW w:w="4926" w:type="dxa"/>
            <w:vMerge/>
          </w:tcPr>
          <w:p w14:paraId="3255344A" w14:textId="77777777" w:rsidR="00DE2400" w:rsidRPr="00C91687" w:rsidRDefault="00DE2400" w:rsidP="00747B8C">
            <w:pPr>
              <w:rPr>
                <w:b/>
                <w:sz w:val="20"/>
              </w:rPr>
            </w:pPr>
          </w:p>
        </w:tc>
        <w:tc>
          <w:tcPr>
            <w:tcW w:w="4927" w:type="dxa"/>
            <w:vAlign w:val="center"/>
          </w:tcPr>
          <w:p w14:paraId="09C3C6AD" w14:textId="1B4377EF" w:rsidR="00DE2400" w:rsidRDefault="00531873" w:rsidP="00747B8C">
            <w:pPr>
              <w:ind w:firstLine="680"/>
              <w:rPr>
                <w:sz w:val="18"/>
              </w:rPr>
            </w:pPr>
            <w:r>
              <w:rPr>
                <w:noProof/>
                <w:sz w:val="20"/>
                <w:lang w:eastAsia="pl-PL"/>
              </w:rPr>
              <w:drawing>
                <wp:anchor distT="0" distB="0" distL="114300" distR="114300" simplePos="0" relativeHeight="251745280" behindDoc="0" locked="0" layoutInCell="1" allowOverlap="1" wp14:anchorId="601D1D76" wp14:editId="1078FD4F">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E2400" w:rsidRPr="003D5F42">
              <w:rPr>
                <w:sz w:val="20"/>
              </w:rPr>
              <w:t>@GUS_STAT</w:t>
            </w:r>
            <w:r w:rsidR="00DE2400">
              <w:rPr>
                <w:noProof/>
                <w:sz w:val="20"/>
                <w:lang w:eastAsia="pl-PL"/>
              </w:rPr>
              <w:t xml:space="preserve"> </w:t>
            </w:r>
          </w:p>
        </w:tc>
      </w:tr>
      <w:tr w:rsidR="00DE2400" w14:paraId="549C3B1C" w14:textId="77777777" w:rsidTr="00B84C43">
        <w:trPr>
          <w:trHeight w:val="476"/>
        </w:trPr>
        <w:tc>
          <w:tcPr>
            <w:tcW w:w="4926" w:type="dxa"/>
            <w:vMerge/>
          </w:tcPr>
          <w:p w14:paraId="231798A1" w14:textId="77777777" w:rsidR="00DE2400" w:rsidRPr="00C91687" w:rsidRDefault="00DE2400" w:rsidP="00747B8C">
            <w:pPr>
              <w:rPr>
                <w:b/>
                <w:sz w:val="20"/>
              </w:rPr>
            </w:pPr>
          </w:p>
        </w:tc>
        <w:tc>
          <w:tcPr>
            <w:tcW w:w="4927" w:type="dxa"/>
          </w:tcPr>
          <w:p w14:paraId="5B472D28" w14:textId="4EA23A0C" w:rsidR="00DE2400" w:rsidRDefault="00531873" w:rsidP="00747B8C">
            <w:pPr>
              <w:ind w:firstLine="680"/>
              <w:rPr>
                <w:sz w:val="18"/>
              </w:rPr>
            </w:pPr>
            <w:r>
              <w:rPr>
                <w:noProof/>
                <w:sz w:val="20"/>
                <w:lang w:eastAsia="pl-PL"/>
              </w:rPr>
              <w:drawing>
                <wp:anchor distT="0" distB="0" distL="114300" distR="114300" simplePos="0" relativeHeight="251746304" behindDoc="0" locked="0" layoutInCell="1" allowOverlap="1" wp14:anchorId="171E4E22" wp14:editId="200AFBD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DE2400" w:rsidRPr="003D5F42">
              <w:rPr>
                <w:sz w:val="20"/>
              </w:rPr>
              <w:t>@GlownyUrzadStatystyczny</w:t>
            </w:r>
            <w:r w:rsidR="00DE2400">
              <w:rPr>
                <w:noProof/>
                <w:sz w:val="20"/>
                <w:lang w:eastAsia="pl-PL"/>
              </w:rPr>
              <w:t xml:space="preserve"> </w:t>
            </w:r>
          </w:p>
        </w:tc>
      </w:tr>
      <w:tr w:rsidR="00531873" w14:paraId="4884FF26" w14:textId="77777777" w:rsidTr="00B84C43">
        <w:trPr>
          <w:trHeight w:val="426"/>
        </w:trPr>
        <w:tc>
          <w:tcPr>
            <w:tcW w:w="4926" w:type="dxa"/>
          </w:tcPr>
          <w:p w14:paraId="282131AD" w14:textId="77777777" w:rsidR="00531873" w:rsidRPr="00C91687" w:rsidRDefault="00531873" w:rsidP="00531873">
            <w:pPr>
              <w:rPr>
                <w:b/>
                <w:sz w:val="20"/>
              </w:rPr>
            </w:pPr>
          </w:p>
        </w:tc>
        <w:tc>
          <w:tcPr>
            <w:tcW w:w="4927" w:type="dxa"/>
          </w:tcPr>
          <w:p w14:paraId="1C7B7D5C" w14:textId="5165892B" w:rsidR="00531873" w:rsidRDefault="00531873" w:rsidP="00531873">
            <w:pPr>
              <w:ind w:firstLine="680"/>
              <w:rPr>
                <w:noProof/>
                <w:sz w:val="20"/>
                <w:lang w:eastAsia="pl-PL"/>
              </w:rPr>
            </w:pPr>
            <w:r>
              <w:rPr>
                <w:noProof/>
                <w:sz w:val="20"/>
                <w:lang w:eastAsia="pl-PL"/>
              </w:rPr>
              <w:drawing>
                <wp:anchor distT="0" distB="0" distL="114300" distR="114300" simplePos="0" relativeHeight="251753472" behindDoc="0" locked="0" layoutInCell="1" allowOverlap="1" wp14:anchorId="0C16ECD2" wp14:editId="5495C907">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531873" w14:paraId="2C7A5D68" w14:textId="77777777" w:rsidTr="00B84C43">
        <w:trPr>
          <w:trHeight w:val="504"/>
        </w:trPr>
        <w:tc>
          <w:tcPr>
            <w:tcW w:w="4926" w:type="dxa"/>
          </w:tcPr>
          <w:p w14:paraId="627AA41B" w14:textId="77777777" w:rsidR="00531873" w:rsidRPr="00C91687" w:rsidRDefault="00531873" w:rsidP="00531873">
            <w:pPr>
              <w:rPr>
                <w:b/>
                <w:sz w:val="20"/>
              </w:rPr>
            </w:pPr>
          </w:p>
        </w:tc>
        <w:tc>
          <w:tcPr>
            <w:tcW w:w="4927" w:type="dxa"/>
          </w:tcPr>
          <w:p w14:paraId="15F67F32" w14:textId="6D0277E9" w:rsidR="00531873" w:rsidRDefault="00531873" w:rsidP="00531873">
            <w:pPr>
              <w:ind w:firstLine="680"/>
              <w:rPr>
                <w:noProof/>
                <w:sz w:val="20"/>
                <w:lang w:eastAsia="pl-PL"/>
              </w:rPr>
            </w:pPr>
            <w:r>
              <w:rPr>
                <w:noProof/>
                <w:sz w:val="20"/>
                <w:lang w:eastAsia="pl-PL"/>
              </w:rPr>
              <w:drawing>
                <wp:anchor distT="0" distB="0" distL="114300" distR="114300" simplePos="0" relativeHeight="251755520" behindDoc="0" locked="0" layoutInCell="1" allowOverlap="1" wp14:anchorId="0FC606A4" wp14:editId="448A684C">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531873" w14:paraId="373CEFAE" w14:textId="77777777" w:rsidTr="00B84C43">
        <w:trPr>
          <w:trHeight w:val="1546"/>
        </w:trPr>
        <w:tc>
          <w:tcPr>
            <w:tcW w:w="4926" w:type="dxa"/>
          </w:tcPr>
          <w:p w14:paraId="7F9FD058" w14:textId="77777777" w:rsidR="00531873" w:rsidRPr="00C91687" w:rsidRDefault="00531873" w:rsidP="00531873">
            <w:pPr>
              <w:rPr>
                <w:b/>
                <w:sz w:val="20"/>
              </w:rPr>
            </w:pPr>
          </w:p>
        </w:tc>
        <w:tc>
          <w:tcPr>
            <w:tcW w:w="4927" w:type="dxa"/>
          </w:tcPr>
          <w:p w14:paraId="3108BCBA" w14:textId="01C12363" w:rsidR="00531873" w:rsidRDefault="00531873" w:rsidP="00531873">
            <w:pPr>
              <w:ind w:firstLine="680"/>
              <w:rPr>
                <w:noProof/>
                <w:sz w:val="20"/>
                <w:lang w:eastAsia="pl-PL"/>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anchorId="033A47C4" wp14:editId="5DFF71A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31873" w14:paraId="385E56CC" w14:textId="77777777" w:rsidTr="00B84C43">
        <w:trPr>
          <w:trHeight w:val="4114"/>
        </w:trPr>
        <w:tc>
          <w:tcPr>
            <w:tcW w:w="9853" w:type="dxa"/>
            <w:gridSpan w:val="2"/>
            <w:shd w:val="clear" w:color="auto" w:fill="D9D9D9" w:themeFill="background1" w:themeFillShade="D9"/>
          </w:tcPr>
          <w:p w14:paraId="08948A60" w14:textId="77777777" w:rsidR="00531873" w:rsidRPr="00876479" w:rsidRDefault="00531873" w:rsidP="00531873">
            <w:pPr>
              <w:shd w:val="clear" w:color="auto" w:fill="D9D9D9" w:themeFill="background1" w:themeFillShade="D9"/>
              <w:rPr>
                <w:b/>
              </w:rPr>
            </w:pPr>
            <w:r w:rsidRPr="00210B1C">
              <w:rPr>
                <w:b/>
              </w:rPr>
              <w:t>Powiązane opracowania</w:t>
            </w:r>
          </w:p>
          <w:p w14:paraId="569D115A" w14:textId="73A9F23E" w:rsidR="009B2AEA" w:rsidRPr="003E71A2" w:rsidRDefault="003E71A2" w:rsidP="009B2AEA">
            <w:pPr>
              <w:jc w:val="both"/>
              <w:rPr>
                <w:rStyle w:val="Hipercze"/>
                <w:rFonts w:cstheme="minorBidi"/>
                <w:sz w:val="18"/>
                <w:szCs w:val="18"/>
              </w:rPr>
            </w:pPr>
            <w:r>
              <w:rPr>
                <w:sz w:val="18"/>
                <w:szCs w:val="18"/>
              </w:rPr>
              <w:fldChar w:fldCharType="begin"/>
            </w:r>
            <w:r w:rsidR="00E85E41">
              <w:rPr>
                <w:sz w:val="18"/>
                <w:szCs w:val="18"/>
              </w:rPr>
              <w:instrText>HYPERLINK "https://stat.gov.pl/obszary-tematyczne/inne-opracowania/informacje-o-sytuacji-spoleczno-gospodarczej/biuletyn-statystyczny-nr-12022,4,122.html" \o "wskazniki cen produkcji budowlano-montażowej"</w:instrText>
            </w:r>
            <w:r>
              <w:rPr>
                <w:sz w:val="18"/>
                <w:szCs w:val="18"/>
              </w:rPr>
              <w:fldChar w:fldCharType="separate"/>
            </w:r>
            <w:r w:rsidR="009B2AEA" w:rsidRPr="004C7819">
              <w:rPr>
                <w:rStyle w:val="Hipercze"/>
                <w:rFonts w:cstheme="minorBidi"/>
                <w:sz w:val="18"/>
                <w:szCs w:val="18"/>
              </w:rPr>
              <w:t>Biuletyn Statystyczny</w:t>
            </w:r>
            <w:r w:rsidR="009B2AEA" w:rsidRPr="003E71A2">
              <w:rPr>
                <w:rStyle w:val="Hipercze"/>
                <w:rFonts w:cstheme="minorBidi"/>
                <w:sz w:val="18"/>
                <w:szCs w:val="18"/>
              </w:rPr>
              <w:t xml:space="preserve">   </w:t>
            </w:r>
          </w:p>
          <w:p w14:paraId="53AB3E5A" w14:textId="200AC6DB" w:rsidR="009B2AEA" w:rsidRPr="003E71A2" w:rsidRDefault="003E71A2" w:rsidP="009B2AEA">
            <w:pPr>
              <w:jc w:val="both"/>
              <w:rPr>
                <w:rStyle w:val="Hipercze"/>
                <w:rFonts w:cstheme="minorBidi"/>
                <w:sz w:val="18"/>
                <w:szCs w:val="18"/>
              </w:rPr>
            </w:pPr>
            <w:r>
              <w:rPr>
                <w:sz w:val="18"/>
                <w:szCs w:val="18"/>
              </w:rPr>
              <w:fldChar w:fldCharType="end"/>
            </w:r>
            <w:r>
              <w:rPr>
                <w:sz w:val="18"/>
                <w:szCs w:val="18"/>
              </w:rPr>
              <w:fldChar w:fldCharType="begin"/>
            </w:r>
            <w:r w:rsidR="00A307A2">
              <w:rPr>
                <w:sz w:val="18"/>
                <w:szCs w:val="18"/>
              </w:rPr>
              <w:instrText>HYPERLINK "http://stat.gov.pl/sygnalne/informacje-sygnalne/" \o "Wskażniki cen produkcji budowlano-montażowej w lutym 2022 r."</w:instrText>
            </w:r>
            <w:r>
              <w:rPr>
                <w:sz w:val="18"/>
                <w:szCs w:val="18"/>
              </w:rPr>
              <w:fldChar w:fldCharType="separate"/>
            </w:r>
            <w:r w:rsidR="009B2AEA" w:rsidRPr="003E71A2">
              <w:rPr>
                <w:rStyle w:val="Hipercze"/>
                <w:rFonts w:cstheme="minorBidi"/>
                <w:sz w:val="18"/>
                <w:szCs w:val="18"/>
              </w:rPr>
              <w:t>Informacje sygnalne</w:t>
            </w:r>
          </w:p>
          <w:p w14:paraId="55DA24D0" w14:textId="6D34B5A0" w:rsidR="00531873" w:rsidRPr="00694D63" w:rsidRDefault="003E71A2" w:rsidP="006C58C2">
            <w:pPr>
              <w:jc w:val="both"/>
              <w:rPr>
                <w:b/>
                <w:color w:val="000000" w:themeColor="text1"/>
                <w:szCs w:val="24"/>
              </w:rPr>
            </w:pPr>
            <w:r>
              <w:rPr>
                <w:sz w:val="18"/>
                <w:szCs w:val="18"/>
              </w:rPr>
              <w:fldChar w:fldCharType="end"/>
            </w:r>
            <w:r w:rsidR="00531873">
              <w:rPr>
                <w:b/>
                <w:color w:val="000000" w:themeColor="text1"/>
                <w:szCs w:val="24"/>
              </w:rPr>
              <w:t>Temat dostępny w bazach danych</w:t>
            </w:r>
          </w:p>
          <w:p w14:paraId="58E26264" w14:textId="15EBCBBA" w:rsidR="00E767DC" w:rsidRPr="00646B5E" w:rsidRDefault="00536683" w:rsidP="00E767DC">
            <w:pPr>
              <w:jc w:val="both"/>
              <w:rPr>
                <w:rStyle w:val="Hipercze"/>
                <w:rFonts w:cstheme="minorBidi"/>
                <w:sz w:val="18"/>
                <w:szCs w:val="18"/>
              </w:rPr>
            </w:pPr>
            <w:hyperlink r:id="rId24" w:history="1">
              <w:r w:rsidR="00E767DC" w:rsidRPr="00646B5E">
                <w:rPr>
                  <w:rStyle w:val="Hipercze"/>
                  <w:rFonts w:cstheme="minorBidi"/>
                  <w:sz w:val="18"/>
                  <w:szCs w:val="18"/>
                </w:rPr>
                <w:t>Dziedzinowa Baza Wiedzy Ceny</w:t>
              </w:r>
            </w:hyperlink>
          </w:p>
          <w:p w14:paraId="5EE252E2" w14:textId="160B069D" w:rsidR="00E767DC" w:rsidRPr="00646B5E" w:rsidRDefault="00531873" w:rsidP="00E767DC">
            <w:pPr>
              <w:jc w:val="both"/>
              <w:rPr>
                <w:rStyle w:val="Hipercze"/>
                <w:rFonts w:cstheme="minorBidi"/>
                <w:sz w:val="18"/>
                <w:szCs w:val="18"/>
              </w:rPr>
            </w:pPr>
            <w:r w:rsidRPr="00646B5E">
              <w:rPr>
                <w:rStyle w:val="Hipercze"/>
                <w:rFonts w:cstheme="minorBidi"/>
                <w:color w:val="001D77"/>
                <w:sz w:val="18"/>
                <w:szCs w:val="18"/>
              </w:rPr>
              <w:t xml:space="preserve"> </w:t>
            </w:r>
            <w:hyperlink r:id="rId25" w:history="1">
              <w:r w:rsidR="00E767DC" w:rsidRPr="00646B5E">
                <w:rPr>
                  <w:rStyle w:val="Hipercze"/>
                  <w:rFonts w:cstheme="minorBidi"/>
                  <w:sz w:val="18"/>
                  <w:szCs w:val="18"/>
                </w:rPr>
                <w:t>Bank Danych Makroekonomicznych</w:t>
              </w:r>
            </w:hyperlink>
          </w:p>
          <w:p w14:paraId="57B767CA" w14:textId="4343AB2F" w:rsidR="00531873" w:rsidRPr="00646B5E" w:rsidRDefault="00531873" w:rsidP="00E767DC">
            <w:pPr>
              <w:jc w:val="both"/>
              <w:rPr>
                <w:rStyle w:val="Hipercze"/>
                <w:rFonts w:cstheme="minorBidi"/>
                <w:sz w:val="18"/>
                <w:szCs w:val="18"/>
              </w:rPr>
            </w:pPr>
            <w:r w:rsidRPr="00646B5E">
              <w:rPr>
                <w:rStyle w:val="Hipercze"/>
                <w:rFonts w:cstheme="minorBidi"/>
                <w:color w:val="001D77"/>
                <w:sz w:val="18"/>
                <w:szCs w:val="18"/>
              </w:rPr>
              <w:t xml:space="preserve"> </w:t>
            </w:r>
            <w:hyperlink r:id="rId26" w:history="1">
              <w:r w:rsidR="00E767DC" w:rsidRPr="00646B5E">
                <w:rPr>
                  <w:rStyle w:val="Hipercze"/>
                  <w:rFonts w:cstheme="minorBidi"/>
                  <w:sz w:val="18"/>
                  <w:szCs w:val="18"/>
                </w:rPr>
                <w:t>Wskaźniki cen (Obszary tematyczne: Ceny, Handel)</w:t>
              </w:r>
            </w:hyperlink>
          </w:p>
          <w:p w14:paraId="326D6B5C" w14:textId="6C2BF0B5" w:rsidR="00531873" w:rsidRPr="00CF18EE" w:rsidRDefault="00531873" w:rsidP="00531873">
            <w:pPr>
              <w:rPr>
                <w:rStyle w:val="Hipercze"/>
                <w:rFonts w:cstheme="minorBidi"/>
              </w:rPr>
            </w:pPr>
            <w:r>
              <w:rPr>
                <w:rFonts w:cs="Times New Roman"/>
              </w:rPr>
              <w:fldChar w:fldCharType="begin"/>
            </w:r>
            <w:r>
              <w:rPr>
                <w:rFonts w:cs="Times New Roman"/>
              </w:rPr>
              <w:instrText xml:space="preserve"> HYPERLINK "https://stat.gov.pl/" \o "Link do danych w bazie..." </w:instrText>
            </w:r>
            <w:r>
              <w:rPr>
                <w:rFonts w:cs="Times New Roman"/>
              </w:rPr>
              <w:fldChar w:fldCharType="separate"/>
            </w:r>
          </w:p>
          <w:p w14:paraId="6EC7A51E" w14:textId="62BF9C16" w:rsidR="00531873" w:rsidRPr="00694D63" w:rsidRDefault="00531873" w:rsidP="00531873">
            <w:pPr>
              <w:shd w:val="clear" w:color="auto" w:fill="D9D9D9" w:themeFill="background1" w:themeFillShade="D9"/>
              <w:spacing w:before="360"/>
              <w:rPr>
                <w:b/>
                <w:color w:val="000000" w:themeColor="text1"/>
                <w:szCs w:val="24"/>
              </w:rPr>
            </w:pPr>
            <w:r>
              <w:rPr>
                <w:rFonts w:cs="Times New Roman"/>
              </w:rPr>
              <w:fldChar w:fldCharType="end"/>
            </w:r>
            <w:r w:rsidRPr="00694D63">
              <w:rPr>
                <w:b/>
                <w:color w:val="000000" w:themeColor="text1"/>
                <w:szCs w:val="24"/>
              </w:rPr>
              <w:t>Ważniejsze pojęcia dostępne w słowniku</w:t>
            </w:r>
          </w:p>
          <w:p w14:paraId="61F5D497" w14:textId="77777777" w:rsidR="006C58C2" w:rsidRPr="00646B5E" w:rsidRDefault="008670A0" w:rsidP="006C58C2">
            <w:pPr>
              <w:jc w:val="both"/>
              <w:rPr>
                <w:rStyle w:val="Hipercze"/>
                <w:rFonts w:cstheme="minorBidi"/>
                <w:sz w:val="18"/>
                <w:szCs w:val="18"/>
              </w:rPr>
            </w:pPr>
            <w:r>
              <w:rPr>
                <w:rStyle w:val="Hipercze"/>
              </w:rPr>
              <w:fldChar w:fldCharType="begin"/>
            </w:r>
            <w:r>
              <w:rPr>
                <w:rStyle w:val="Hipercze"/>
              </w:rPr>
              <w:instrText xml:space="preserve"> HYPERLINK "https://stat.gov.pl/" \o "Link do słownika pojęć" </w:instrText>
            </w:r>
            <w:r>
              <w:rPr>
                <w:rStyle w:val="Hipercze"/>
              </w:rPr>
              <w:fldChar w:fldCharType="separate"/>
            </w:r>
            <w:hyperlink r:id="rId27" w:history="1">
              <w:r w:rsidR="006C58C2" w:rsidRPr="00646B5E">
                <w:rPr>
                  <w:rStyle w:val="Hipercze"/>
                  <w:rFonts w:cstheme="minorBidi"/>
                  <w:sz w:val="18"/>
                  <w:szCs w:val="18"/>
                </w:rPr>
                <w:t>Wskaźnik cen produkcji budowlano-montażowej</w:t>
              </w:r>
            </w:hyperlink>
          </w:p>
          <w:p w14:paraId="7C166DC6" w14:textId="02145B0E" w:rsidR="00531873" w:rsidRPr="00B16871" w:rsidRDefault="00531873" w:rsidP="00531873">
            <w:pPr>
              <w:rPr>
                <w:rStyle w:val="Hipercze"/>
                <w:rFonts w:cstheme="minorBidi"/>
                <w:color w:val="auto"/>
                <w:u w:val="none"/>
              </w:rPr>
            </w:pPr>
            <w:r w:rsidRPr="00646B5E">
              <w:rPr>
                <w:rStyle w:val="Hipercze"/>
                <w:sz w:val="18"/>
                <w:szCs w:val="18"/>
              </w:rPr>
              <w:t xml:space="preserve">  </w:t>
            </w:r>
            <w:r w:rsidR="008670A0">
              <w:rPr>
                <w:rStyle w:val="Hipercze"/>
              </w:rPr>
              <w:fldChar w:fldCharType="end"/>
            </w:r>
          </w:p>
          <w:p w14:paraId="32159E9A" w14:textId="65CB3DAA" w:rsidR="00531873" w:rsidRPr="00417835" w:rsidRDefault="00531873" w:rsidP="00531873">
            <w:pPr>
              <w:rPr>
                <w:rStyle w:val="Hipercze"/>
              </w:rPr>
            </w:pPr>
          </w:p>
          <w:p w14:paraId="74120B68" w14:textId="77777777" w:rsidR="00531873" w:rsidRDefault="00531873" w:rsidP="00531873">
            <w:pPr>
              <w:rPr>
                <w:b/>
                <w:color w:val="000000" w:themeColor="text1"/>
                <w:szCs w:val="24"/>
                <w:lang w:val="en-GB"/>
              </w:rPr>
            </w:pPr>
          </w:p>
          <w:p w14:paraId="734C8732" w14:textId="77777777" w:rsidR="00531873" w:rsidRDefault="00531873" w:rsidP="00531873">
            <w:pPr>
              <w:rPr>
                <w:b/>
                <w:color w:val="000000" w:themeColor="text1"/>
                <w:szCs w:val="24"/>
                <w:lang w:val="en-GB"/>
              </w:rPr>
            </w:pPr>
          </w:p>
          <w:p w14:paraId="59EB7117" w14:textId="77777777" w:rsidR="00531873" w:rsidRPr="00876479" w:rsidRDefault="00531873" w:rsidP="00531873">
            <w:pPr>
              <w:rPr>
                <w:b/>
                <w:color w:val="000000" w:themeColor="text1"/>
                <w:szCs w:val="24"/>
                <w:lang w:val="en-GB"/>
              </w:rPr>
            </w:pPr>
          </w:p>
        </w:tc>
      </w:tr>
    </w:tbl>
    <w:p w14:paraId="1634A8FA" w14:textId="77777777" w:rsidR="000470AA" w:rsidRDefault="000470AA" w:rsidP="000470AA">
      <w:pPr>
        <w:rPr>
          <w:sz w:val="18"/>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0470AA" w:rsidRPr="008F3638" w14:paraId="366352B6" w14:textId="77777777" w:rsidTr="00E23337">
        <w:trPr>
          <w:trHeight w:val="1912"/>
        </w:trPr>
        <w:tc>
          <w:tcPr>
            <w:tcW w:w="4379" w:type="dxa"/>
          </w:tcPr>
          <w:p w14:paraId="7D4342A1" w14:textId="77777777" w:rsidR="000470AA" w:rsidRPr="004A1D19" w:rsidRDefault="000470AA" w:rsidP="00D00796">
            <w:pPr>
              <w:pStyle w:val="Nagwek3"/>
              <w:spacing w:before="0" w:line="240" w:lineRule="auto"/>
              <w:rPr>
                <w:rFonts w:ascii="Fira Sans" w:hAnsi="Fira Sans"/>
                <w:color w:val="auto"/>
                <w:lang w:val="fi-FI"/>
              </w:rPr>
            </w:pPr>
          </w:p>
        </w:tc>
        <w:tc>
          <w:tcPr>
            <w:tcW w:w="3942" w:type="dxa"/>
          </w:tcPr>
          <w:p w14:paraId="18600317" w14:textId="77777777" w:rsidR="000470AA" w:rsidRPr="004A1D19" w:rsidRDefault="000470AA" w:rsidP="00D00796">
            <w:pPr>
              <w:pStyle w:val="Nagwek3"/>
              <w:spacing w:before="0" w:line="240" w:lineRule="auto"/>
              <w:rPr>
                <w:rFonts w:ascii="Fira Sans" w:hAnsi="Fira Sans" w:cs="Arial"/>
                <w:color w:val="auto"/>
                <w:sz w:val="20"/>
                <w:szCs w:val="20"/>
                <w:lang w:val="en-US"/>
              </w:rPr>
            </w:pPr>
          </w:p>
        </w:tc>
      </w:tr>
    </w:tbl>
    <w:p w14:paraId="1B68E34A" w14:textId="77777777" w:rsidR="000470AA" w:rsidRDefault="000470AA" w:rsidP="000470AA">
      <w:pPr>
        <w:rPr>
          <w:sz w:val="20"/>
        </w:rPr>
      </w:pPr>
    </w:p>
    <w:p w14:paraId="21E45930" w14:textId="77777777" w:rsidR="000470AA" w:rsidRDefault="000470AA" w:rsidP="000470AA">
      <w:pPr>
        <w:rPr>
          <w:sz w:val="18"/>
        </w:rPr>
      </w:pPr>
    </w:p>
    <w:p w14:paraId="7C19EFAE" w14:textId="5AAD912C" w:rsidR="00D261A2" w:rsidRPr="00001C5B" w:rsidRDefault="00D261A2" w:rsidP="00AD0E56">
      <w:pPr>
        <w:rPr>
          <w:sz w:val="18"/>
        </w:rPr>
      </w:pPr>
    </w:p>
    <w:sectPr w:rsidR="00D261A2" w:rsidRPr="00001C5B"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80DC" w14:textId="77777777" w:rsidR="00536683" w:rsidRDefault="00536683" w:rsidP="000662E2">
      <w:pPr>
        <w:spacing w:after="0" w:line="240" w:lineRule="auto"/>
      </w:pPr>
      <w:r>
        <w:separator/>
      </w:r>
    </w:p>
  </w:endnote>
  <w:endnote w:type="continuationSeparator" w:id="0">
    <w:p w14:paraId="192AFE72" w14:textId="77777777" w:rsidR="00536683" w:rsidRDefault="0053668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6E91F2FF" w14:textId="77777777" w:rsidR="00EB556D" w:rsidRDefault="00541E6E" w:rsidP="003B18B6">
        <w:pPr>
          <w:pStyle w:val="Stopka"/>
          <w:jc w:val="center"/>
        </w:pPr>
        <w:r>
          <w:fldChar w:fldCharType="begin"/>
        </w:r>
        <w:r>
          <w:instrText>PAGE   \* MERGEFORMAT</w:instrText>
        </w:r>
        <w:r>
          <w:fldChar w:fldCharType="separate"/>
        </w:r>
        <w:r w:rsidR="00A328CB">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7A63DCE2" w14:textId="77777777" w:rsidR="00EB556D" w:rsidRDefault="00541E6E" w:rsidP="003B18B6">
        <w:pPr>
          <w:pStyle w:val="Stopka"/>
          <w:jc w:val="center"/>
        </w:pPr>
        <w:r>
          <w:fldChar w:fldCharType="begin"/>
        </w:r>
        <w:r>
          <w:instrText>PAGE   \* MERGEFORMAT</w:instrText>
        </w:r>
        <w:r>
          <w:fldChar w:fldCharType="separate"/>
        </w:r>
        <w:r w:rsidR="00A328C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4F0246">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F182B" w14:textId="77777777" w:rsidR="00536683" w:rsidRDefault="00536683" w:rsidP="000662E2">
      <w:pPr>
        <w:spacing w:after="0" w:line="240" w:lineRule="auto"/>
      </w:pPr>
      <w:r>
        <w:separator/>
      </w:r>
    </w:p>
  </w:footnote>
  <w:footnote w:type="continuationSeparator" w:id="0">
    <w:p w14:paraId="04D709C4" w14:textId="77777777" w:rsidR="00536683" w:rsidRDefault="00536683"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A6DB" w14:textId="72C31978" w:rsidR="000662E2" w:rsidRDefault="00D972F6">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B305"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4D8C" w14:textId="533A339B" w:rsidR="00003437" w:rsidRDefault="00416EAF">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601A7CD8" wp14:editId="58BBB310">
          <wp:simplePos x="0" y="0"/>
          <wp:positionH relativeFrom="column">
            <wp:posOffset>13335</wp:posOffset>
          </wp:positionH>
          <wp:positionV relativeFrom="paragraph">
            <wp:posOffset>153670</wp:posOffset>
          </wp:positionV>
          <wp:extent cx="1125855" cy="431800"/>
          <wp:effectExtent l="0" t="0" r="0" b="6350"/>
          <wp:wrapSquare wrapText="bothSides"/>
          <wp:docPr id="7" name="Obraz 7" descr="Logo Głównego Urzędu Statystyczne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rotWithShape="1">
                  <a:blip r:embed="rId1" cstate="print">
                    <a:extLst>
                      <a:ext uri="{28A0092B-C50C-407E-A947-70E740481C1C}">
                        <a14:useLocalDpi xmlns:a14="http://schemas.microsoft.com/office/drawing/2010/main" val="0"/>
                      </a:ext>
                    </a:extLst>
                  </a:blip>
                  <a:srcRect l="4276" t="19342" r="59741" b="19726"/>
                  <a:stretch/>
                </pic:blipFill>
                <pic:spPr bwMode="auto">
                  <a:xfrm>
                    <a:off x="0" y="0"/>
                    <a:ext cx="1125855"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39BCBEE3" wp14:editId="4E5001A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formacja sygnalna"/>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77777777" w:rsidR="00F37172" w:rsidRPr="003C6C8D" w:rsidRDefault="00F37172" w:rsidP="005D2F6B">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1" alt="Informacja sygnalna"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u+DAYAANA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77777777" w:rsidR="00F37172" w:rsidRPr="003C6C8D" w:rsidRDefault="00F37172" w:rsidP="005D2F6B">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4FC4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EB3333">
      <w:rPr>
        <w:noProof/>
        <w:lang w:eastAsia="pl-PL"/>
      </w:rPr>
      <w:t xml:space="preserve"> </w:t>
    </w:r>
    <w:r w:rsidR="00540C5C" w:rsidRPr="00540C5C">
      <w:rPr>
        <w:noProof/>
      </w:rPr>
      <w:t xml:space="preserve"> </w:t>
    </w:r>
  </w:p>
  <w:p w14:paraId="5DF2C6CE" w14:textId="57EF9372" w:rsidR="00540C5C" w:rsidRDefault="00540C5C">
    <w:pPr>
      <w:pStyle w:val="Nagwek"/>
      <w:rPr>
        <w:noProof/>
        <w:lang w:eastAsia="pl-PL"/>
      </w:rPr>
    </w:pPr>
  </w:p>
  <w:p w14:paraId="45C1A999" w14:textId="77777777" w:rsidR="00540C5C" w:rsidRDefault="00540C5C">
    <w:pPr>
      <w:pStyle w:val="Nagwek"/>
      <w:rPr>
        <w:noProof/>
        <w:lang w:eastAsia="pl-PL"/>
      </w:rPr>
    </w:pPr>
  </w:p>
  <w:p w14:paraId="3194277A" w14:textId="5E6F66AE"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5476D37" wp14:editId="2618C427">
              <wp:simplePos x="0" y="0"/>
              <wp:positionH relativeFrom="column">
                <wp:posOffset>5287976</wp:posOffset>
              </wp:positionH>
              <wp:positionV relativeFrom="paragraph">
                <wp:posOffset>266065</wp:posOffset>
              </wp:positionV>
              <wp:extent cx="1432293" cy="336589"/>
              <wp:effectExtent l="0" t="0" r="0" b="6350"/>
              <wp:wrapNone/>
              <wp:docPr id="8" name="Pole tekstowe 2" descr="18.03.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2B8D597B" w:rsidR="00F37172" w:rsidRPr="00A01B40" w:rsidRDefault="00316A71" w:rsidP="00F049AB">
                          <w:pPr>
                            <w:pStyle w:val="Datainformacjisygnalnej"/>
                          </w:pPr>
                          <w:r>
                            <w:t>18</w:t>
                          </w:r>
                          <w:r w:rsidR="00DE6B58">
                            <w:t>.</w:t>
                          </w:r>
                          <w:r>
                            <w:t>0</w:t>
                          </w:r>
                          <w:r w:rsidR="005E0060">
                            <w:t>3</w:t>
                          </w:r>
                          <w:r w:rsidR="00DE6B58">
                            <w:t>.</w:t>
                          </w:r>
                          <w:r>
                            <w:t>2022</w:t>
                          </w:r>
                          <w:r w:rsidR="00DE6B58">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32" type="#_x0000_t202" alt="18.03.2022 r."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" filled="f" stroked="f">
              <v:textbox>
                <w:txbxContent>
                  <w:p w14:paraId="71967FEA" w14:textId="2B8D597B" w:rsidR="00F37172" w:rsidRPr="00A01B40" w:rsidRDefault="00316A71" w:rsidP="00F049AB">
                    <w:pPr>
                      <w:pStyle w:val="Datainformacjisygnalnej"/>
                    </w:pPr>
                    <w:r>
                      <w:t>18</w:t>
                    </w:r>
                    <w:r w:rsidR="00DE6B58">
                      <w:t>.</w:t>
                    </w:r>
                    <w:r>
                      <w:t>0</w:t>
                    </w:r>
                    <w:r w:rsidR="005E0060">
                      <w:t>3</w:t>
                    </w:r>
                    <w:r w:rsidR="00DE6B58">
                      <w:t>.</w:t>
                    </w:r>
                    <w:r>
                      <w:t>2022</w:t>
                    </w:r>
                    <w:r w:rsidR="00DE6B58">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4.5pt;height:125.25pt;visibility:visible;mso-wrap-style:square" o:bullet="t">
        <v:imagedata r:id="rId1" o:title=""/>
      </v:shape>
    </w:pict>
  </w:numPicBullet>
  <w:numPicBullet w:numPicBulletId="1">
    <w:pict>
      <v:shape id="_x0000_i1053" type="#_x0000_t75" style="width:124.5pt;height:125.2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709F"/>
    <w:rsid w:val="000108B8"/>
    <w:rsid w:val="000152F5"/>
    <w:rsid w:val="000245D6"/>
    <w:rsid w:val="00027A6B"/>
    <w:rsid w:val="00033429"/>
    <w:rsid w:val="000402B5"/>
    <w:rsid w:val="0004513F"/>
    <w:rsid w:val="0004582E"/>
    <w:rsid w:val="000470AA"/>
    <w:rsid w:val="00057CA1"/>
    <w:rsid w:val="000647A9"/>
    <w:rsid w:val="000662E2"/>
    <w:rsid w:val="00066883"/>
    <w:rsid w:val="00067C4B"/>
    <w:rsid w:val="00071B39"/>
    <w:rsid w:val="00074DD8"/>
    <w:rsid w:val="00075759"/>
    <w:rsid w:val="000806F7"/>
    <w:rsid w:val="0009054F"/>
    <w:rsid w:val="00097840"/>
    <w:rsid w:val="000A4FBB"/>
    <w:rsid w:val="000B0727"/>
    <w:rsid w:val="000B4245"/>
    <w:rsid w:val="000B65CF"/>
    <w:rsid w:val="000C135D"/>
    <w:rsid w:val="000D1D43"/>
    <w:rsid w:val="000D225C"/>
    <w:rsid w:val="000D2A5C"/>
    <w:rsid w:val="000D39F0"/>
    <w:rsid w:val="000E0918"/>
    <w:rsid w:val="000E50A2"/>
    <w:rsid w:val="000E79A9"/>
    <w:rsid w:val="000F189F"/>
    <w:rsid w:val="000F1A2F"/>
    <w:rsid w:val="001011C3"/>
    <w:rsid w:val="00106DA3"/>
    <w:rsid w:val="00110214"/>
    <w:rsid w:val="00110D87"/>
    <w:rsid w:val="00112399"/>
    <w:rsid w:val="00113471"/>
    <w:rsid w:val="00114DB9"/>
    <w:rsid w:val="00116087"/>
    <w:rsid w:val="00117711"/>
    <w:rsid w:val="00120162"/>
    <w:rsid w:val="00130296"/>
    <w:rsid w:val="00134145"/>
    <w:rsid w:val="00136736"/>
    <w:rsid w:val="00136740"/>
    <w:rsid w:val="00136D67"/>
    <w:rsid w:val="001423B6"/>
    <w:rsid w:val="001448A7"/>
    <w:rsid w:val="00146621"/>
    <w:rsid w:val="00146F54"/>
    <w:rsid w:val="001578AB"/>
    <w:rsid w:val="001617E3"/>
    <w:rsid w:val="00162325"/>
    <w:rsid w:val="00173157"/>
    <w:rsid w:val="00175717"/>
    <w:rsid w:val="00181FB6"/>
    <w:rsid w:val="00183273"/>
    <w:rsid w:val="001951DA"/>
    <w:rsid w:val="001A1C52"/>
    <w:rsid w:val="001A3E19"/>
    <w:rsid w:val="001B053D"/>
    <w:rsid w:val="001B2EE7"/>
    <w:rsid w:val="001C3269"/>
    <w:rsid w:val="001D19B6"/>
    <w:rsid w:val="001D1DB4"/>
    <w:rsid w:val="001D23F1"/>
    <w:rsid w:val="001D25F9"/>
    <w:rsid w:val="001D5A5D"/>
    <w:rsid w:val="001D5CE4"/>
    <w:rsid w:val="001D61ED"/>
    <w:rsid w:val="001E44FC"/>
    <w:rsid w:val="001E5B2D"/>
    <w:rsid w:val="001F3E4C"/>
    <w:rsid w:val="002001D2"/>
    <w:rsid w:val="0020156C"/>
    <w:rsid w:val="002108B2"/>
    <w:rsid w:val="00216634"/>
    <w:rsid w:val="0022538F"/>
    <w:rsid w:val="00225585"/>
    <w:rsid w:val="00225B35"/>
    <w:rsid w:val="00236916"/>
    <w:rsid w:val="00237ADB"/>
    <w:rsid w:val="00242D31"/>
    <w:rsid w:val="00245D40"/>
    <w:rsid w:val="0025481E"/>
    <w:rsid w:val="002574F9"/>
    <w:rsid w:val="002577AB"/>
    <w:rsid w:val="00262B61"/>
    <w:rsid w:val="00262CC6"/>
    <w:rsid w:val="00263E08"/>
    <w:rsid w:val="00271F45"/>
    <w:rsid w:val="00276811"/>
    <w:rsid w:val="00280900"/>
    <w:rsid w:val="00280F47"/>
    <w:rsid w:val="00282699"/>
    <w:rsid w:val="00282892"/>
    <w:rsid w:val="00290187"/>
    <w:rsid w:val="002926DF"/>
    <w:rsid w:val="002952DF"/>
    <w:rsid w:val="00295994"/>
    <w:rsid w:val="00296697"/>
    <w:rsid w:val="002B0472"/>
    <w:rsid w:val="002B557F"/>
    <w:rsid w:val="002B6B12"/>
    <w:rsid w:val="002C21F0"/>
    <w:rsid w:val="002D01DF"/>
    <w:rsid w:val="002E1606"/>
    <w:rsid w:val="002E3EB3"/>
    <w:rsid w:val="002E6140"/>
    <w:rsid w:val="002E6985"/>
    <w:rsid w:val="002E71B6"/>
    <w:rsid w:val="002F35F6"/>
    <w:rsid w:val="002F3A87"/>
    <w:rsid w:val="002F403F"/>
    <w:rsid w:val="002F77C8"/>
    <w:rsid w:val="00304F22"/>
    <w:rsid w:val="00306C7C"/>
    <w:rsid w:val="00314F86"/>
    <w:rsid w:val="00316A71"/>
    <w:rsid w:val="00317F4D"/>
    <w:rsid w:val="00322EDD"/>
    <w:rsid w:val="003309FA"/>
    <w:rsid w:val="00332320"/>
    <w:rsid w:val="0033434E"/>
    <w:rsid w:val="00347D72"/>
    <w:rsid w:val="00353F45"/>
    <w:rsid w:val="00357611"/>
    <w:rsid w:val="00361653"/>
    <w:rsid w:val="0036432A"/>
    <w:rsid w:val="00364AF9"/>
    <w:rsid w:val="00367237"/>
    <w:rsid w:val="0037077F"/>
    <w:rsid w:val="00372411"/>
    <w:rsid w:val="0037250A"/>
    <w:rsid w:val="00373882"/>
    <w:rsid w:val="003843DB"/>
    <w:rsid w:val="00393761"/>
    <w:rsid w:val="00394E26"/>
    <w:rsid w:val="00396691"/>
    <w:rsid w:val="00397D18"/>
    <w:rsid w:val="003A1B36"/>
    <w:rsid w:val="003A7D2B"/>
    <w:rsid w:val="003B1454"/>
    <w:rsid w:val="003B18B6"/>
    <w:rsid w:val="003C161B"/>
    <w:rsid w:val="003C59E0"/>
    <w:rsid w:val="003C69C9"/>
    <w:rsid w:val="003C6C8D"/>
    <w:rsid w:val="003D2656"/>
    <w:rsid w:val="003D4F95"/>
    <w:rsid w:val="003D5F42"/>
    <w:rsid w:val="003D60A9"/>
    <w:rsid w:val="003E4367"/>
    <w:rsid w:val="003E4466"/>
    <w:rsid w:val="003E71A2"/>
    <w:rsid w:val="003F4C97"/>
    <w:rsid w:val="003F666D"/>
    <w:rsid w:val="003F7FE6"/>
    <w:rsid w:val="00400193"/>
    <w:rsid w:val="00410D85"/>
    <w:rsid w:val="00411D20"/>
    <w:rsid w:val="00416EAF"/>
    <w:rsid w:val="004212E7"/>
    <w:rsid w:val="00423C88"/>
    <w:rsid w:val="0042446D"/>
    <w:rsid w:val="00427BF8"/>
    <w:rsid w:val="00431C02"/>
    <w:rsid w:val="00437395"/>
    <w:rsid w:val="00445047"/>
    <w:rsid w:val="00446749"/>
    <w:rsid w:val="004510EC"/>
    <w:rsid w:val="00453EB7"/>
    <w:rsid w:val="00455709"/>
    <w:rsid w:val="00463E39"/>
    <w:rsid w:val="004657FC"/>
    <w:rsid w:val="00470802"/>
    <w:rsid w:val="004733F6"/>
    <w:rsid w:val="00474E69"/>
    <w:rsid w:val="004770F8"/>
    <w:rsid w:val="00483E9F"/>
    <w:rsid w:val="00485A2C"/>
    <w:rsid w:val="004958E7"/>
    <w:rsid w:val="0049621B"/>
    <w:rsid w:val="004A1469"/>
    <w:rsid w:val="004A1D19"/>
    <w:rsid w:val="004A4599"/>
    <w:rsid w:val="004C1895"/>
    <w:rsid w:val="004C6D40"/>
    <w:rsid w:val="004C7819"/>
    <w:rsid w:val="004D043E"/>
    <w:rsid w:val="004D0AED"/>
    <w:rsid w:val="004E6AA8"/>
    <w:rsid w:val="004F0246"/>
    <w:rsid w:val="004F0C3C"/>
    <w:rsid w:val="004F2280"/>
    <w:rsid w:val="004F23BB"/>
    <w:rsid w:val="004F41C8"/>
    <w:rsid w:val="004F63FC"/>
    <w:rsid w:val="0050217C"/>
    <w:rsid w:val="0050555D"/>
    <w:rsid w:val="00505A92"/>
    <w:rsid w:val="005203F1"/>
    <w:rsid w:val="00521BC3"/>
    <w:rsid w:val="0052721B"/>
    <w:rsid w:val="00531873"/>
    <w:rsid w:val="00533632"/>
    <w:rsid w:val="00534013"/>
    <w:rsid w:val="00536683"/>
    <w:rsid w:val="0054058E"/>
    <w:rsid w:val="0054095E"/>
    <w:rsid w:val="00540C5C"/>
    <w:rsid w:val="00541E6E"/>
    <w:rsid w:val="0054251F"/>
    <w:rsid w:val="005511F1"/>
    <w:rsid w:val="00551D3D"/>
    <w:rsid w:val="005520D8"/>
    <w:rsid w:val="00555CFB"/>
    <w:rsid w:val="00556ADB"/>
    <w:rsid w:val="00556CF1"/>
    <w:rsid w:val="005744F9"/>
    <w:rsid w:val="005762A7"/>
    <w:rsid w:val="00587CEE"/>
    <w:rsid w:val="005916D7"/>
    <w:rsid w:val="00591FA4"/>
    <w:rsid w:val="0059427F"/>
    <w:rsid w:val="005A60DF"/>
    <w:rsid w:val="005A698C"/>
    <w:rsid w:val="005C0CAC"/>
    <w:rsid w:val="005C567C"/>
    <w:rsid w:val="005D062E"/>
    <w:rsid w:val="005D2F6B"/>
    <w:rsid w:val="005E0060"/>
    <w:rsid w:val="005E0799"/>
    <w:rsid w:val="005E10F9"/>
    <w:rsid w:val="005E1200"/>
    <w:rsid w:val="005E12BF"/>
    <w:rsid w:val="005E3A4A"/>
    <w:rsid w:val="005F45EE"/>
    <w:rsid w:val="005F5A80"/>
    <w:rsid w:val="006044FF"/>
    <w:rsid w:val="00607CC5"/>
    <w:rsid w:val="0061179B"/>
    <w:rsid w:val="006125F9"/>
    <w:rsid w:val="00623020"/>
    <w:rsid w:val="00633014"/>
    <w:rsid w:val="0063437B"/>
    <w:rsid w:val="0064017E"/>
    <w:rsid w:val="00646B5E"/>
    <w:rsid w:val="00654BB6"/>
    <w:rsid w:val="006673CA"/>
    <w:rsid w:val="00673C26"/>
    <w:rsid w:val="00674DE5"/>
    <w:rsid w:val="00675192"/>
    <w:rsid w:val="00677ACA"/>
    <w:rsid w:val="006812AF"/>
    <w:rsid w:val="00681453"/>
    <w:rsid w:val="0068327D"/>
    <w:rsid w:val="00687DBE"/>
    <w:rsid w:val="00691534"/>
    <w:rsid w:val="00693880"/>
    <w:rsid w:val="00694AF0"/>
    <w:rsid w:val="006A4686"/>
    <w:rsid w:val="006B0E9E"/>
    <w:rsid w:val="006B486D"/>
    <w:rsid w:val="006B5AE4"/>
    <w:rsid w:val="006C58C2"/>
    <w:rsid w:val="006D1507"/>
    <w:rsid w:val="006D4054"/>
    <w:rsid w:val="006E02EC"/>
    <w:rsid w:val="006E3C4F"/>
    <w:rsid w:val="006E6F41"/>
    <w:rsid w:val="006E73E6"/>
    <w:rsid w:val="006F505D"/>
    <w:rsid w:val="00701685"/>
    <w:rsid w:val="007211B1"/>
    <w:rsid w:val="007277DA"/>
    <w:rsid w:val="00731D27"/>
    <w:rsid w:val="00733F2B"/>
    <w:rsid w:val="00746187"/>
    <w:rsid w:val="0076254F"/>
    <w:rsid w:val="007801F5"/>
    <w:rsid w:val="00783CA4"/>
    <w:rsid w:val="007842FB"/>
    <w:rsid w:val="00786124"/>
    <w:rsid w:val="0079514B"/>
    <w:rsid w:val="00795252"/>
    <w:rsid w:val="007A2DC1"/>
    <w:rsid w:val="007A36F0"/>
    <w:rsid w:val="007A5D6D"/>
    <w:rsid w:val="007A6752"/>
    <w:rsid w:val="007B00AD"/>
    <w:rsid w:val="007C2331"/>
    <w:rsid w:val="007C7D79"/>
    <w:rsid w:val="007D0869"/>
    <w:rsid w:val="007D14C4"/>
    <w:rsid w:val="007D3319"/>
    <w:rsid w:val="007D335D"/>
    <w:rsid w:val="007D605C"/>
    <w:rsid w:val="007D72EE"/>
    <w:rsid w:val="007E3314"/>
    <w:rsid w:val="007E3514"/>
    <w:rsid w:val="007E4B03"/>
    <w:rsid w:val="007F2D4A"/>
    <w:rsid w:val="007F324B"/>
    <w:rsid w:val="0080553C"/>
    <w:rsid w:val="00805B46"/>
    <w:rsid w:val="00805DB4"/>
    <w:rsid w:val="00823593"/>
    <w:rsid w:val="00825DC2"/>
    <w:rsid w:val="00834AD3"/>
    <w:rsid w:val="00843795"/>
    <w:rsid w:val="00847A3D"/>
    <w:rsid w:val="00847F0F"/>
    <w:rsid w:val="00852448"/>
    <w:rsid w:val="00855BDE"/>
    <w:rsid w:val="008633D6"/>
    <w:rsid w:val="008670A0"/>
    <w:rsid w:val="00877F6C"/>
    <w:rsid w:val="0088258A"/>
    <w:rsid w:val="00886332"/>
    <w:rsid w:val="008872A6"/>
    <w:rsid w:val="008925F0"/>
    <w:rsid w:val="0089448A"/>
    <w:rsid w:val="00897877"/>
    <w:rsid w:val="008A26D9"/>
    <w:rsid w:val="008A7B5B"/>
    <w:rsid w:val="008B12D2"/>
    <w:rsid w:val="008B2015"/>
    <w:rsid w:val="008C0C29"/>
    <w:rsid w:val="008D0278"/>
    <w:rsid w:val="008D02DA"/>
    <w:rsid w:val="008D4A9C"/>
    <w:rsid w:val="008D4BCF"/>
    <w:rsid w:val="008D76BC"/>
    <w:rsid w:val="008E1C49"/>
    <w:rsid w:val="008E409E"/>
    <w:rsid w:val="008E7DBA"/>
    <w:rsid w:val="008F0829"/>
    <w:rsid w:val="008F3638"/>
    <w:rsid w:val="008F4441"/>
    <w:rsid w:val="008F6B20"/>
    <w:rsid w:val="008F6F31"/>
    <w:rsid w:val="008F74DF"/>
    <w:rsid w:val="008F7E65"/>
    <w:rsid w:val="00902120"/>
    <w:rsid w:val="00902274"/>
    <w:rsid w:val="009127BA"/>
    <w:rsid w:val="00920AAE"/>
    <w:rsid w:val="009227A6"/>
    <w:rsid w:val="00922D8C"/>
    <w:rsid w:val="00933EC1"/>
    <w:rsid w:val="009446AD"/>
    <w:rsid w:val="00947BEA"/>
    <w:rsid w:val="009530DB"/>
    <w:rsid w:val="00953676"/>
    <w:rsid w:val="00953AB8"/>
    <w:rsid w:val="009544AD"/>
    <w:rsid w:val="00956F30"/>
    <w:rsid w:val="00966C9A"/>
    <w:rsid w:val="009705EE"/>
    <w:rsid w:val="00972E53"/>
    <w:rsid w:val="00977927"/>
    <w:rsid w:val="0098135C"/>
    <w:rsid w:val="0098156A"/>
    <w:rsid w:val="00991BAC"/>
    <w:rsid w:val="009929A9"/>
    <w:rsid w:val="0099757D"/>
    <w:rsid w:val="009A6EA0"/>
    <w:rsid w:val="009B2AEA"/>
    <w:rsid w:val="009C1335"/>
    <w:rsid w:val="009C1AB2"/>
    <w:rsid w:val="009C687D"/>
    <w:rsid w:val="009C7251"/>
    <w:rsid w:val="009E2E91"/>
    <w:rsid w:val="009E6880"/>
    <w:rsid w:val="00A01B40"/>
    <w:rsid w:val="00A139F5"/>
    <w:rsid w:val="00A307A2"/>
    <w:rsid w:val="00A328CB"/>
    <w:rsid w:val="00A32E16"/>
    <w:rsid w:val="00A365F4"/>
    <w:rsid w:val="00A40292"/>
    <w:rsid w:val="00A45F04"/>
    <w:rsid w:val="00A47D80"/>
    <w:rsid w:val="00A518F4"/>
    <w:rsid w:val="00A53132"/>
    <w:rsid w:val="00A563F2"/>
    <w:rsid w:val="00A566E8"/>
    <w:rsid w:val="00A66347"/>
    <w:rsid w:val="00A731F5"/>
    <w:rsid w:val="00A75D45"/>
    <w:rsid w:val="00A75F25"/>
    <w:rsid w:val="00A810F9"/>
    <w:rsid w:val="00A82D31"/>
    <w:rsid w:val="00A84D3F"/>
    <w:rsid w:val="00A85E7E"/>
    <w:rsid w:val="00A86ECC"/>
    <w:rsid w:val="00A86FCC"/>
    <w:rsid w:val="00A90A6D"/>
    <w:rsid w:val="00A96F4C"/>
    <w:rsid w:val="00A971E5"/>
    <w:rsid w:val="00AA710D"/>
    <w:rsid w:val="00AB64F3"/>
    <w:rsid w:val="00AB6D25"/>
    <w:rsid w:val="00AC2858"/>
    <w:rsid w:val="00AD0E56"/>
    <w:rsid w:val="00AE229B"/>
    <w:rsid w:val="00AE2D4B"/>
    <w:rsid w:val="00AE4F99"/>
    <w:rsid w:val="00AF204B"/>
    <w:rsid w:val="00B02AAC"/>
    <w:rsid w:val="00B11B69"/>
    <w:rsid w:val="00B14952"/>
    <w:rsid w:val="00B14BA6"/>
    <w:rsid w:val="00B16871"/>
    <w:rsid w:val="00B25B45"/>
    <w:rsid w:val="00B31E5A"/>
    <w:rsid w:val="00B4183D"/>
    <w:rsid w:val="00B469C3"/>
    <w:rsid w:val="00B47359"/>
    <w:rsid w:val="00B62D4F"/>
    <w:rsid w:val="00B651AD"/>
    <w:rsid w:val="00B653AB"/>
    <w:rsid w:val="00B65F9E"/>
    <w:rsid w:val="00B66B19"/>
    <w:rsid w:val="00B7386E"/>
    <w:rsid w:val="00B84C43"/>
    <w:rsid w:val="00B914E9"/>
    <w:rsid w:val="00B956EE"/>
    <w:rsid w:val="00BA1186"/>
    <w:rsid w:val="00BA1490"/>
    <w:rsid w:val="00BA2BA1"/>
    <w:rsid w:val="00BA306E"/>
    <w:rsid w:val="00BA3447"/>
    <w:rsid w:val="00BA3562"/>
    <w:rsid w:val="00BB1006"/>
    <w:rsid w:val="00BB4661"/>
    <w:rsid w:val="00BB4F09"/>
    <w:rsid w:val="00BB54B5"/>
    <w:rsid w:val="00BD2BBD"/>
    <w:rsid w:val="00BD4E33"/>
    <w:rsid w:val="00BE6521"/>
    <w:rsid w:val="00BF6121"/>
    <w:rsid w:val="00C030DE"/>
    <w:rsid w:val="00C051A8"/>
    <w:rsid w:val="00C16BE0"/>
    <w:rsid w:val="00C22105"/>
    <w:rsid w:val="00C244B6"/>
    <w:rsid w:val="00C27BF1"/>
    <w:rsid w:val="00C3702F"/>
    <w:rsid w:val="00C4500A"/>
    <w:rsid w:val="00C62238"/>
    <w:rsid w:val="00C64A37"/>
    <w:rsid w:val="00C6585B"/>
    <w:rsid w:val="00C7158E"/>
    <w:rsid w:val="00C7246E"/>
    <w:rsid w:val="00C7250B"/>
    <w:rsid w:val="00C7346B"/>
    <w:rsid w:val="00C77C0E"/>
    <w:rsid w:val="00C91687"/>
    <w:rsid w:val="00C91CEB"/>
    <w:rsid w:val="00C924A8"/>
    <w:rsid w:val="00C945FE"/>
    <w:rsid w:val="00C96FAA"/>
    <w:rsid w:val="00C97A04"/>
    <w:rsid w:val="00CA107B"/>
    <w:rsid w:val="00CA484D"/>
    <w:rsid w:val="00CA4FB6"/>
    <w:rsid w:val="00CB2F90"/>
    <w:rsid w:val="00CB3239"/>
    <w:rsid w:val="00CB6AD4"/>
    <w:rsid w:val="00CC5BE5"/>
    <w:rsid w:val="00CC739E"/>
    <w:rsid w:val="00CD1EBB"/>
    <w:rsid w:val="00CD28CF"/>
    <w:rsid w:val="00CD58B7"/>
    <w:rsid w:val="00CD7967"/>
    <w:rsid w:val="00CF18EE"/>
    <w:rsid w:val="00CF30BD"/>
    <w:rsid w:val="00CF4099"/>
    <w:rsid w:val="00CF4E3D"/>
    <w:rsid w:val="00D00796"/>
    <w:rsid w:val="00D10C4D"/>
    <w:rsid w:val="00D12E1E"/>
    <w:rsid w:val="00D261A2"/>
    <w:rsid w:val="00D436F7"/>
    <w:rsid w:val="00D616D2"/>
    <w:rsid w:val="00D63B5F"/>
    <w:rsid w:val="00D658A7"/>
    <w:rsid w:val="00D70EF7"/>
    <w:rsid w:val="00D7513E"/>
    <w:rsid w:val="00D8397C"/>
    <w:rsid w:val="00D94EED"/>
    <w:rsid w:val="00D96026"/>
    <w:rsid w:val="00D96994"/>
    <w:rsid w:val="00D972F6"/>
    <w:rsid w:val="00DA331D"/>
    <w:rsid w:val="00DA7C1C"/>
    <w:rsid w:val="00DB147A"/>
    <w:rsid w:val="00DB1B7A"/>
    <w:rsid w:val="00DB35BB"/>
    <w:rsid w:val="00DB50E6"/>
    <w:rsid w:val="00DB706E"/>
    <w:rsid w:val="00DC0F40"/>
    <w:rsid w:val="00DC6708"/>
    <w:rsid w:val="00DD011A"/>
    <w:rsid w:val="00DD7417"/>
    <w:rsid w:val="00DE2400"/>
    <w:rsid w:val="00DE4A46"/>
    <w:rsid w:val="00DE58F1"/>
    <w:rsid w:val="00DE67A5"/>
    <w:rsid w:val="00DE6B58"/>
    <w:rsid w:val="00DF5E32"/>
    <w:rsid w:val="00E01436"/>
    <w:rsid w:val="00E02C88"/>
    <w:rsid w:val="00E03D3E"/>
    <w:rsid w:val="00E03E79"/>
    <w:rsid w:val="00E045BD"/>
    <w:rsid w:val="00E04D6C"/>
    <w:rsid w:val="00E17B77"/>
    <w:rsid w:val="00E231AB"/>
    <w:rsid w:val="00E23337"/>
    <w:rsid w:val="00E23F06"/>
    <w:rsid w:val="00E259EA"/>
    <w:rsid w:val="00E25D33"/>
    <w:rsid w:val="00E32061"/>
    <w:rsid w:val="00E33F48"/>
    <w:rsid w:val="00E42FF9"/>
    <w:rsid w:val="00E44790"/>
    <w:rsid w:val="00E4714C"/>
    <w:rsid w:val="00E5178D"/>
    <w:rsid w:val="00E51AEB"/>
    <w:rsid w:val="00E522A7"/>
    <w:rsid w:val="00E5349E"/>
    <w:rsid w:val="00E54452"/>
    <w:rsid w:val="00E63B0C"/>
    <w:rsid w:val="00E664C5"/>
    <w:rsid w:val="00E671A2"/>
    <w:rsid w:val="00E767DC"/>
    <w:rsid w:val="00E76D26"/>
    <w:rsid w:val="00E76EE5"/>
    <w:rsid w:val="00E80DC3"/>
    <w:rsid w:val="00E85E41"/>
    <w:rsid w:val="00E902C7"/>
    <w:rsid w:val="00E95036"/>
    <w:rsid w:val="00E95B8E"/>
    <w:rsid w:val="00EA4A4B"/>
    <w:rsid w:val="00EB1390"/>
    <w:rsid w:val="00EB2C71"/>
    <w:rsid w:val="00EB3333"/>
    <w:rsid w:val="00EB4340"/>
    <w:rsid w:val="00EB556D"/>
    <w:rsid w:val="00EB5A7D"/>
    <w:rsid w:val="00EB5E96"/>
    <w:rsid w:val="00EC023D"/>
    <w:rsid w:val="00EC57DB"/>
    <w:rsid w:val="00ED55C0"/>
    <w:rsid w:val="00ED682B"/>
    <w:rsid w:val="00EE41D5"/>
    <w:rsid w:val="00EF1584"/>
    <w:rsid w:val="00EF7E72"/>
    <w:rsid w:val="00F0166F"/>
    <w:rsid w:val="00F037A4"/>
    <w:rsid w:val="00F042CE"/>
    <w:rsid w:val="00F04543"/>
    <w:rsid w:val="00F049AB"/>
    <w:rsid w:val="00F142DB"/>
    <w:rsid w:val="00F164E0"/>
    <w:rsid w:val="00F22B52"/>
    <w:rsid w:val="00F27C8F"/>
    <w:rsid w:val="00F32749"/>
    <w:rsid w:val="00F33A22"/>
    <w:rsid w:val="00F37172"/>
    <w:rsid w:val="00F43224"/>
    <w:rsid w:val="00F4477E"/>
    <w:rsid w:val="00F46269"/>
    <w:rsid w:val="00F51BA1"/>
    <w:rsid w:val="00F60BA8"/>
    <w:rsid w:val="00F67A86"/>
    <w:rsid w:val="00F67D8F"/>
    <w:rsid w:val="00F742E2"/>
    <w:rsid w:val="00F802BE"/>
    <w:rsid w:val="00F80E93"/>
    <w:rsid w:val="00F86024"/>
    <w:rsid w:val="00F8611A"/>
    <w:rsid w:val="00F86A00"/>
    <w:rsid w:val="00F86A1B"/>
    <w:rsid w:val="00FA0F12"/>
    <w:rsid w:val="00FA5128"/>
    <w:rsid w:val="00FB42D4"/>
    <w:rsid w:val="00FB5906"/>
    <w:rsid w:val="00FB762F"/>
    <w:rsid w:val="00FC2AED"/>
    <w:rsid w:val="00FC748C"/>
    <w:rsid w:val="00FD08AE"/>
    <w:rsid w:val="00FD5EA7"/>
    <w:rsid w:val="00FE36CF"/>
    <w:rsid w:val="00FE3A19"/>
    <w:rsid w:val="00FE79AA"/>
    <w:rsid w:val="00FF0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character" w:styleId="UyteHipercze">
    <w:name w:val="FollowedHyperlink"/>
    <w:basedOn w:val="Domylnaczcionkaakapitu"/>
    <w:uiPriority w:val="99"/>
    <w:semiHidden/>
    <w:unhideWhenUsed/>
    <w:rsid w:val="00591FA4"/>
    <w:rPr>
      <w:color w:val="954F72" w:themeColor="followedHyperlink"/>
      <w:u w:val="single"/>
    </w:rPr>
  </w:style>
  <w:style w:type="character" w:customStyle="1" w:styleId="Nierozpoznanawzmianka2">
    <w:name w:val="Nierozpoznana wzmianka2"/>
    <w:basedOn w:val="Domylnaczcionkaakapitu"/>
    <w:uiPriority w:val="99"/>
    <w:semiHidden/>
    <w:unhideWhenUsed/>
    <w:rsid w:val="003E7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tat.gov.pl/obszary-tematyczne/ceny-handel/wskazniki-cen/"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hyperlink" Target="mailto:obslugaprasowa@stat.gov.pl" TargetMode="External"/><Relationship Id="rId25" Type="http://schemas.openxmlformats.org/officeDocument/2006/relationships/hyperlink" Target="http://bdm.stat.gov.p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aid.stat.gov.pl/SitePagesDBW/Ceny.aspx"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http://stat.gov.pl/metainformacje/slownik-pojec/pojecia-stosowane-w-statystyce-publicznej/709,pojecie.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Aga1\WA&#379;NE\WSTEPNA\2022\Prasa\Luty2022\Wykresy_serie%20od%202020r\WST02'22_nowy1_wyk.4_bu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328125"/>
          <c:y val="0.13957307060755336"/>
          <c:w val="0.78157279960582526"/>
          <c:h val="0.52298850574712641"/>
        </c:manualLayout>
      </c:layout>
      <c:barChart>
        <c:barDir val="col"/>
        <c:grouping val="clustered"/>
        <c:varyColors val="0"/>
        <c:ser>
          <c:idx val="0"/>
          <c:order val="0"/>
          <c:tx>
            <c:strRef>
              <c:f>wyk4_bud!$C$4</c:f>
              <c:strCache>
                <c:ptCount val="1"/>
                <c:pt idx="0">
                  <c:v>  ceny produkcji budowlano-montażowej</c:v>
                </c:pt>
              </c:strCache>
            </c:strRef>
          </c:tx>
          <c:spPr>
            <a:solidFill>
              <a:srgbClr val="001D77"/>
            </a:solidFill>
            <a:ln w="12700">
              <a:solidFill>
                <a:srgbClr val="001D77"/>
              </a:solidFill>
              <a:prstDash val="solid"/>
            </a:ln>
          </c:spPr>
          <c:invertIfNegative val="0"/>
          <c:dLbls>
            <c:dLbl>
              <c:idx val="25"/>
              <c:layout>
                <c:manualLayout>
                  <c:x val="8.1926673228346458E-2"/>
                  <c:y val="2.4414247481314024E-5"/>
                </c:manualLayout>
              </c:layout>
              <c:spPr>
                <a:noFill/>
                <a:ln>
                  <a:noFill/>
                </a:ln>
                <a:effectLst/>
              </c:spPr>
              <c:txPr>
                <a:bodyPr wrap="square" lIns="38100" tIns="19050" rIns="38100" bIns="19050" anchor="ctr">
                  <a:spAutoFit/>
                </a:bodyPr>
                <a:lstStyle/>
                <a:p>
                  <a:pPr>
                    <a:defRPr sz="800"/>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CB-47CD-BC30-F42F7B7E52F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wyk4_bud!$A$8:$B$33</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wyk4_bud!$C$8:$C$33</c:f>
              <c:numCache>
                <c:formatCode>0.0</c:formatCode>
                <c:ptCount val="26"/>
                <c:pt idx="0">
                  <c:v>0.3</c:v>
                </c:pt>
                <c:pt idx="1">
                  <c:v>0.6</c:v>
                </c:pt>
                <c:pt idx="2">
                  <c:v>0.8</c:v>
                </c:pt>
                <c:pt idx="3">
                  <c:v>1</c:v>
                </c:pt>
                <c:pt idx="4">
                  <c:v>1.2</c:v>
                </c:pt>
                <c:pt idx="5" formatCode="General">
                  <c:v>1.4</c:v>
                </c:pt>
                <c:pt idx="6" formatCode="General">
                  <c:v>1.6</c:v>
                </c:pt>
                <c:pt idx="7" formatCode="General">
                  <c:v>1.8</c:v>
                </c:pt>
                <c:pt idx="8">
                  <c:v>2.1</c:v>
                </c:pt>
                <c:pt idx="9" formatCode="General">
                  <c:v>2.2999999999999998</c:v>
                </c:pt>
                <c:pt idx="10" formatCode="General">
                  <c:v>2.5</c:v>
                </c:pt>
                <c:pt idx="11" formatCode="General">
                  <c:v>2.7</c:v>
                </c:pt>
                <c:pt idx="12">
                  <c:v>3</c:v>
                </c:pt>
                <c:pt idx="13">
                  <c:v>3.2</c:v>
                </c:pt>
                <c:pt idx="14" formatCode="General">
                  <c:v>3.6</c:v>
                </c:pt>
                <c:pt idx="15" formatCode="General">
                  <c:v>4.0999999999999996</c:v>
                </c:pt>
                <c:pt idx="16" formatCode="General">
                  <c:v>4.5999999999999996</c:v>
                </c:pt>
                <c:pt idx="17" formatCode="General">
                  <c:v>5.0999999999999996</c:v>
                </c:pt>
                <c:pt idx="18" formatCode="General">
                  <c:v>5.7</c:v>
                </c:pt>
                <c:pt idx="19" formatCode="General">
                  <c:v>6.4</c:v>
                </c:pt>
                <c:pt idx="20" formatCode="General">
                  <c:v>7.1</c:v>
                </c:pt>
                <c:pt idx="21">
                  <c:v>8.1</c:v>
                </c:pt>
                <c:pt idx="22" formatCode="General">
                  <c:v>9.3000000000000007</c:v>
                </c:pt>
                <c:pt idx="23" formatCode="General">
                  <c:v>10.4</c:v>
                </c:pt>
                <c:pt idx="24">
                  <c:v>11.6</c:v>
                </c:pt>
                <c:pt idx="25" formatCode="General">
                  <c:v>12.9</c:v>
                </c:pt>
              </c:numCache>
            </c:numRef>
          </c:val>
          <c:extLst>
            <c:ext xmlns:c16="http://schemas.microsoft.com/office/drawing/2014/chart" uri="{C3380CC4-5D6E-409C-BE32-E72D297353CC}">
              <c16:uniqueId val="{00000001-E8CB-47CD-BC30-F42F7B7E52FF}"/>
            </c:ext>
          </c:extLst>
        </c:ser>
        <c:dLbls>
          <c:showLegendKey val="0"/>
          <c:showVal val="0"/>
          <c:showCatName val="0"/>
          <c:showSerName val="0"/>
          <c:showPercent val="0"/>
          <c:showBubbleSize val="0"/>
        </c:dLbls>
        <c:gapWidth val="150"/>
        <c:axId val="474813720"/>
        <c:axId val="474815288"/>
      </c:barChart>
      <c:lineChart>
        <c:grouping val="standard"/>
        <c:varyColors val="0"/>
        <c:ser>
          <c:idx val="1"/>
          <c:order val="1"/>
          <c:tx>
            <c:strRef>
              <c:f>wyk4_bud!$D$4</c:f>
              <c:strCache>
                <c:ptCount val="1"/>
                <c:pt idx="0">
                  <c:v>budowa budynków</c:v>
                </c:pt>
              </c:strCache>
            </c:strRef>
          </c:tx>
          <c:spPr>
            <a:ln w="25400">
              <a:solidFill>
                <a:srgbClr val="99CEB3"/>
              </a:solidFill>
              <a:prstDash val="solid"/>
            </a:ln>
          </c:spPr>
          <c:marker>
            <c:symbol val="none"/>
          </c:marker>
          <c:dLbls>
            <c:dLbl>
              <c:idx val="25"/>
              <c:layout>
                <c:manualLayout>
                  <c:x val="4.4671634445880834E-2"/>
                  <c:y val="-4.17490366895627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CB-47CD-BC30-F42F7B7E52FF}"/>
                </c:ext>
              </c:extLst>
            </c:dLbl>
            <c:spPr>
              <a:noFill/>
              <a:ln>
                <a:noFill/>
              </a:ln>
              <a:effectLst/>
            </c:spPr>
            <c:txPr>
              <a:bodyPr wrap="square" lIns="38100" tIns="19050" rIns="38100" bIns="19050" anchor="ctr">
                <a:spAutoFit/>
              </a:bodyPr>
              <a:lstStyle/>
              <a:p>
                <a:pPr>
                  <a:defRPr sz="800"/>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wyk4_bud!$B$8:$B$33</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wyk4_bud!$D$8:$D$33</c:f>
              <c:numCache>
                <c:formatCode>0.0</c:formatCode>
                <c:ptCount val="26"/>
                <c:pt idx="0">
                  <c:v>0.3</c:v>
                </c:pt>
                <c:pt idx="1">
                  <c:v>0.6</c:v>
                </c:pt>
                <c:pt idx="2">
                  <c:v>0.8</c:v>
                </c:pt>
                <c:pt idx="3">
                  <c:v>1</c:v>
                </c:pt>
                <c:pt idx="4">
                  <c:v>1.2</c:v>
                </c:pt>
                <c:pt idx="5">
                  <c:v>1.4</c:v>
                </c:pt>
                <c:pt idx="6">
                  <c:v>1.6</c:v>
                </c:pt>
                <c:pt idx="7">
                  <c:v>1.8</c:v>
                </c:pt>
                <c:pt idx="8">
                  <c:v>2.1</c:v>
                </c:pt>
                <c:pt idx="9">
                  <c:v>2.2999999999999998</c:v>
                </c:pt>
                <c:pt idx="10">
                  <c:v>2.5</c:v>
                </c:pt>
                <c:pt idx="11">
                  <c:v>2.8</c:v>
                </c:pt>
                <c:pt idx="12">
                  <c:v>3.2</c:v>
                </c:pt>
                <c:pt idx="13">
                  <c:v>3.5</c:v>
                </c:pt>
                <c:pt idx="14">
                  <c:v>3.9</c:v>
                </c:pt>
                <c:pt idx="15">
                  <c:v>4.4000000000000004</c:v>
                </c:pt>
                <c:pt idx="16">
                  <c:v>4.9000000000000004</c:v>
                </c:pt>
                <c:pt idx="17">
                  <c:v>5.4</c:v>
                </c:pt>
                <c:pt idx="18">
                  <c:v>6</c:v>
                </c:pt>
                <c:pt idx="19">
                  <c:v>6.7</c:v>
                </c:pt>
                <c:pt idx="20">
                  <c:v>7.4</c:v>
                </c:pt>
                <c:pt idx="21">
                  <c:v>8.4</c:v>
                </c:pt>
                <c:pt idx="22">
                  <c:v>9.6</c:v>
                </c:pt>
                <c:pt idx="23">
                  <c:v>10.6</c:v>
                </c:pt>
                <c:pt idx="24">
                  <c:v>11.8</c:v>
                </c:pt>
                <c:pt idx="25">
                  <c:v>13.1</c:v>
                </c:pt>
              </c:numCache>
            </c:numRef>
          </c:val>
          <c:smooth val="0"/>
          <c:extLst>
            <c:ext xmlns:c16="http://schemas.microsoft.com/office/drawing/2014/chart" uri="{C3380CC4-5D6E-409C-BE32-E72D297353CC}">
              <c16:uniqueId val="{00000003-E8CB-47CD-BC30-F42F7B7E52FF}"/>
            </c:ext>
          </c:extLst>
        </c:ser>
        <c:ser>
          <c:idx val="2"/>
          <c:order val="2"/>
          <c:tx>
            <c:strRef>
              <c:f>wyk4_bud!$E$4</c:f>
              <c:strCache>
                <c:ptCount val="1"/>
                <c:pt idx="0">
                  <c:v>budowa  obiektów inżynierii lądowej i wodnej</c:v>
                </c:pt>
              </c:strCache>
            </c:strRef>
          </c:tx>
          <c:spPr>
            <a:ln w="25400">
              <a:solidFill>
                <a:srgbClr val="99A5C9"/>
              </a:solidFill>
              <a:prstDash val="solid"/>
            </a:ln>
          </c:spPr>
          <c:marker>
            <c:symbol val="none"/>
          </c:marker>
          <c:dLbls>
            <c:dLbl>
              <c:idx val="25"/>
              <c:layout>
                <c:manualLayout>
                  <c:x val="4.5508799506404983E-2"/>
                  <c:y val="-2.5865632400568768E-3"/>
                </c:manualLayout>
              </c:layout>
              <c:spPr>
                <a:noFill/>
                <a:ln>
                  <a:noFill/>
                </a:ln>
                <a:effectLst/>
              </c:spPr>
              <c:txPr>
                <a:bodyPr wrap="square" lIns="38100" tIns="19050" rIns="38100" bIns="19050" anchor="ctr">
                  <a:spAutoFit/>
                </a:bodyPr>
                <a:lstStyle/>
                <a:p>
                  <a:pPr>
                    <a:defRPr sz="800"/>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CB-47CD-BC30-F42F7B7E52F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wyk4_bud!$B$8:$B$33</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wyk4_bud!$E$8:$E$33</c:f>
              <c:numCache>
                <c:formatCode>0.0</c:formatCode>
                <c:ptCount val="26"/>
                <c:pt idx="0">
                  <c:v>0.2</c:v>
                </c:pt>
                <c:pt idx="1">
                  <c:v>0.5</c:v>
                </c:pt>
                <c:pt idx="2">
                  <c:v>0.7</c:v>
                </c:pt>
                <c:pt idx="3">
                  <c:v>0.9</c:v>
                </c:pt>
                <c:pt idx="4">
                  <c:v>1.1000000000000001</c:v>
                </c:pt>
                <c:pt idx="5">
                  <c:v>1.3</c:v>
                </c:pt>
                <c:pt idx="6">
                  <c:v>1.6</c:v>
                </c:pt>
                <c:pt idx="7">
                  <c:v>1.8</c:v>
                </c:pt>
                <c:pt idx="8">
                  <c:v>2</c:v>
                </c:pt>
                <c:pt idx="9">
                  <c:v>2.2000000000000002</c:v>
                </c:pt>
                <c:pt idx="10">
                  <c:v>2.2999999999999998</c:v>
                </c:pt>
                <c:pt idx="11">
                  <c:v>2.5</c:v>
                </c:pt>
                <c:pt idx="12">
                  <c:v>2.7</c:v>
                </c:pt>
                <c:pt idx="13">
                  <c:v>3</c:v>
                </c:pt>
                <c:pt idx="14">
                  <c:v>3.4</c:v>
                </c:pt>
                <c:pt idx="15">
                  <c:v>3.9</c:v>
                </c:pt>
                <c:pt idx="16">
                  <c:v>4.5</c:v>
                </c:pt>
                <c:pt idx="17">
                  <c:v>5.0999999999999996</c:v>
                </c:pt>
                <c:pt idx="18">
                  <c:v>5.6</c:v>
                </c:pt>
                <c:pt idx="19">
                  <c:v>6.3</c:v>
                </c:pt>
                <c:pt idx="20">
                  <c:v>7</c:v>
                </c:pt>
                <c:pt idx="21">
                  <c:v>7.9</c:v>
                </c:pt>
                <c:pt idx="22">
                  <c:v>9.1</c:v>
                </c:pt>
                <c:pt idx="23">
                  <c:v>10.199999999999999</c:v>
                </c:pt>
                <c:pt idx="24">
                  <c:v>11.5</c:v>
                </c:pt>
                <c:pt idx="25">
                  <c:v>12.8</c:v>
                </c:pt>
              </c:numCache>
            </c:numRef>
          </c:val>
          <c:smooth val="0"/>
          <c:extLst>
            <c:ext xmlns:c16="http://schemas.microsoft.com/office/drawing/2014/chart" uri="{C3380CC4-5D6E-409C-BE32-E72D297353CC}">
              <c16:uniqueId val="{00000005-E8CB-47CD-BC30-F42F7B7E52FF}"/>
            </c:ext>
          </c:extLst>
        </c:ser>
        <c:ser>
          <c:idx val="3"/>
          <c:order val="3"/>
          <c:tx>
            <c:strRef>
              <c:f>wyk4_bud!$F$4</c:f>
              <c:strCache>
                <c:ptCount val="1"/>
                <c:pt idx="0">
                  <c:v>roboty budowlane specjalistyczne</c:v>
                </c:pt>
              </c:strCache>
            </c:strRef>
          </c:tx>
          <c:spPr>
            <a:ln w="38100">
              <a:solidFill>
                <a:srgbClr val="008542"/>
              </a:solidFill>
              <a:prstDash val="solid"/>
            </a:ln>
          </c:spPr>
          <c:marker>
            <c:symbol val="none"/>
          </c:marker>
          <c:dLbls>
            <c:dLbl>
              <c:idx val="25"/>
              <c:layout>
                <c:manualLayout>
                  <c:x val="4.6345780937830532E-2"/>
                  <c:y val="-1.2557341911433529E-2"/>
                </c:manualLayout>
              </c:layout>
              <c:spPr>
                <a:noFill/>
                <a:ln>
                  <a:noFill/>
                </a:ln>
                <a:effectLst/>
              </c:spPr>
              <c:txPr>
                <a:bodyPr wrap="square" lIns="38100" tIns="19050" rIns="38100" bIns="19050" anchor="ctr">
                  <a:spAutoFit/>
                </a:bodyPr>
                <a:lstStyle/>
                <a:p>
                  <a:pPr>
                    <a:defRPr sz="800"/>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CB-47CD-BC30-F42F7B7E52F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tailEnd type="triangle"/>
                    </a:ln>
                  </c:spPr>
                </c15:leaderLines>
              </c:ext>
            </c:extLst>
          </c:dLbls>
          <c:cat>
            <c:strRef>
              <c:f>wyk4_bud!$B$8:$B$33</c:f>
              <c:strCache>
                <c:ptCount val="26"/>
                <c:pt idx="0">
                  <c:v>01
2020</c:v>
                </c:pt>
                <c:pt idx="1">
                  <c:v>02</c:v>
                </c:pt>
                <c:pt idx="2">
                  <c:v>03</c:v>
                </c:pt>
                <c:pt idx="3">
                  <c:v>04</c:v>
                </c:pt>
                <c:pt idx="4">
                  <c:v>05</c:v>
                </c:pt>
                <c:pt idx="5">
                  <c:v>06</c:v>
                </c:pt>
                <c:pt idx="6">
                  <c:v>07</c:v>
                </c:pt>
                <c:pt idx="7">
                  <c:v>08</c:v>
                </c:pt>
                <c:pt idx="8">
                  <c:v>09</c:v>
                </c:pt>
                <c:pt idx="9">
                  <c:v>10</c:v>
                </c:pt>
                <c:pt idx="10">
                  <c:v>11</c:v>
                </c:pt>
                <c:pt idx="11">
                  <c:v>12</c:v>
                </c:pt>
                <c:pt idx="12">
                  <c:v>01
2021</c:v>
                </c:pt>
                <c:pt idx="13">
                  <c:v>02</c:v>
                </c:pt>
                <c:pt idx="14">
                  <c:v>03</c:v>
                </c:pt>
                <c:pt idx="15">
                  <c:v>04</c:v>
                </c:pt>
                <c:pt idx="16">
                  <c:v>05</c:v>
                </c:pt>
                <c:pt idx="17">
                  <c:v>06</c:v>
                </c:pt>
                <c:pt idx="18">
                  <c:v>07</c:v>
                </c:pt>
                <c:pt idx="19">
                  <c:v>08</c:v>
                </c:pt>
                <c:pt idx="20">
                  <c:v>09</c:v>
                </c:pt>
                <c:pt idx="21">
                  <c:v>10</c:v>
                </c:pt>
                <c:pt idx="22">
                  <c:v>11</c:v>
                </c:pt>
                <c:pt idx="23">
                  <c:v>12</c:v>
                </c:pt>
                <c:pt idx="24">
                  <c:v>01
2022</c:v>
                </c:pt>
                <c:pt idx="25">
                  <c:v>02</c:v>
                </c:pt>
              </c:strCache>
            </c:strRef>
          </c:cat>
          <c:val>
            <c:numRef>
              <c:f>wyk4_bud!$F$8:$F$33</c:f>
              <c:numCache>
                <c:formatCode>0.0</c:formatCode>
                <c:ptCount val="26"/>
                <c:pt idx="0">
                  <c:v>0.3</c:v>
                </c:pt>
                <c:pt idx="1">
                  <c:v>0.5</c:v>
                </c:pt>
                <c:pt idx="2">
                  <c:v>0.7</c:v>
                </c:pt>
                <c:pt idx="3">
                  <c:v>0.8</c:v>
                </c:pt>
                <c:pt idx="4">
                  <c:v>0.9</c:v>
                </c:pt>
                <c:pt idx="5">
                  <c:v>1</c:v>
                </c:pt>
                <c:pt idx="6">
                  <c:v>1.2</c:v>
                </c:pt>
                <c:pt idx="7">
                  <c:v>1.4</c:v>
                </c:pt>
                <c:pt idx="8">
                  <c:v>1.6</c:v>
                </c:pt>
                <c:pt idx="9">
                  <c:v>1.8</c:v>
                </c:pt>
                <c:pt idx="10">
                  <c:v>2</c:v>
                </c:pt>
                <c:pt idx="11">
                  <c:v>2.2000000000000002</c:v>
                </c:pt>
                <c:pt idx="12">
                  <c:v>2.4</c:v>
                </c:pt>
                <c:pt idx="13">
                  <c:v>2.5</c:v>
                </c:pt>
                <c:pt idx="14">
                  <c:v>2.7</c:v>
                </c:pt>
                <c:pt idx="15">
                  <c:v>3.1</c:v>
                </c:pt>
                <c:pt idx="16">
                  <c:v>3.5</c:v>
                </c:pt>
                <c:pt idx="17">
                  <c:v>3.9</c:v>
                </c:pt>
                <c:pt idx="18">
                  <c:v>4.5</c:v>
                </c:pt>
                <c:pt idx="19">
                  <c:v>5.0999999999999996</c:v>
                </c:pt>
                <c:pt idx="20">
                  <c:v>5.8</c:v>
                </c:pt>
                <c:pt idx="21">
                  <c:v>6.8</c:v>
                </c:pt>
                <c:pt idx="22">
                  <c:v>7.9</c:v>
                </c:pt>
                <c:pt idx="23">
                  <c:v>8.8000000000000007</c:v>
                </c:pt>
                <c:pt idx="24">
                  <c:v>10</c:v>
                </c:pt>
                <c:pt idx="25">
                  <c:v>11.2</c:v>
                </c:pt>
              </c:numCache>
            </c:numRef>
          </c:val>
          <c:smooth val="0"/>
          <c:extLst>
            <c:ext xmlns:c16="http://schemas.microsoft.com/office/drawing/2014/chart" uri="{C3380CC4-5D6E-409C-BE32-E72D297353CC}">
              <c16:uniqueId val="{00000007-E8CB-47CD-BC30-F42F7B7E52FF}"/>
            </c:ext>
          </c:extLst>
        </c:ser>
        <c:dLbls>
          <c:showLegendKey val="0"/>
          <c:showVal val="0"/>
          <c:showCatName val="0"/>
          <c:showSerName val="0"/>
          <c:showPercent val="0"/>
          <c:showBubbleSize val="0"/>
        </c:dLbls>
        <c:marker val="1"/>
        <c:smooth val="0"/>
        <c:axId val="474813720"/>
        <c:axId val="474815288"/>
      </c:lineChart>
      <c:catAx>
        <c:axId val="474813720"/>
        <c:scaling>
          <c:orientation val="minMax"/>
        </c:scaling>
        <c:delete val="0"/>
        <c:axPos val="b"/>
        <c:numFmt formatCode="General" sourceLinked="1"/>
        <c:majorTickMark val="in"/>
        <c:minorTickMark val="in"/>
        <c:tickLblPos val="low"/>
        <c:spPr>
          <a:solidFill>
            <a:srgbClr val="FFFFFF"/>
          </a:solidFill>
          <a:ln w="3175">
            <a:solidFill>
              <a:srgbClr val="000000">
                <a:alpha val="88000"/>
              </a:srgbClr>
            </a:solidFill>
            <a:prstDash val="solid"/>
          </a:ln>
        </c:spPr>
        <c:txPr>
          <a:bodyPr rot="0" vert="horz"/>
          <a:lstStyle/>
          <a:p>
            <a:pPr>
              <a:defRPr sz="800" b="0" i="0" u="none" strike="noStrike" baseline="0">
                <a:solidFill>
                  <a:srgbClr val="000000"/>
                </a:solidFill>
                <a:latin typeface="Fira Sans"/>
                <a:ea typeface="Fira Sans"/>
                <a:cs typeface="Fira Sans"/>
              </a:defRPr>
            </a:pPr>
            <a:endParaRPr lang="pl-PL"/>
          </a:p>
        </c:txPr>
        <c:crossAx val="474815288"/>
        <c:crossesAt val="0"/>
        <c:auto val="1"/>
        <c:lblAlgn val="ctr"/>
        <c:lblOffset val="100"/>
        <c:tickLblSkip val="1"/>
        <c:tickMarkSkip val="1"/>
        <c:noMultiLvlLbl val="0"/>
      </c:catAx>
      <c:valAx>
        <c:axId val="474815288"/>
        <c:scaling>
          <c:orientation val="minMax"/>
        </c:scaling>
        <c:delete val="0"/>
        <c:axPos val="l"/>
        <c:majorGridlines>
          <c:spPr>
            <a:ln w="3175">
              <a:solidFill>
                <a:srgbClr val="000000"/>
              </a:solidFill>
              <a:prstDash val="sysDash"/>
            </a:ln>
          </c:spPr>
        </c:majorGridlines>
        <c:numFmt formatCode="0.0" sourceLinked="0"/>
        <c:majorTickMark val="out"/>
        <c:minorTickMark val="none"/>
        <c:tickLblPos val="low"/>
        <c:spPr>
          <a:ln w="9525">
            <a:solidFill>
              <a:schemeClr val="tx1"/>
            </a:solidFill>
          </a:ln>
        </c:spPr>
        <c:txPr>
          <a:bodyPr rot="0" vert="horz"/>
          <a:lstStyle/>
          <a:p>
            <a:pPr>
              <a:defRPr sz="800" b="0" i="0" u="none" strike="noStrike" baseline="0">
                <a:solidFill>
                  <a:srgbClr val="000000"/>
                </a:solidFill>
                <a:latin typeface="Fira Sans"/>
                <a:ea typeface="Fira Sans"/>
                <a:cs typeface="Fira Sans"/>
              </a:defRPr>
            </a:pPr>
            <a:endParaRPr lang="pl-PL"/>
          </a:p>
        </c:txPr>
        <c:crossAx val="474813720"/>
        <c:crossesAt val="1"/>
        <c:crossBetween val="between"/>
      </c:valAx>
      <c:spPr>
        <a:noFill/>
        <a:ln w="25400">
          <a:noFill/>
        </a:ln>
      </c:spPr>
    </c:plotArea>
    <c:legend>
      <c:legendPos val="b"/>
      <c:layout>
        <c:manualLayout>
          <c:xMode val="edge"/>
          <c:yMode val="edge"/>
          <c:x val="6.6858672867233876E-2"/>
          <c:y val="0.74847804843108068"/>
          <c:w val="0.92403800196116437"/>
          <c:h val="0.12723529441860704"/>
        </c:manualLayout>
      </c:layout>
      <c:overlay val="0"/>
      <c:spPr>
        <a:solidFill>
          <a:srgbClr val="FFFFFF"/>
        </a:solidFill>
        <a:ln w="25400">
          <a:noFill/>
        </a:ln>
      </c:spPr>
      <c:txPr>
        <a:bodyPr/>
        <a:lstStyle/>
        <a:p>
          <a:pPr>
            <a:defRPr sz="920" b="0" i="0" u="none" strike="noStrike" baseline="0">
              <a:solidFill>
                <a:srgbClr val="000000"/>
              </a:solidFill>
              <a:latin typeface="Fira Sans"/>
              <a:ea typeface="Fira Sans"/>
              <a:cs typeface="Fira Sans"/>
            </a:defRPr>
          </a:pPr>
          <a:endParaRPr lang="pl-PL"/>
        </a:p>
      </c:txPr>
    </c:legend>
    <c:plotVisOnly val="0"/>
    <c:dispBlanksAs val="gap"/>
    <c:showDLblsOverMax val="0"/>
  </c:chart>
  <c:spPr>
    <a:solidFill>
      <a:srgbClr val="FFFFFF"/>
    </a:solidFill>
    <a:ln w="9525">
      <a:noFill/>
    </a:ln>
  </c:spPr>
  <c:txPr>
    <a:bodyPr/>
    <a:lstStyle/>
    <a:p>
      <a:pPr>
        <a:defRPr sz="1000" b="0" i="0" u="none" strike="noStrike" baseline="0">
          <a:solidFill>
            <a:srgbClr val="000000"/>
          </a:solidFill>
          <a:latin typeface="Fira Sans"/>
          <a:ea typeface="Fira Sans"/>
          <a:cs typeface="Fira Sans"/>
        </a:defRPr>
      </a:pPr>
      <a:endParaRPr lang="pl-PL"/>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0.08451</cdr:x>
      <cdr:y>0.07392</cdr:y>
    </cdr:from>
    <cdr:to>
      <cdr:x>0.10689</cdr:x>
      <cdr:y>0.12627</cdr:y>
    </cdr:to>
    <cdr:sp macro="" textlink="">
      <cdr:nvSpPr>
        <cdr:cNvPr id="5121" name="Tekst 1"/>
        <cdr:cNvSpPr txBox="1">
          <a:spLocks xmlns:a="http://schemas.openxmlformats.org/drawingml/2006/main" noChangeArrowheads="1"/>
        </cdr:cNvSpPr>
      </cdr:nvSpPr>
      <cdr:spPr bwMode="auto">
        <a:xfrm xmlns:a="http://schemas.openxmlformats.org/drawingml/2006/main">
          <a:off x="753306" y="369887"/>
          <a:ext cx="199491" cy="261937"/>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0">
            <a:defRPr sz="1000"/>
          </a:pPr>
          <a:endParaRPr lang="pl-PL" sz="900" b="0" i="0" strike="noStrike">
            <a:solidFill>
              <a:srgbClr val="000000"/>
            </a:solidFill>
            <a:latin typeface="Arial CE"/>
          </a:endParaRPr>
        </a:p>
      </cdr:txBody>
    </cdr:sp>
  </cdr:relSizeAnchor>
  <cdr:relSizeAnchor xmlns:cdr="http://schemas.openxmlformats.org/drawingml/2006/chartDrawing">
    <cdr:from>
      <cdr:x>0.88313</cdr:x>
      <cdr:y>0.66436</cdr:y>
    </cdr:from>
    <cdr:to>
      <cdr:x>0.99025</cdr:x>
      <cdr:y>0.72606</cdr:y>
    </cdr:to>
    <cdr:sp macro="" textlink="">
      <cdr:nvSpPr>
        <cdr:cNvPr id="54275" name="Tekst 3"/>
        <cdr:cNvSpPr txBox="1">
          <a:spLocks xmlns:a="http://schemas.openxmlformats.org/drawingml/2006/main" noChangeArrowheads="1"/>
        </cdr:cNvSpPr>
      </cdr:nvSpPr>
      <cdr:spPr bwMode="auto">
        <a:xfrm xmlns:a="http://schemas.openxmlformats.org/drawingml/2006/main">
          <a:off x="4318450" y="2573956"/>
          <a:ext cx="523425" cy="240120"/>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pl-PL" sz="800" b="0" i="0" u="none" strike="noStrike" baseline="0">
            <a:solidFill>
              <a:srgbClr val="000000"/>
            </a:solidFill>
            <a:latin typeface="Arial CE"/>
            <a:cs typeface="Arial CE"/>
          </a:endParaRPr>
        </a:p>
      </cdr:txBody>
    </cdr:sp>
  </cdr:relSizeAnchor>
  <cdr:relSizeAnchor xmlns:cdr="http://schemas.openxmlformats.org/drawingml/2006/chartDrawing">
    <cdr:from>
      <cdr:x>0.06132</cdr:x>
      <cdr:y>0.07329</cdr:y>
    </cdr:from>
    <cdr:to>
      <cdr:x>0.09783</cdr:x>
      <cdr:y>0.12164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33955" y="435252"/>
          <a:ext cx="198801" cy="287158"/>
        </a:xfrm>
        <a:prstGeom xmlns:a="http://schemas.openxmlformats.org/drawingml/2006/main" prst="rect">
          <a:avLst/>
        </a:prstGeom>
      </cdr:spPr>
    </cdr:pic>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Wzór sygnalna_GUS.docx.docx</NazwaPliku>
    <_SourceUrl xmlns="http://schemas.microsoft.com/sharepoint/v3" xsi:nil="true"/>
    <Odbiorcy2 xmlns="8C029B3F-2CC4-4A59-AF0D-A90575FA3373" xsi:nil="true"/>
    <xd_ProgID xmlns="http://schemas.microsoft.com/sharepoint/v3" xsi:nil="true"/>
    <Osoba xmlns="8C029B3F-2CC4-4A59-AF0D-A90575FA3373">STAT\BOLESLAWSKAE</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2B634-1102-40FC-A770-996E2E719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3.xml><?xml version="1.0" encoding="utf-8"?>
<ds:datastoreItem xmlns:ds="http://schemas.openxmlformats.org/officeDocument/2006/customXml" ds:itemID="{6089C976-6571-4FB2-A733-FD4A5F7F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488</Words>
  <Characters>2934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Główny Urząd Statystyczny</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Wskaźniki cen produkcji budowlano-montażowej w lutym 2022 r.</dc:title>
  <dc:subject>Wskaźniki cen produkcji budowlano-montażowej</dc:subject>
  <dc:creator>Główny Urząd Statystyczny</dc:creator>
  <cp:keywords>Wskaźniki cen</cp:keywords>
  <dc:description/>
  <cp:lastPrinted>2019-02-21T09:45:00Z</cp:lastPrinted>
  <dcterms:created xsi:type="dcterms:W3CDTF">2022-03-18T07:22:00Z</dcterms:created>
  <dcterms:modified xsi:type="dcterms:W3CDTF">2022-03-18T07:22:00Z</dcterms:modified>
  <cp:category>Wskaźniki cen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