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1EEBD73F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0B0ED1B0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00B4EE62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32F446C3">
                <wp:simplePos x="0" y="0"/>
                <wp:positionH relativeFrom="margin">
                  <wp:posOffset>44450</wp:posOffset>
                </wp:positionH>
                <wp:positionV relativeFrom="paragraph">
                  <wp:posOffset>685800</wp:posOffset>
                </wp:positionV>
                <wp:extent cx="2178050" cy="1346200"/>
                <wp:effectExtent l="0" t="0" r="0" b="6350"/>
                <wp:wrapSquare wrapText="bothSides"/>
                <wp:docPr id="9" name="Pole tekstowe 2" descr="6,8%&#10;Wzrost produkcji sprzedanej przemysłu w porównaniu z październik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462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3D299E36" w:rsidR="007E6C46" w:rsidRPr="003F5DF9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CA4FE1">
                              <w:rPr>
                                <w:rStyle w:val="WartowskanikaZnak"/>
                              </w:rPr>
                              <w:t>6,8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77777777" w:rsidR="00E638CE" w:rsidRDefault="007E6C4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3BF7258D" w:rsidR="007E6C46" w:rsidRPr="009546F0" w:rsidRDefault="007E6C46" w:rsidP="00E638CE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540E47">
                              <w:rPr>
                                <w:sz w:val="20"/>
                              </w:rPr>
                              <w:t> </w:t>
                            </w:r>
                            <w:r w:rsidR="00CA4FE1">
                              <w:rPr>
                                <w:sz w:val="20"/>
                              </w:rPr>
                              <w:t>październikiem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08CFDB" id="Pole tekstowe 2" o:spid="_x0000_s1026" alt="6,8%&#10;Wzrost produkcji sprzedanej przemysłu w porównaniu z październikiem ub. roku" style="position:absolute;margin-left:3.5pt;margin-top:54pt;width:171.5pt;height:106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" fillcolor="#001d77" stroked="f">
                <v:stroke joinstyle="miter"/>
                <v:textbox>
                  <w:txbxContent>
                    <w:p w14:paraId="21A599A1" w14:textId="3D299E36" w:rsidR="007E6C46" w:rsidRPr="003F5DF9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CA4FE1">
                        <w:rPr>
                          <w:rStyle w:val="WartowskanikaZnak"/>
                        </w:rPr>
                        <w:t>6,8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77777777" w:rsidR="00E638CE" w:rsidRDefault="007E6C4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3BF7258D" w:rsidR="007E6C46" w:rsidRPr="009546F0" w:rsidRDefault="007E6C46" w:rsidP="00E638CE">
                      <w:pPr>
                        <w:spacing w:before="0" w:after="0"/>
                        <w:rPr>
                          <w:sz w:val="20"/>
                        </w:rPr>
                      </w:pPr>
                      <w:r w:rsidRPr="00364866">
                        <w:rPr>
                          <w:sz w:val="20"/>
                        </w:rPr>
                        <w:t>z</w:t>
                      </w:r>
                      <w:r w:rsidR="00540E47">
                        <w:rPr>
                          <w:sz w:val="20"/>
                        </w:rPr>
                        <w:t> </w:t>
                      </w:r>
                      <w:r w:rsidR="00CA4FE1">
                        <w:rPr>
                          <w:sz w:val="20"/>
                        </w:rPr>
                        <w:t>październikiem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październiku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4633FE8" w14:textId="4BDE8BB4" w:rsidR="00CA4FE1" w:rsidRDefault="00CA4FE1" w:rsidP="00CA4FE1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 październiku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wyższa o 6,8% w porównaniu z</w:t>
      </w:r>
      <w:r w:rsidR="003F5DF9">
        <w:rPr>
          <w:b/>
          <w:noProof/>
          <w:szCs w:val="19"/>
          <w:lang w:eastAsia="pl-PL"/>
        </w:rPr>
        <w:t> </w:t>
      </w:r>
      <w:r>
        <w:rPr>
          <w:b/>
          <w:noProof/>
          <w:szCs w:val="19"/>
          <w:lang w:eastAsia="pl-PL"/>
        </w:rPr>
        <w:t>październikiem ub. roku, kiedy notowano wzrost o 7,6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</w:t>
      </w:r>
      <w:r w:rsidR="00DE10E5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z wrześniem br. spadła o 0,7%. W okresie styczeń – październik br.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11,6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>ższa w porównaniu z </w:t>
      </w:r>
      <w:r>
        <w:rPr>
          <w:b/>
          <w:noProof/>
          <w:szCs w:val="19"/>
          <w:lang w:eastAsia="pl-PL"/>
        </w:rPr>
        <w:t>2021 rokiem, kiedy notowano wzrost o 14,8</w:t>
      </w:r>
      <w:r w:rsidRPr="003627E7">
        <w:rPr>
          <w:b/>
          <w:noProof/>
          <w:szCs w:val="19"/>
          <w:lang w:eastAsia="pl-PL"/>
        </w:rPr>
        <w:t>%</w:t>
      </w:r>
      <w:r w:rsidRPr="00944394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poprzedniego</w:t>
      </w:r>
      <w:r w:rsidRPr="00593310"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roku</w:t>
      </w:r>
      <w:r>
        <w:rPr>
          <w:b/>
          <w:noProof/>
          <w:szCs w:val="19"/>
          <w:lang w:eastAsia="pl-PL"/>
        </w:rPr>
        <w:t xml:space="preserve">. </w:t>
      </w:r>
    </w:p>
    <w:p w14:paraId="589CEBA5" w14:textId="3ED5166D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7F697B4F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październiku br. wyniósł 7,5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11B97F50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1909D4">
                              <w:t xml:space="preserve"> październiku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1909D4">
                              <w:t>7,5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październiku br. wyniósł 7,5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" filled="f" stroked="f">
                <v:textbox>
                  <w:txbxContent>
                    <w:p w14:paraId="57A40503" w14:textId="11B97F50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1909D4">
                        <w:t xml:space="preserve"> październiku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1909D4">
                        <w:t>7,5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1358FD68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 xml:space="preserve">arakterze sezonowym, </w:t>
      </w:r>
      <w:r w:rsidR="001909D4">
        <w:rPr>
          <w:noProof/>
          <w:szCs w:val="19"/>
          <w:lang w:eastAsia="pl-PL"/>
        </w:rPr>
        <w:t>w październiku</w:t>
      </w:r>
      <w:r w:rsidR="00D65596" w:rsidRPr="00604B58">
        <w:rPr>
          <w:noProof/>
          <w:szCs w:val="19"/>
          <w:lang w:eastAsia="pl-PL"/>
        </w:rPr>
        <w:t xml:space="preserve"> </w:t>
      </w:r>
      <w:r w:rsidR="00066036" w:rsidRPr="00604B58">
        <w:rPr>
          <w:noProof/>
          <w:szCs w:val="19"/>
          <w:lang w:eastAsia="pl-PL"/>
        </w:rPr>
        <w:t>b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1909D4">
        <w:rPr>
          <w:noProof/>
          <w:szCs w:val="19"/>
          <w:lang w:eastAsia="pl-PL"/>
        </w:rPr>
        <w:t>7,5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4E1062" w:rsidRPr="00604B58">
        <w:rPr>
          <w:noProof/>
          <w:szCs w:val="19"/>
          <w:lang w:eastAsia="pl-PL"/>
        </w:rPr>
        <w:t>ub.</w:t>
      </w:r>
      <w:r w:rsidR="000A2E83" w:rsidRPr="00604B58">
        <w:rPr>
          <w:noProof/>
          <w:szCs w:val="19"/>
          <w:lang w:eastAsia="pl-PL"/>
        </w:rPr>
        <w:t xml:space="preserve"> r</w:t>
      </w:r>
      <w:r w:rsidR="004E1062" w:rsidRPr="00604B58">
        <w:rPr>
          <w:noProof/>
          <w:szCs w:val="19"/>
          <w:lang w:eastAsia="pl-PL"/>
        </w:rPr>
        <w:t>oku</w:t>
      </w:r>
      <w:r w:rsidRPr="00604B58">
        <w:rPr>
          <w:noProof/>
          <w:szCs w:val="19"/>
          <w:lang w:eastAsia="pl-PL"/>
        </w:rPr>
        <w:t xml:space="preserve"> i o </w:t>
      </w:r>
      <w:r w:rsidR="00BC2B12">
        <w:rPr>
          <w:noProof/>
          <w:szCs w:val="19"/>
          <w:lang w:eastAsia="pl-PL"/>
        </w:rPr>
        <w:t>0,</w:t>
      </w:r>
      <w:r w:rsidR="00B36B91">
        <w:rPr>
          <w:noProof/>
          <w:szCs w:val="19"/>
          <w:lang w:eastAsia="pl-PL"/>
        </w:rPr>
        <w:t>3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1909D4">
        <w:rPr>
          <w:noProof/>
          <w:szCs w:val="19"/>
          <w:lang w:eastAsia="pl-PL"/>
        </w:rPr>
        <w:t>ni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1909D4">
        <w:rPr>
          <w:noProof/>
          <w:szCs w:val="19"/>
          <w:lang w:eastAsia="pl-PL"/>
        </w:rPr>
        <w:t>wrześniem</w:t>
      </w:r>
      <w:r w:rsidR="008660A2" w:rsidRPr="00604B58">
        <w:rPr>
          <w:noProof/>
          <w:szCs w:val="19"/>
          <w:lang w:eastAsia="pl-PL"/>
        </w:rPr>
        <w:t xml:space="preserve"> br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669647B1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4AAFF29D" w:rsidR="003627E7" w:rsidRDefault="001909D4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29600" behindDoc="0" locked="0" layoutInCell="1" allowOverlap="1" wp14:anchorId="3AB2DEF3" wp14:editId="1187D27B">
            <wp:simplePos x="0" y="0"/>
            <wp:positionH relativeFrom="column">
              <wp:posOffset>-95250</wp:posOffset>
            </wp:positionH>
            <wp:positionV relativeFrom="paragraph">
              <wp:posOffset>184150</wp:posOffset>
            </wp:positionV>
            <wp:extent cx="5279390" cy="3023870"/>
            <wp:effectExtent l="0" t="0" r="0" b="5080"/>
            <wp:wrapSquare wrapText="bothSides"/>
            <wp:docPr id="3" name="Obraz 3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627557A3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144C36C9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7C74CF77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1909D4">
        <w:rPr>
          <w:rFonts w:eastAsia="Calibri" w:cs="Times New Roman"/>
        </w:rPr>
        <w:t xml:space="preserve"> październiku</w:t>
      </w:r>
      <w:r w:rsidR="00540E47" w:rsidRPr="00581B09">
        <w:rPr>
          <w:rFonts w:eastAsia="Calibri" w:cs="Times New Roman"/>
        </w:rPr>
        <w:t xml:space="preserve"> br. odnotowano wzrost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8D43B7" w:rsidRPr="008D43B7">
        <w:rPr>
          <w:rFonts w:eastAsia="Calibri" w:cs="Times New Roman"/>
        </w:rPr>
        <w:t xml:space="preserve">dóbr inwestycyjnych </w:t>
      </w:r>
      <w:r w:rsidR="001909D4">
        <w:rPr>
          <w:rFonts w:eastAsia="Calibri" w:cs="Times New Roman"/>
        </w:rPr>
        <w:t xml:space="preserve">– </w:t>
      </w:r>
      <w:r w:rsidR="008D43B7" w:rsidRPr="008D43B7">
        <w:rPr>
          <w:rFonts w:eastAsia="Calibri" w:cs="Times New Roman"/>
        </w:rPr>
        <w:t>o </w:t>
      </w:r>
      <w:r w:rsidR="005E15BC">
        <w:rPr>
          <w:rFonts w:eastAsia="Calibri" w:cs="Times New Roman"/>
        </w:rPr>
        <w:t>2</w:t>
      </w:r>
      <w:r w:rsidR="001909D4">
        <w:rPr>
          <w:rFonts w:eastAsia="Calibri" w:cs="Times New Roman"/>
        </w:rPr>
        <w:t>6,4</w:t>
      </w:r>
      <w:r w:rsidR="008D43B7" w:rsidRPr="008D43B7">
        <w:rPr>
          <w:rFonts w:eastAsia="Calibri" w:cs="Times New Roman"/>
        </w:rPr>
        <w:t>%</w:t>
      </w:r>
      <w:r w:rsidR="008D43B7">
        <w:rPr>
          <w:rFonts w:eastAsia="Calibri" w:cs="Times New Roman"/>
        </w:rPr>
        <w:t>,</w:t>
      </w:r>
      <w:r w:rsidR="00540E47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 xml:space="preserve">dóbr konsumpcyjnych nietrwałych – o </w:t>
      </w:r>
      <w:r w:rsidR="001909D4">
        <w:rPr>
          <w:rFonts w:eastAsia="Calibri" w:cs="Times New Roman"/>
        </w:rPr>
        <w:t>8,7</w:t>
      </w:r>
      <w:r w:rsidR="003019CA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 xml:space="preserve"> oraz</w:t>
      </w:r>
      <w:r w:rsidR="003019CA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>dóbr zaopatrzeniowych – o </w:t>
      </w:r>
      <w:r w:rsidR="001909D4">
        <w:rPr>
          <w:rFonts w:eastAsia="Calibri" w:cs="Times New Roman"/>
        </w:rPr>
        <w:t>5,6</w:t>
      </w:r>
      <w:r w:rsidR="003019CA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>.</w:t>
      </w:r>
      <w:r w:rsidR="003019CA" w:rsidRPr="008D43B7">
        <w:rPr>
          <w:rFonts w:eastAsia="Calibri" w:cs="Times New Roman"/>
        </w:rPr>
        <w:t xml:space="preserve"> </w:t>
      </w:r>
      <w:r w:rsidR="00540E47">
        <w:rPr>
          <w:rFonts w:eastAsia="Calibri" w:cs="Times New Roman"/>
        </w:rPr>
        <w:t>Z</w:t>
      </w:r>
      <w:r w:rsidR="00540E47" w:rsidRPr="00BB1DF9">
        <w:rPr>
          <w:rFonts w:eastAsia="Calibri" w:cs="Times New Roman"/>
        </w:rPr>
        <w:t xml:space="preserve">mniejszyła się </w:t>
      </w:r>
      <w:r w:rsidR="00540E47"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1909D4" w:rsidRPr="008D43B7">
        <w:rPr>
          <w:rFonts w:eastAsia="Calibri" w:cs="Times New Roman"/>
        </w:rPr>
        <w:t>dóbr związanych z energią – o </w:t>
      </w:r>
      <w:r w:rsidR="001909D4">
        <w:rPr>
          <w:rFonts w:eastAsia="Calibri" w:cs="Times New Roman"/>
        </w:rPr>
        <w:t>10,8%</w:t>
      </w:r>
      <w:r w:rsidR="00A855F0">
        <w:rPr>
          <w:rFonts w:eastAsia="Calibri" w:cs="Times New Roman"/>
        </w:rPr>
        <w:t xml:space="preserve"> oraz</w:t>
      </w:r>
      <w:r w:rsidR="001909D4" w:rsidRPr="008D43B7">
        <w:rPr>
          <w:rFonts w:eastAsia="Calibri" w:cs="Times New Roman"/>
        </w:rPr>
        <w:t xml:space="preserve"> </w:t>
      </w:r>
      <w:r w:rsidR="008471C0" w:rsidRPr="008D43B7">
        <w:rPr>
          <w:rFonts w:eastAsia="Calibri" w:cs="Times New Roman"/>
        </w:rPr>
        <w:t>dóbr konsumpcyjnych trwałych – o </w:t>
      </w:r>
      <w:r w:rsidR="001909D4">
        <w:rPr>
          <w:rFonts w:eastAsia="Calibri" w:cs="Times New Roman"/>
        </w:rPr>
        <w:t>6,6</w:t>
      </w:r>
      <w:r w:rsidR="008471C0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>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5985A81D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5B817BBF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6A1543E3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476528"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05AE3FEF" w:rsidR="00D43F15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4CFB8B9D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476528"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</w:tcPr>
          <w:p w14:paraId="7DDD7BA6" w14:textId="1B75C2BD" w:rsidR="00D43F15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75A80227" w14:textId="3A226CA3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 w:rsidR="00476528">
              <w:rPr>
                <w:noProof/>
                <w:sz w:val="16"/>
                <w:szCs w:val="16"/>
                <w:lang w:eastAsia="pl-PL"/>
              </w:rPr>
              <w:t>10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1F404BCA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476528"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</w:tcPr>
          <w:p w14:paraId="012D8BE1" w14:textId="0FDAABD7" w:rsidR="00D43F15" w:rsidRPr="003627E7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304C3E30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847F70D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</w:t>
            </w:r>
            <w:r w:rsidR="00A855F0"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5E463E69" w:rsidR="006244BE" w:rsidRDefault="00CA4FE1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12D48882" w:rsidR="00125EF3" w:rsidRDefault="00CA4FE1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3B162FBA" w:rsidR="006244BE" w:rsidRDefault="00CA4FE1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33054E24" w:rsidR="006244BE" w:rsidRDefault="00CA4FE1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3006CEA3" w:rsidR="006244BE" w:rsidRDefault="00CA4FE1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77707904" w:rsidR="006244BE" w:rsidRDefault="001909D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156,1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1E7C543E" w:rsidR="006244BE" w:rsidRPr="003627E7" w:rsidRDefault="001909D4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155,0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59A74372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100,3*</w:t>
            </w:r>
          </w:p>
        </w:tc>
        <w:tc>
          <w:tcPr>
            <w:tcW w:w="794" w:type="dxa"/>
          </w:tcPr>
          <w:p w14:paraId="028C921A" w14:textId="17FC0896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97,0</w:t>
            </w:r>
          </w:p>
        </w:tc>
        <w:tc>
          <w:tcPr>
            <w:tcW w:w="794" w:type="dxa"/>
          </w:tcPr>
          <w:p w14:paraId="7EB6EE1E" w14:textId="328C6E3E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108,6*</w:t>
            </w:r>
          </w:p>
        </w:tc>
        <w:tc>
          <w:tcPr>
            <w:tcW w:w="794" w:type="dxa"/>
          </w:tcPr>
          <w:p w14:paraId="06BE630B" w14:textId="62DDAC94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104,6</w:t>
            </w:r>
          </w:p>
        </w:tc>
        <w:tc>
          <w:tcPr>
            <w:tcW w:w="794" w:type="dxa"/>
          </w:tcPr>
          <w:p w14:paraId="71AAC756" w14:textId="0CEC6AD4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118,0</w:t>
            </w:r>
          </w:p>
        </w:tc>
        <w:tc>
          <w:tcPr>
            <w:tcW w:w="794" w:type="dxa"/>
          </w:tcPr>
          <w:p w14:paraId="7DA42923" w14:textId="52D59522" w:rsidR="006244BE" w:rsidRDefault="001909D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98,3*</w:t>
            </w:r>
          </w:p>
        </w:tc>
        <w:tc>
          <w:tcPr>
            <w:tcW w:w="794" w:type="dxa"/>
            <w:vAlign w:val="center"/>
          </w:tcPr>
          <w:p w14:paraId="05323528" w14:textId="7D84286F" w:rsidR="006244BE" w:rsidRPr="003627E7" w:rsidRDefault="001909D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95,4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1B65E207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</w:t>
            </w:r>
          </w:p>
        </w:tc>
        <w:tc>
          <w:tcPr>
            <w:tcW w:w="794" w:type="dxa"/>
          </w:tcPr>
          <w:p w14:paraId="1DFB5D62" w14:textId="74F7938B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</w:tcPr>
          <w:p w14:paraId="26381CA5" w14:textId="44A44F5F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  <w:tc>
          <w:tcPr>
            <w:tcW w:w="794" w:type="dxa"/>
          </w:tcPr>
          <w:p w14:paraId="4A658960" w14:textId="7D59461D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109,3</w:t>
            </w:r>
          </w:p>
        </w:tc>
        <w:tc>
          <w:tcPr>
            <w:tcW w:w="794" w:type="dxa"/>
          </w:tcPr>
          <w:p w14:paraId="161F1546" w14:textId="39FBF33C" w:rsidR="006244BE" w:rsidRDefault="00CA4FE1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111,5</w:t>
            </w:r>
          </w:p>
        </w:tc>
        <w:tc>
          <w:tcPr>
            <w:tcW w:w="794" w:type="dxa"/>
          </w:tcPr>
          <w:p w14:paraId="140B6D42" w14:textId="6E1E8FAA" w:rsidR="006244BE" w:rsidRDefault="001909D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163,1*</w:t>
            </w:r>
          </w:p>
        </w:tc>
        <w:tc>
          <w:tcPr>
            <w:tcW w:w="794" w:type="dxa"/>
            <w:vAlign w:val="center"/>
          </w:tcPr>
          <w:p w14:paraId="0FBDB83E" w14:textId="7C2567CB" w:rsidR="006244BE" w:rsidRPr="003627E7" w:rsidRDefault="001909D4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160,4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7FA18A45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46E5D0" w14:textId="77777777" w:rsidR="007A6459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98,0*</w:t>
            </w:r>
          </w:p>
          <w:p w14:paraId="14AE607F" w14:textId="73428721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30356BCD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351CE2CC" w:rsidR="007A6459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117,3</w:t>
            </w:r>
          </w:p>
        </w:tc>
        <w:tc>
          <w:tcPr>
            <w:tcW w:w="794" w:type="dxa"/>
          </w:tcPr>
          <w:p w14:paraId="28E87BD5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1E11B8BA" w:rsidR="007A6459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96,8*</w:t>
            </w:r>
          </w:p>
        </w:tc>
        <w:tc>
          <w:tcPr>
            <w:tcW w:w="794" w:type="dxa"/>
          </w:tcPr>
          <w:p w14:paraId="13403BE8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57C60F11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83,8</w:t>
            </w:r>
          </w:p>
        </w:tc>
        <w:tc>
          <w:tcPr>
            <w:tcW w:w="794" w:type="dxa"/>
          </w:tcPr>
          <w:p w14:paraId="045CDA3B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17670692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112,8</w:t>
            </w:r>
          </w:p>
        </w:tc>
        <w:tc>
          <w:tcPr>
            <w:tcW w:w="794" w:type="dxa"/>
          </w:tcPr>
          <w:p w14:paraId="2DC46EAA" w14:textId="77777777" w:rsidR="001909D4" w:rsidRDefault="001909D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72F14A83" w:rsidR="005E15BC" w:rsidRDefault="001909D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108,3*</w:t>
            </w:r>
          </w:p>
        </w:tc>
        <w:tc>
          <w:tcPr>
            <w:tcW w:w="794" w:type="dxa"/>
            <w:vAlign w:val="center"/>
          </w:tcPr>
          <w:p w14:paraId="2ACF0203" w14:textId="69DCF3FD" w:rsidR="006244BE" w:rsidRPr="003627E7" w:rsidRDefault="001909D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127,0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73F5755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052D9418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98,6*</w:t>
            </w:r>
          </w:p>
        </w:tc>
        <w:tc>
          <w:tcPr>
            <w:tcW w:w="794" w:type="dxa"/>
          </w:tcPr>
          <w:p w14:paraId="0D0DC3D4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4DD79725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97,0</w:t>
            </w:r>
          </w:p>
        </w:tc>
        <w:tc>
          <w:tcPr>
            <w:tcW w:w="794" w:type="dxa"/>
          </w:tcPr>
          <w:p w14:paraId="251103FA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532AFD91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102,6*</w:t>
            </w:r>
          </w:p>
        </w:tc>
        <w:tc>
          <w:tcPr>
            <w:tcW w:w="794" w:type="dxa"/>
          </w:tcPr>
          <w:p w14:paraId="0E3016B0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6E1644E9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</w:t>
            </w:r>
          </w:p>
        </w:tc>
        <w:tc>
          <w:tcPr>
            <w:tcW w:w="794" w:type="dxa"/>
          </w:tcPr>
          <w:p w14:paraId="05724BAB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09CC36DE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107,0</w:t>
            </w:r>
          </w:p>
        </w:tc>
        <w:tc>
          <w:tcPr>
            <w:tcW w:w="794" w:type="dxa"/>
          </w:tcPr>
          <w:p w14:paraId="2C5420F7" w14:textId="77777777" w:rsidR="005E15BC" w:rsidRDefault="005E15BC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61227907" w:rsidR="001909D4" w:rsidRDefault="001909D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156,0*</w:t>
            </w:r>
          </w:p>
        </w:tc>
        <w:tc>
          <w:tcPr>
            <w:tcW w:w="794" w:type="dxa"/>
            <w:vAlign w:val="center"/>
          </w:tcPr>
          <w:p w14:paraId="49CC0430" w14:textId="31118F6B" w:rsidR="006244BE" w:rsidRPr="003627E7" w:rsidRDefault="001909D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151,3</w:t>
            </w:r>
          </w:p>
        </w:tc>
      </w:tr>
    </w:tbl>
    <w:p w14:paraId="0074A454" w14:textId="4019901B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CA4FE1">
        <w:rPr>
          <w:sz w:val="16"/>
          <w:szCs w:val="16"/>
          <w:shd w:val="clear" w:color="auto" w:fill="FFFFFF"/>
        </w:rPr>
        <w:t>e wrześniu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A4FE1">
        <w:rPr>
          <w:sz w:val="16"/>
          <w:szCs w:val="16"/>
          <w:shd w:val="clear" w:color="auto" w:fill="FFFFFF"/>
        </w:rPr>
        <w:t> październiku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2EE2131D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0CD85F87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103ADF4E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29CF31A1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października ub. roku, wyniósł 68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14BE434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A4F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CA4F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68,7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8" type="#_x0000_t202" alt="Udział wartości produkcji działów przemysłu, w których odnotowano wzrost w stosunku do października ub. roku, wyniósł 68,7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" filled="f" stroked="f">
                <v:textbox>
                  <w:txbxContent>
                    <w:p w14:paraId="5BF311DD" w14:textId="614BE434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A4F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CA4F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68,7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5899C2A" w14:textId="0812EE1D" w:rsidR="00E17608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październiku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CA4FE1">
        <w:rPr>
          <w:shd w:val="clear" w:color="auto" w:fill="FFFFFF"/>
        </w:rPr>
        <w:t>października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7A6459">
        <w:rPr>
          <w:shd w:val="clear" w:color="auto" w:fill="FFFFFF"/>
        </w:rPr>
        <w:t>2</w:t>
      </w:r>
      <w:r w:rsidR="00E17608">
        <w:rPr>
          <w:shd w:val="clear" w:color="auto" w:fill="FFFFFF"/>
        </w:rPr>
        <w:t>5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r w:rsidR="007A6459" w:rsidRPr="003627E7">
        <w:rPr>
          <w:shd w:val="clear" w:color="auto" w:fill="FFFFFF"/>
        </w:rPr>
        <w:t>pojazdów samochodowych, przyczep i naczep – o</w:t>
      </w:r>
      <w:r w:rsidR="007A6459">
        <w:rPr>
          <w:shd w:val="clear" w:color="auto" w:fill="FFFFFF"/>
        </w:rPr>
        <w:t> 4</w:t>
      </w:r>
      <w:r w:rsidR="00E17608">
        <w:rPr>
          <w:shd w:val="clear" w:color="auto" w:fill="FFFFFF"/>
        </w:rPr>
        <w:t>1,6</w:t>
      </w:r>
      <w:r w:rsidR="007A6459">
        <w:rPr>
          <w:shd w:val="clear" w:color="auto" w:fill="FFFFFF"/>
        </w:rPr>
        <w:t>%,</w:t>
      </w:r>
      <w:r w:rsidR="007A6459" w:rsidRPr="007A6459">
        <w:rPr>
          <w:shd w:val="clear" w:color="auto" w:fill="FFFFFF"/>
        </w:rPr>
        <w:t xml:space="preserve"> </w:t>
      </w:r>
      <w:bookmarkStart w:id="1" w:name="_Hlk108764811"/>
      <w:r w:rsidR="00E17608" w:rsidRPr="00B7750B">
        <w:rPr>
          <w:shd w:val="clear" w:color="auto" w:fill="FFFFFF"/>
        </w:rPr>
        <w:t>urządzeń elektrycznych</w:t>
      </w:r>
      <w:r w:rsidR="00E17608">
        <w:rPr>
          <w:shd w:val="clear" w:color="auto" w:fill="FFFFFF"/>
        </w:rPr>
        <w:t xml:space="preserve"> – o 25,2%,</w:t>
      </w:r>
      <w:bookmarkEnd w:id="1"/>
      <w:r w:rsidR="00E17608" w:rsidRPr="00E17608">
        <w:t xml:space="preserve"> </w:t>
      </w:r>
      <w:r w:rsidR="00E17608">
        <w:t xml:space="preserve">w </w:t>
      </w:r>
      <w:r w:rsidR="00E17608">
        <w:rPr>
          <w:shd w:val="clear" w:color="auto" w:fill="FFFFFF"/>
        </w:rPr>
        <w:t>n</w:t>
      </w:r>
      <w:r w:rsidR="00E17608" w:rsidRPr="00AB418D">
        <w:rPr>
          <w:shd w:val="clear" w:color="auto" w:fill="FFFFFF"/>
        </w:rPr>
        <w:t>apraw</w:t>
      </w:r>
      <w:r w:rsidR="00E17608">
        <w:rPr>
          <w:shd w:val="clear" w:color="auto" w:fill="FFFFFF"/>
        </w:rPr>
        <w:t>ie</w:t>
      </w:r>
      <w:r w:rsidR="00E17608" w:rsidRPr="00AB418D">
        <w:rPr>
          <w:shd w:val="clear" w:color="auto" w:fill="FFFFFF"/>
        </w:rPr>
        <w:t>, konserwacj</w:t>
      </w:r>
      <w:r w:rsidR="00E17608">
        <w:rPr>
          <w:shd w:val="clear" w:color="auto" w:fill="FFFFFF"/>
        </w:rPr>
        <w:t>i</w:t>
      </w:r>
      <w:r w:rsidR="00E17608" w:rsidRPr="00AB418D">
        <w:rPr>
          <w:shd w:val="clear" w:color="auto" w:fill="FFFFFF"/>
        </w:rPr>
        <w:t xml:space="preserve"> i instalowan</w:t>
      </w:r>
      <w:r w:rsidR="00E17608">
        <w:rPr>
          <w:shd w:val="clear" w:color="auto" w:fill="FFFFFF"/>
        </w:rPr>
        <w:t>iu</w:t>
      </w:r>
      <w:r w:rsidR="00E17608" w:rsidRPr="00AB418D">
        <w:rPr>
          <w:shd w:val="clear" w:color="auto" w:fill="FFFFFF"/>
        </w:rPr>
        <w:t xml:space="preserve"> maszyn i</w:t>
      </w:r>
      <w:r w:rsidR="00E17608">
        <w:rPr>
          <w:shd w:val="clear" w:color="auto" w:fill="FFFFFF"/>
        </w:rPr>
        <w:t> </w:t>
      </w:r>
      <w:r w:rsidR="00E17608" w:rsidRPr="00AB418D">
        <w:rPr>
          <w:shd w:val="clear" w:color="auto" w:fill="FFFFFF"/>
        </w:rPr>
        <w:t xml:space="preserve">urządzeń </w:t>
      </w:r>
      <w:r w:rsidR="00E17608">
        <w:rPr>
          <w:shd w:val="clear" w:color="auto" w:fill="FFFFFF"/>
        </w:rPr>
        <w:t xml:space="preserve"> – o 23,4%,</w:t>
      </w:r>
    </w:p>
    <w:p w14:paraId="7676C2F7" w14:textId="5282B1EF" w:rsidR="007A6459" w:rsidRDefault="00E17608" w:rsidP="001A7A4B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 produkcji</w:t>
      </w:r>
      <w:r w:rsidRPr="00647B75">
        <w:rPr>
          <w:shd w:val="clear" w:color="auto" w:fill="FFFFFF"/>
        </w:rPr>
        <w:t xml:space="preserve"> </w:t>
      </w:r>
      <w:r w:rsidR="007A6459" w:rsidRPr="003627E7">
        <w:rPr>
          <w:shd w:val="clear" w:color="auto" w:fill="FFFFFF"/>
        </w:rPr>
        <w:t xml:space="preserve">maszyn i urządzeń </w:t>
      </w:r>
      <w:r w:rsidR="007A6459" w:rsidRPr="003627E7">
        <w:rPr>
          <w:noProof/>
          <w:spacing w:val="-2"/>
          <w:szCs w:val="19"/>
          <w:lang w:eastAsia="pl-PL"/>
        </w:rPr>
        <w:t>–</w:t>
      </w:r>
      <w:r w:rsidR="007A6459" w:rsidRPr="003627E7">
        <w:rPr>
          <w:shd w:val="clear" w:color="auto" w:fill="FFFFFF"/>
        </w:rPr>
        <w:t xml:space="preserve"> o </w:t>
      </w:r>
      <w:r>
        <w:rPr>
          <w:shd w:val="clear" w:color="auto" w:fill="FFFFFF"/>
        </w:rPr>
        <w:t>17,6</w:t>
      </w:r>
      <w:r w:rsidR="007A6459" w:rsidRPr="003627E7">
        <w:rPr>
          <w:shd w:val="clear" w:color="auto" w:fill="FFFFFF"/>
        </w:rPr>
        <w:t>%</w:t>
      </w:r>
      <w:r w:rsidR="007A6459">
        <w:rPr>
          <w:shd w:val="clear" w:color="auto" w:fill="FFFFFF"/>
        </w:rPr>
        <w:t xml:space="preserve">, </w:t>
      </w:r>
      <w:r w:rsidRPr="000B41E3">
        <w:rPr>
          <w:shd w:val="clear" w:color="auto" w:fill="FFFFFF"/>
        </w:rPr>
        <w:t>komputerów, wyrobów elektronicznych i optycznych</w:t>
      </w:r>
      <w:r>
        <w:rPr>
          <w:shd w:val="clear" w:color="auto" w:fill="FFFFFF"/>
        </w:rPr>
        <w:t xml:space="preserve"> </w:t>
      </w:r>
      <w:r w:rsidRPr="000B41E3">
        <w:rPr>
          <w:shd w:val="clear" w:color="auto" w:fill="FFFFFF"/>
        </w:rPr>
        <w:t>– o </w:t>
      </w:r>
      <w:r>
        <w:rPr>
          <w:shd w:val="clear" w:color="auto" w:fill="FFFFFF"/>
        </w:rPr>
        <w:t>12,3</w:t>
      </w:r>
      <w:r w:rsidRPr="000B41E3">
        <w:rPr>
          <w:shd w:val="clear" w:color="auto" w:fill="FFFFFF"/>
        </w:rPr>
        <w:t>%</w:t>
      </w:r>
      <w:r>
        <w:rPr>
          <w:shd w:val="clear" w:color="auto" w:fill="FFFFFF"/>
        </w:rPr>
        <w:t>, wyrobów z metali – o 8,5%,</w:t>
      </w:r>
      <w:r w:rsidRPr="002958E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artykułów spożywczych </w:t>
      </w:r>
      <w:r w:rsidR="007A6459">
        <w:rPr>
          <w:shd w:val="clear" w:color="auto" w:fill="FFFFFF"/>
        </w:rPr>
        <w:t xml:space="preserve">– o </w:t>
      </w:r>
      <w:r>
        <w:rPr>
          <w:shd w:val="clear" w:color="auto" w:fill="FFFFFF"/>
        </w:rPr>
        <w:t>7,9</w:t>
      </w:r>
      <w:r w:rsidR="007A6459">
        <w:rPr>
          <w:shd w:val="clear" w:color="auto" w:fill="FFFFFF"/>
        </w:rPr>
        <w:t>%</w:t>
      </w:r>
      <w:r>
        <w:rPr>
          <w:shd w:val="clear" w:color="auto" w:fill="FFFFFF"/>
        </w:rPr>
        <w:t>.</w:t>
      </w:r>
      <w:r w:rsidR="007A6459">
        <w:rPr>
          <w:shd w:val="clear" w:color="auto" w:fill="FFFFFF"/>
        </w:rPr>
        <w:t xml:space="preserve"> </w:t>
      </w:r>
    </w:p>
    <w:p w14:paraId="7756D33A" w14:textId="09D3D5D1" w:rsidR="000B41E3" w:rsidRDefault="001A7A4B" w:rsidP="000B41E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E17608">
        <w:rPr>
          <w:shd w:val="clear" w:color="auto" w:fill="FFFFFF"/>
        </w:rPr>
        <w:t>październikiem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E17608">
        <w:rPr>
          <w:shd w:val="clear" w:color="auto" w:fill="FFFFFF"/>
        </w:rPr>
        <w:t>9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E17608">
        <w:rPr>
          <w:shd w:val="clear" w:color="auto" w:fill="FFFFFF"/>
        </w:rPr>
        <w:t>w wytwarzaniu i zaopatrywaniu w </w:t>
      </w:r>
      <w:r w:rsidR="00E17608" w:rsidRPr="00A6597F">
        <w:rPr>
          <w:shd w:val="clear" w:color="auto" w:fill="FFFFFF"/>
        </w:rPr>
        <w:t>energię elektryczną, gaz, parę wodną i</w:t>
      </w:r>
      <w:r w:rsidR="00E17608">
        <w:rPr>
          <w:shd w:val="clear" w:color="auto" w:fill="FFFFFF"/>
        </w:rPr>
        <w:t> </w:t>
      </w:r>
      <w:r w:rsidR="00E17608" w:rsidRPr="00A6597F">
        <w:rPr>
          <w:shd w:val="clear" w:color="auto" w:fill="FFFFFF"/>
        </w:rPr>
        <w:t>gorącą wodę</w:t>
      </w:r>
      <w:r w:rsidR="00E17608">
        <w:rPr>
          <w:shd w:val="clear" w:color="auto" w:fill="FFFFFF"/>
        </w:rPr>
        <w:t xml:space="preserve"> – o 16,2%, </w:t>
      </w:r>
      <w:r w:rsidR="000B41E3">
        <w:rPr>
          <w:shd w:val="clear" w:color="auto" w:fill="FFFFFF"/>
        </w:rPr>
        <w:t>w produkcji</w:t>
      </w:r>
      <w:r w:rsidR="000B41E3" w:rsidRPr="00647B75">
        <w:rPr>
          <w:shd w:val="clear" w:color="auto" w:fill="FFFFFF"/>
        </w:rPr>
        <w:t xml:space="preserve"> </w:t>
      </w:r>
      <w:bookmarkStart w:id="2" w:name="_Hlk114137916"/>
      <w:r w:rsidR="002958E5" w:rsidRPr="00625502">
        <w:rPr>
          <w:shd w:val="clear" w:color="auto" w:fill="FFFFFF"/>
        </w:rPr>
        <w:t>chemikaliów i wyrobów chemicznych</w:t>
      </w:r>
      <w:r w:rsidR="002958E5">
        <w:rPr>
          <w:shd w:val="clear" w:color="auto" w:fill="FFFFFF"/>
        </w:rPr>
        <w:t xml:space="preserve"> – o </w:t>
      </w:r>
      <w:r w:rsidR="00E17608">
        <w:rPr>
          <w:shd w:val="clear" w:color="auto" w:fill="FFFFFF"/>
        </w:rPr>
        <w:t>12,1</w:t>
      </w:r>
      <w:r w:rsidR="002958E5">
        <w:rPr>
          <w:shd w:val="clear" w:color="auto" w:fill="FFFFFF"/>
        </w:rPr>
        <w:t>%,</w:t>
      </w:r>
      <w:r w:rsidR="002958E5" w:rsidRPr="000B41E3">
        <w:rPr>
          <w:shd w:val="clear" w:color="auto" w:fill="FFFFFF"/>
        </w:rPr>
        <w:t xml:space="preserve"> </w:t>
      </w:r>
      <w:r w:rsidR="002958E5">
        <w:rPr>
          <w:shd w:val="clear" w:color="auto" w:fill="FFFFFF"/>
        </w:rPr>
        <w:t>mebli – o </w:t>
      </w:r>
      <w:r w:rsidR="00E17608">
        <w:rPr>
          <w:shd w:val="clear" w:color="auto" w:fill="FFFFFF"/>
        </w:rPr>
        <w:t>8,6</w:t>
      </w:r>
      <w:r w:rsidR="002958E5">
        <w:rPr>
          <w:shd w:val="clear" w:color="auto" w:fill="FFFFFF"/>
        </w:rPr>
        <w:t xml:space="preserve">%, </w:t>
      </w:r>
      <w:r w:rsidR="00E17608">
        <w:rPr>
          <w:shd w:val="clear" w:color="auto" w:fill="FFFFFF"/>
        </w:rPr>
        <w:t>metali – o 4,5%,</w:t>
      </w:r>
      <w:r w:rsidR="002958E5">
        <w:rPr>
          <w:shd w:val="clear" w:color="auto" w:fill="FFFFFF"/>
        </w:rPr>
        <w:t xml:space="preserve"> </w:t>
      </w:r>
      <w:r w:rsidR="000B41E3" w:rsidRPr="001932FE">
        <w:rPr>
          <w:shd w:val="clear" w:color="auto" w:fill="FFFFFF"/>
        </w:rPr>
        <w:t>wyrobów z</w:t>
      </w:r>
      <w:r w:rsidR="000B41E3">
        <w:rPr>
          <w:shd w:val="clear" w:color="auto" w:fill="FFFFFF"/>
        </w:rPr>
        <w:t> </w:t>
      </w:r>
      <w:r w:rsidR="000B41E3" w:rsidRPr="001932FE">
        <w:rPr>
          <w:shd w:val="clear" w:color="auto" w:fill="FFFFFF"/>
        </w:rPr>
        <w:t>drewna, korka, słomy i wikliny</w:t>
      </w:r>
      <w:r w:rsidR="000B41E3">
        <w:rPr>
          <w:shd w:val="clear" w:color="auto" w:fill="FFFFFF"/>
        </w:rPr>
        <w:t xml:space="preserve"> – o </w:t>
      </w:r>
      <w:r w:rsidR="00E17608">
        <w:rPr>
          <w:shd w:val="clear" w:color="auto" w:fill="FFFFFF"/>
        </w:rPr>
        <w:t>3,6</w:t>
      </w:r>
      <w:r w:rsidR="000B41E3">
        <w:rPr>
          <w:shd w:val="clear" w:color="auto" w:fill="FFFFFF"/>
        </w:rPr>
        <w:t>%</w:t>
      </w:r>
      <w:bookmarkEnd w:id="2"/>
      <w:r w:rsidR="000B41E3">
        <w:rPr>
          <w:shd w:val="clear" w:color="auto" w:fill="FFFFFF"/>
        </w:rPr>
        <w:t>.</w:t>
      </w:r>
      <w:r w:rsidR="002958E5" w:rsidRPr="002958E5">
        <w:rPr>
          <w:shd w:val="clear" w:color="auto" w:fill="FFFFFF"/>
        </w:rPr>
        <w:t xml:space="preserve"> </w:t>
      </w:r>
    </w:p>
    <w:p w14:paraId="52C2CC43" w14:textId="58551A61" w:rsidR="00773BE4" w:rsidRDefault="00773BE4" w:rsidP="00030AEC">
      <w:pPr>
        <w:spacing w:before="0" w:after="0"/>
        <w:rPr>
          <w:shd w:val="clear" w:color="auto" w:fill="FFFFFF"/>
        </w:rPr>
      </w:pPr>
    </w:p>
    <w:p w14:paraId="26EF0FEE" w14:textId="31B45096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740FF06" w14:textId="0AB989C2" w:rsidR="00F63AF6" w:rsidRDefault="00F63AF6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32672" behindDoc="0" locked="0" layoutInCell="1" allowOverlap="1" wp14:anchorId="5613EC42" wp14:editId="0F63CF19">
            <wp:simplePos x="0" y="0"/>
            <wp:positionH relativeFrom="column">
              <wp:posOffset>-44450</wp:posOffset>
            </wp:positionH>
            <wp:positionV relativeFrom="paragraph">
              <wp:posOffset>217805</wp:posOffset>
            </wp:positionV>
            <wp:extent cx="5187950" cy="3505200"/>
            <wp:effectExtent l="0" t="0" r="0" b="0"/>
            <wp:wrapSquare wrapText="bothSides"/>
            <wp:docPr id="17" name="Obraz 17" descr="Dynamika produkcji sprzedanej przemysłu według wybranych działów PKD (ceny stałe; poprzedni rok=100) - październik 2021, październik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630A9ED4" w14:textId="4CEC51CB" w:rsidR="00437344" w:rsidRDefault="008003EF" w:rsidP="00437344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437344">
        <w:t>wrześniem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437344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437344">
        <w:rPr>
          <w:shd w:val="clear" w:color="auto" w:fill="FFFFFF"/>
        </w:rPr>
        <w:t xml:space="preserve"> październiku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773BE4">
        <w:rPr>
          <w:shd w:val="clear" w:color="auto" w:fill="FFFFFF"/>
        </w:rPr>
        <w:t>2</w:t>
      </w:r>
      <w:r w:rsidR="00C07C0E">
        <w:rPr>
          <w:shd w:val="clear" w:color="auto" w:fill="FFFFFF"/>
        </w:rPr>
        <w:t>4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437344">
        <w:rPr>
          <w:shd w:val="clear" w:color="auto" w:fill="FFFFFF"/>
        </w:rPr>
        <w:t>w produkcji metali – o 8,0%,</w:t>
      </w:r>
      <w:r w:rsidR="00437344" w:rsidRPr="00437344">
        <w:rPr>
          <w:shd w:val="clear" w:color="auto" w:fill="FFFFFF"/>
        </w:rPr>
        <w:t xml:space="preserve"> </w:t>
      </w:r>
      <w:r w:rsidR="00C11713">
        <w:t xml:space="preserve">w </w:t>
      </w:r>
      <w:r w:rsidR="00C11713">
        <w:rPr>
          <w:shd w:val="clear" w:color="auto" w:fill="FFFFFF"/>
        </w:rPr>
        <w:t>n</w:t>
      </w:r>
      <w:r w:rsidR="00C11713" w:rsidRPr="00AB418D">
        <w:rPr>
          <w:shd w:val="clear" w:color="auto" w:fill="FFFFFF"/>
        </w:rPr>
        <w:t>apraw</w:t>
      </w:r>
      <w:r w:rsidR="00C11713">
        <w:rPr>
          <w:shd w:val="clear" w:color="auto" w:fill="FFFFFF"/>
        </w:rPr>
        <w:t>ie</w:t>
      </w:r>
      <w:r w:rsidR="00C11713" w:rsidRPr="00AB418D">
        <w:rPr>
          <w:shd w:val="clear" w:color="auto" w:fill="FFFFFF"/>
        </w:rPr>
        <w:t>, konserwacj</w:t>
      </w:r>
      <w:r w:rsidR="00C11713">
        <w:rPr>
          <w:shd w:val="clear" w:color="auto" w:fill="FFFFFF"/>
        </w:rPr>
        <w:t>i</w:t>
      </w:r>
      <w:r w:rsidR="00C11713" w:rsidRPr="00AB418D">
        <w:rPr>
          <w:shd w:val="clear" w:color="auto" w:fill="FFFFFF"/>
        </w:rPr>
        <w:t xml:space="preserve"> i instalowan</w:t>
      </w:r>
      <w:r w:rsidR="00C11713">
        <w:rPr>
          <w:shd w:val="clear" w:color="auto" w:fill="FFFFFF"/>
        </w:rPr>
        <w:t>iu</w:t>
      </w:r>
      <w:r w:rsidR="00C11713" w:rsidRPr="00AB418D">
        <w:rPr>
          <w:shd w:val="clear" w:color="auto" w:fill="FFFFFF"/>
        </w:rPr>
        <w:t xml:space="preserve"> maszyn i</w:t>
      </w:r>
      <w:r w:rsidR="00C11713">
        <w:rPr>
          <w:shd w:val="clear" w:color="auto" w:fill="FFFFFF"/>
        </w:rPr>
        <w:t> </w:t>
      </w:r>
      <w:r w:rsidR="00C11713" w:rsidRPr="00AB418D">
        <w:rPr>
          <w:shd w:val="clear" w:color="auto" w:fill="FFFFFF"/>
        </w:rPr>
        <w:t xml:space="preserve">urządzeń </w:t>
      </w:r>
      <w:r w:rsidR="00C11713">
        <w:rPr>
          <w:shd w:val="clear" w:color="auto" w:fill="FFFFFF"/>
        </w:rPr>
        <w:t xml:space="preserve"> – o </w:t>
      </w:r>
      <w:r w:rsidR="00F03793">
        <w:rPr>
          <w:shd w:val="clear" w:color="auto" w:fill="FFFFFF"/>
        </w:rPr>
        <w:t>7</w:t>
      </w:r>
      <w:r w:rsidR="00C11713">
        <w:rPr>
          <w:shd w:val="clear" w:color="auto" w:fill="FFFFFF"/>
        </w:rPr>
        <w:t xml:space="preserve">,4%, w produkcji </w:t>
      </w:r>
      <w:r w:rsidR="00437344" w:rsidRPr="003627E7">
        <w:rPr>
          <w:shd w:val="clear" w:color="auto" w:fill="FFFFFF"/>
        </w:rPr>
        <w:t>maszyn i</w:t>
      </w:r>
      <w:r w:rsidR="003F5DF9">
        <w:rPr>
          <w:shd w:val="clear" w:color="auto" w:fill="FFFFFF"/>
        </w:rPr>
        <w:t> </w:t>
      </w:r>
      <w:r w:rsidR="00437344" w:rsidRPr="003627E7">
        <w:rPr>
          <w:shd w:val="clear" w:color="auto" w:fill="FFFFFF"/>
        </w:rPr>
        <w:t xml:space="preserve">urządzeń </w:t>
      </w:r>
      <w:r w:rsidR="00437344" w:rsidRPr="003627E7">
        <w:rPr>
          <w:noProof/>
          <w:spacing w:val="-2"/>
          <w:szCs w:val="19"/>
          <w:lang w:eastAsia="pl-PL"/>
        </w:rPr>
        <w:t>–</w:t>
      </w:r>
      <w:r w:rsidR="00437344" w:rsidRPr="003627E7">
        <w:rPr>
          <w:shd w:val="clear" w:color="auto" w:fill="FFFFFF"/>
        </w:rPr>
        <w:t xml:space="preserve"> o </w:t>
      </w:r>
      <w:r w:rsidR="00437344">
        <w:rPr>
          <w:shd w:val="clear" w:color="auto" w:fill="FFFFFF"/>
        </w:rPr>
        <w:t>6,2</w:t>
      </w:r>
      <w:r w:rsidR="00437344" w:rsidRPr="003627E7">
        <w:rPr>
          <w:shd w:val="clear" w:color="auto" w:fill="FFFFFF"/>
        </w:rPr>
        <w:t>%</w:t>
      </w:r>
      <w:r w:rsidR="00437344">
        <w:rPr>
          <w:shd w:val="clear" w:color="auto" w:fill="FFFFFF"/>
        </w:rPr>
        <w:t>,</w:t>
      </w:r>
      <w:r w:rsidR="00437344" w:rsidRPr="00437344">
        <w:rPr>
          <w:shd w:val="clear" w:color="auto" w:fill="FFFFFF"/>
        </w:rPr>
        <w:t xml:space="preserve"> </w:t>
      </w:r>
      <w:r w:rsidR="00437344" w:rsidRPr="003627E7">
        <w:rPr>
          <w:shd w:val="clear" w:color="auto" w:fill="FFFFFF"/>
        </w:rPr>
        <w:t>pojazdów samochodowych, przyczep i naczep – o</w:t>
      </w:r>
      <w:r w:rsidR="00437344">
        <w:rPr>
          <w:shd w:val="clear" w:color="auto" w:fill="FFFFFF"/>
        </w:rPr>
        <w:t> 5,2%,</w:t>
      </w:r>
      <w:r w:rsidR="00437344" w:rsidRPr="00437344">
        <w:rPr>
          <w:shd w:val="clear" w:color="auto" w:fill="FFFFFF"/>
        </w:rPr>
        <w:t xml:space="preserve"> </w:t>
      </w:r>
      <w:r w:rsidR="00437344" w:rsidRPr="001932FE">
        <w:rPr>
          <w:shd w:val="clear" w:color="auto" w:fill="FFFFFF"/>
        </w:rPr>
        <w:t>wyrobów z</w:t>
      </w:r>
      <w:r w:rsidR="00437344">
        <w:rPr>
          <w:shd w:val="clear" w:color="auto" w:fill="FFFFFF"/>
        </w:rPr>
        <w:t> </w:t>
      </w:r>
      <w:r w:rsidR="00437344" w:rsidRPr="001932FE">
        <w:rPr>
          <w:shd w:val="clear" w:color="auto" w:fill="FFFFFF"/>
        </w:rPr>
        <w:t>drewna, korka, słomy i wikliny</w:t>
      </w:r>
      <w:r w:rsidR="00437344">
        <w:rPr>
          <w:shd w:val="clear" w:color="auto" w:fill="FFFFFF"/>
        </w:rPr>
        <w:t xml:space="preserve"> – o 4,1%,</w:t>
      </w:r>
      <w:r w:rsidR="00437344" w:rsidRPr="002958E5">
        <w:rPr>
          <w:shd w:val="clear" w:color="auto" w:fill="FFFFFF"/>
        </w:rPr>
        <w:t xml:space="preserve"> </w:t>
      </w:r>
      <w:r w:rsidR="00437344" w:rsidRPr="00437344">
        <w:rPr>
          <w:shd w:val="clear" w:color="auto" w:fill="FFFFFF"/>
        </w:rPr>
        <w:t>wyrobów z pozostałych mineralnych surowców niemetalicznych</w:t>
      </w:r>
      <w:r w:rsidR="00437344">
        <w:rPr>
          <w:shd w:val="clear" w:color="auto" w:fill="FFFFFF"/>
        </w:rPr>
        <w:t xml:space="preserve"> – o 4,0%,</w:t>
      </w:r>
      <w:r w:rsidR="00437344" w:rsidRPr="00437344">
        <w:rPr>
          <w:shd w:val="clear" w:color="auto" w:fill="FFFFFF"/>
        </w:rPr>
        <w:t xml:space="preserve"> </w:t>
      </w:r>
      <w:r w:rsidR="00437344">
        <w:rPr>
          <w:shd w:val="clear" w:color="auto" w:fill="FFFFFF"/>
        </w:rPr>
        <w:t>wyrobów z metali – o 2,5%.</w:t>
      </w:r>
    </w:p>
    <w:p w14:paraId="6829DD03" w14:textId="2CA1F53D" w:rsidR="00437344" w:rsidRDefault="00437344" w:rsidP="0043734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>
        <w:rPr>
          <w:shd w:val="clear" w:color="auto" w:fill="FFFFFF"/>
        </w:rPr>
        <w:t>wrześniem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C07C0E">
        <w:rPr>
          <w:shd w:val="clear" w:color="auto" w:fill="FFFFFF"/>
        </w:rPr>
        <w:t>10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314337">
        <w:rPr>
          <w:shd w:val="clear" w:color="auto" w:fill="FFFFFF"/>
        </w:rPr>
        <w:t xml:space="preserve"> </w:t>
      </w:r>
      <w:r w:rsidR="00314337" w:rsidRPr="003627E7">
        <w:rPr>
          <w:shd w:val="clear" w:color="auto" w:fill="FFFFFF"/>
        </w:rPr>
        <w:t>m.in.</w:t>
      </w:r>
      <w:r w:rsidR="00314337">
        <w:rPr>
          <w:shd w:val="clear" w:color="auto" w:fill="FFFFFF"/>
        </w:rPr>
        <w:t xml:space="preserve"> </w:t>
      </w:r>
      <w:r w:rsidR="00C07C0E">
        <w:rPr>
          <w:shd w:val="clear" w:color="auto" w:fill="FFFFFF"/>
        </w:rPr>
        <w:t>w wytwarzaniu i zaopatrywaniu w </w:t>
      </w:r>
      <w:r w:rsidR="00C07C0E" w:rsidRPr="00A6597F">
        <w:rPr>
          <w:shd w:val="clear" w:color="auto" w:fill="FFFFFF"/>
        </w:rPr>
        <w:t>energię elektryczną, gaz, parę wodną i</w:t>
      </w:r>
      <w:r w:rsidR="00C07C0E">
        <w:rPr>
          <w:shd w:val="clear" w:color="auto" w:fill="FFFFFF"/>
        </w:rPr>
        <w:t> </w:t>
      </w:r>
      <w:r w:rsidR="00C07C0E" w:rsidRPr="00A6597F">
        <w:rPr>
          <w:shd w:val="clear" w:color="auto" w:fill="FFFFFF"/>
        </w:rPr>
        <w:t>gorącą wodę</w:t>
      </w:r>
      <w:r w:rsidR="00C07C0E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17,3</w:t>
      </w:r>
      <w:r w:rsidR="00C07C0E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r w:rsidRPr="00437344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Pr="000B41E3">
        <w:rPr>
          <w:shd w:val="clear" w:color="auto" w:fill="FFFFFF"/>
        </w:rPr>
        <w:t>komputerów, wyrobów elektronicznych i optycznych – o </w:t>
      </w:r>
      <w:r>
        <w:rPr>
          <w:shd w:val="clear" w:color="auto" w:fill="FFFFFF"/>
        </w:rPr>
        <w:t>12,8</w:t>
      </w:r>
      <w:r w:rsidRPr="000B41E3">
        <w:rPr>
          <w:shd w:val="clear" w:color="auto" w:fill="FFFFFF"/>
        </w:rPr>
        <w:t>%</w:t>
      </w:r>
      <w:r>
        <w:rPr>
          <w:shd w:val="clear" w:color="auto" w:fill="FFFFFF"/>
        </w:rPr>
        <w:t>.</w:t>
      </w:r>
    </w:p>
    <w:p w14:paraId="5655BA34" w14:textId="325BE353" w:rsidR="0021545A" w:rsidRDefault="00437344" w:rsidP="0021545A">
      <w:pPr>
        <w:spacing w:before="0" w:after="0"/>
        <w:rPr>
          <w:shd w:val="clear" w:color="auto" w:fill="FFFFFF"/>
        </w:rPr>
      </w:pPr>
      <w:r w:rsidRPr="00437344">
        <w:rPr>
          <w:shd w:val="clear" w:color="auto" w:fill="FFFFFF"/>
        </w:rPr>
        <w:t xml:space="preserve"> </w:t>
      </w:r>
    </w:p>
    <w:p w14:paraId="5FDC6482" w14:textId="24944222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2ACD44A3" w:rsidR="00F52A68" w:rsidRDefault="00D148C5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31648" behindDoc="0" locked="0" layoutInCell="1" allowOverlap="1" wp14:anchorId="26CD33C0" wp14:editId="5FA75118">
            <wp:simplePos x="0" y="0"/>
            <wp:positionH relativeFrom="column">
              <wp:posOffset>-98425</wp:posOffset>
            </wp:positionH>
            <wp:positionV relativeFrom="paragraph">
              <wp:posOffset>228600</wp:posOffset>
            </wp:positionV>
            <wp:extent cx="5267325" cy="3401695"/>
            <wp:effectExtent l="0" t="0" r="9525" b="8255"/>
            <wp:wrapSquare wrapText="bothSides"/>
            <wp:docPr id="16" name="Obraz 16" descr="Dynamika produkcji sprzedanej przemysłu według wybranych działów PKD (ceny stałe; poprzedni miesiąc =100) - lipiec, sierpień, wrzesień i październik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79C58D5E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739DCF1E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3F5DF9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"https://stat.gov.pl/obszary-tematyczne/inne-opracowania/informacje-o-sytuacji-spoleczno-gospodarczej/biuletyn-statystyczny-nr-92022,4,130.html"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29721AB5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3F5DF9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"https://stat.gov.pl/obszary-tematyczne/inne-opracowania/informacje-o-sytuacji-spoleczno-gospodarczej/sytuacja-spoleczno-gospodarcza-kraju-1-3-kwartal-2022-r-,1,125.html"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0E075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0E075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0E075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739DCF1E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3F5DF9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"https://stat.gov.pl/obszary-tematyczne/inne-opracowania/informacje-o-sytuacji-spoleczno-gospodarczej/biuletyn-statystyczny-nr-92022,4,130.html"</w:instrText>
                      </w:r>
                      <w:r w:rsidR="003F5DF9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29721AB5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3F5DF9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"https://stat.gov.pl/obszary-tematyczne/inne-opracowania/informacje-o-sytuacji-spoleczno-gospodarczej/sytuacja-spoleczno-gospodarcza-kraju-1-3-kwartal-2022-r-,1,125.html"</w:instrText>
                      </w:r>
                      <w:r w:rsidR="003F5DF9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EA1648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EA1648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EA1648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DA971" w14:textId="77777777" w:rsidR="000E0753" w:rsidRDefault="000E0753" w:rsidP="000662E2">
      <w:pPr>
        <w:spacing w:after="0" w:line="240" w:lineRule="auto"/>
      </w:pPr>
      <w:r>
        <w:separator/>
      </w:r>
    </w:p>
  </w:endnote>
  <w:endnote w:type="continuationSeparator" w:id="0">
    <w:p w14:paraId="13FCF82A" w14:textId="77777777" w:rsidR="000E0753" w:rsidRDefault="000E075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2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2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BE1ED" w14:textId="77777777" w:rsidR="000E0753" w:rsidRDefault="000E0753" w:rsidP="000662E2">
      <w:pPr>
        <w:spacing w:after="0" w:line="240" w:lineRule="auto"/>
      </w:pPr>
      <w:r>
        <w:separator/>
      </w:r>
    </w:p>
  </w:footnote>
  <w:footnote w:type="continuationSeparator" w:id="0">
    <w:p w14:paraId="5A25A06B" w14:textId="77777777" w:rsidR="000E0753" w:rsidRDefault="000E075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0FF76505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11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61D33073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A645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11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2Hg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wTVY2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61D33073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A645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753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09D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FA4"/>
    <w:rsid w:val="00286105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51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A06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216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322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0D3A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B12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07C0E"/>
    <w:rsid w:val="00C11343"/>
    <w:rsid w:val="00C1171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C6F54"/>
    <w:rsid w:val="00ED04D0"/>
    <w:rsid w:val="00ED0730"/>
    <w:rsid w:val="00ED18A2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4112"/>
    <w:rsid w:val="00F76485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październiku 2022_Informacja sygnalna.docx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804406A3-476C-49AC-8300-921FAFE47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4DA89-BEF1-4DCC-8D84-1AA6E220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październiku 2022 r</dc:title>
  <dc:subject>Budownictwo mieszkaniowe w styczniu 2020 roku</dc:subject>
  <dc:creator>GUS</dc:creator>
  <cp:keywords/>
  <cp:lastModifiedBy>Putkowska Beata</cp:lastModifiedBy>
  <cp:revision>3</cp:revision>
  <cp:lastPrinted>2020-04-20T11:28:00Z</cp:lastPrinted>
  <dcterms:created xsi:type="dcterms:W3CDTF">2022-11-17T10:45:00Z</dcterms:created>
  <dcterms:modified xsi:type="dcterms:W3CDTF">2022-11-22T08:28:00Z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