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bookmarkStart w:id="0" w:name="_GoBack"/>
      <w:bookmarkEnd w:id="0"/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9533E5">
        <w:rPr>
          <w:szCs w:val="40"/>
          <w:shd w:val="clear" w:color="auto" w:fill="FFFFFF"/>
        </w:rPr>
        <w:t>1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9533E5">
        <w:rPr>
          <w:szCs w:val="40"/>
          <w:shd w:val="clear" w:color="auto" w:fill="FFFFFF"/>
        </w:rPr>
        <w:t>2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8D98A33" wp14:editId="3C979DAB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2,2 &#10;wzrost cen producentów usług związanych z obsługą działalności gospodarczej w porównaniu &#10;z 4 kwartałem 2021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C8697A">
                              <w:rPr>
                                <w:rStyle w:val="WartowskanikaZnak"/>
                              </w:rPr>
                              <w:t>2,2</w:t>
                            </w:r>
                          </w:p>
                          <w:p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E97CE8">
                              <w:t>4</w:t>
                            </w:r>
                            <w:r>
                              <w:t xml:space="preserve"> kwartałem 2021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98A33" id="Pole tekstowe 2" o:spid="_x0000_s1026" alt="Opis wskaźnika:  102,2 &#10;wzrost cen producentów usług związanych z obsługą działalności gospodarczej w porównaniu &#10;z 4 kwartałem 2021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C8697A">
                        <w:rPr>
                          <w:rStyle w:val="WartowskanikaZnak"/>
                        </w:rPr>
                        <w:t>2,2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E97CE8">
                        <w:t>4</w:t>
                      </w:r>
                      <w:r>
                        <w:t xml:space="preserve"> kwartałem 2021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A228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2,2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A228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5B524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A228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5,1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:rsidR="00835EFF" w:rsidRPr="00B64264" w:rsidRDefault="00835EFF" w:rsidP="00B64264">
      <w:pPr>
        <w:rPr>
          <w:lang w:eastAsia="pl-PL"/>
        </w:rPr>
      </w:pPr>
    </w:p>
    <w:p w:rsidR="00BC65D7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1F888C7A" wp14:editId="5481F89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8C7A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>i gospodarczej za</w:t>
      </w:r>
      <w:r w:rsidR="00A63840" w:rsidRPr="00BF747C">
        <w:rPr>
          <w:b/>
          <w:szCs w:val="19"/>
          <w:shd w:val="clear" w:color="auto" w:fill="FFFFFF"/>
        </w:rPr>
        <w:t> </w:t>
      </w:r>
      <w:r w:rsidR="005B5245">
        <w:rPr>
          <w:b/>
          <w:szCs w:val="19"/>
          <w:shd w:val="clear" w:color="auto" w:fill="FFFFFF"/>
        </w:rPr>
        <w:t>1</w:t>
      </w:r>
      <w:r w:rsidR="00493E1F" w:rsidRPr="00BF747C">
        <w:rPr>
          <w:b/>
          <w:szCs w:val="19"/>
          <w:shd w:val="clear" w:color="auto" w:fill="FFFFFF"/>
        </w:rPr>
        <w:t> </w:t>
      </w:r>
      <w:r w:rsidR="007062D3" w:rsidRPr="00BF747C">
        <w:rPr>
          <w:b/>
          <w:szCs w:val="19"/>
          <w:shd w:val="clear" w:color="auto" w:fill="FFFFFF"/>
        </w:rPr>
        <w:t>kwartał 202</w:t>
      </w:r>
      <w:r w:rsidR="005B5245">
        <w:rPr>
          <w:b/>
          <w:szCs w:val="19"/>
          <w:shd w:val="clear" w:color="auto" w:fill="FFFFFF"/>
        </w:rPr>
        <w:t>2</w:t>
      </w:r>
      <w:r w:rsidR="007062D3" w:rsidRPr="00BF747C">
        <w:rPr>
          <w:b/>
          <w:szCs w:val="19"/>
          <w:shd w:val="clear" w:color="auto" w:fill="FFFFFF"/>
        </w:rPr>
        <w:t xml:space="preserve"> </w:t>
      </w:r>
      <w:r w:rsidR="00C7723E" w:rsidRPr="00BF747C">
        <w:rPr>
          <w:b/>
          <w:szCs w:val="19"/>
          <w:shd w:val="clear" w:color="auto" w:fill="FFFFFF"/>
        </w:rPr>
        <w:t>r.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1 kwartał 2022 r."/>
      </w:tblPr>
      <w:tblGrid>
        <w:gridCol w:w="4160"/>
        <w:gridCol w:w="1220"/>
        <w:gridCol w:w="1220"/>
      </w:tblGrid>
      <w:tr w:rsidR="00F86B93" w:rsidRPr="00120C34" w:rsidTr="005B5245">
        <w:trPr>
          <w:trHeight w:val="528"/>
          <w:tblHeader/>
        </w:trPr>
        <w:tc>
          <w:tcPr>
            <w:tcW w:w="4160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244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1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202</w:t>
            </w:r>
            <w:r>
              <w:rPr>
                <w:rFonts w:eastAsia="Times New Roman" w:cs="Calibri"/>
                <w:szCs w:val="19"/>
                <w:lang w:eastAsia="pl-PL"/>
              </w:rPr>
              <w:t>2</w:t>
            </w:r>
          </w:p>
        </w:tc>
      </w:tr>
      <w:tr w:rsidR="00F86B93" w:rsidRPr="00120C34" w:rsidTr="005B5245">
        <w:trPr>
          <w:trHeight w:val="710"/>
          <w:tblHeader/>
        </w:trPr>
        <w:tc>
          <w:tcPr>
            <w:tcW w:w="4160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4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2021=100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1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 kwartał 202</w:t>
            </w:r>
            <w:r>
              <w:rPr>
                <w:rFonts w:eastAsia="Times New Roman" w:cs="Calibri"/>
                <w:szCs w:val="19"/>
                <w:lang w:eastAsia="pl-PL"/>
              </w:rPr>
              <w:t>1</w:t>
            </w:r>
            <w:r w:rsidRPr="00120C34">
              <w:rPr>
                <w:rFonts w:eastAsia="Times New Roman" w:cs="Calibri"/>
                <w:szCs w:val="19"/>
                <w:lang w:eastAsia="pl-PL"/>
              </w:rPr>
              <w:t>=100</w:t>
            </w:r>
          </w:p>
        </w:tc>
      </w:tr>
      <w:tr w:rsidR="00F86B93" w:rsidRPr="00120C34" w:rsidTr="005B5245">
        <w:trPr>
          <w:trHeight w:val="48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13680E">
              <w:rPr>
                <w:rFonts w:eastAsia="Times New Roman" w:cs="Calibri"/>
                <w:color w:val="000000"/>
                <w:szCs w:val="19"/>
                <w:lang w:eastAsia="pl-PL"/>
              </w:rPr>
              <w:t>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13680E">
              <w:rPr>
                <w:rFonts w:eastAsia="Times New Roman" w:cs="Calibri"/>
                <w:color w:val="000000"/>
                <w:szCs w:val="19"/>
                <w:lang w:eastAsia="pl-PL"/>
              </w:rPr>
              <w:t>5,1</w:t>
            </w:r>
          </w:p>
        </w:tc>
      </w:tr>
      <w:tr w:rsidR="00F86B93" w:rsidRPr="00120C34" w:rsidTr="005B5245">
        <w:trPr>
          <w:trHeight w:val="46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102,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6,9</w:t>
            </w:r>
          </w:p>
        </w:tc>
      </w:tr>
      <w:tr w:rsidR="00F86B93" w:rsidRPr="00120C34" w:rsidTr="005B5245">
        <w:trPr>
          <w:trHeight w:val="74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05065872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1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4E6459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4E6459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102,3</w:t>
            </w:r>
          </w:p>
        </w:tc>
      </w:tr>
      <w:tr w:rsidR="00F86B93" w:rsidRPr="00120C34" w:rsidTr="005B5245">
        <w:trPr>
          <w:trHeight w:val="64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9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6,0</w:t>
            </w:r>
          </w:p>
        </w:tc>
      </w:tr>
      <w:tr w:rsidR="00F86B93" w:rsidRPr="00120C34" w:rsidTr="005B5245">
        <w:trPr>
          <w:trHeight w:val="765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oprogramowaniem i doradztwem w zakresie informatyki oraz działalność powiązana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5,3</w:t>
            </w:r>
          </w:p>
        </w:tc>
      </w:tr>
      <w:tr w:rsidR="00F86B93" w:rsidRPr="00120C34" w:rsidTr="005B5245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3,3</w:t>
            </w:r>
          </w:p>
        </w:tc>
      </w:tr>
      <w:tr w:rsidR="00F86B93" w:rsidRPr="00120C34" w:rsidTr="005B5245">
        <w:trPr>
          <w:trHeight w:val="54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obsługą rynku nieruchomości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5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</w:p>
        </w:tc>
      </w:tr>
      <w:tr w:rsidR="00F86B93" w:rsidRPr="00120C34" w:rsidTr="005B5245">
        <w:trPr>
          <w:trHeight w:val="74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podatkowe; doradztwo związane z zarządzaniem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101,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4,5</w:t>
            </w:r>
          </w:p>
        </w:tc>
      </w:tr>
      <w:tr w:rsidR="00F86B93" w:rsidRPr="00120C34" w:rsidTr="005B5245">
        <w:trPr>
          <w:trHeight w:val="62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3,0</w:t>
            </w:r>
          </w:p>
        </w:tc>
      </w:tr>
      <w:tr w:rsidR="00F86B93" w:rsidRPr="00120C34" w:rsidTr="005B5245">
        <w:trPr>
          <w:trHeight w:val="564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0506595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  <w:bookmarkEnd w:id="2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100,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2,3</w:t>
            </w:r>
          </w:p>
        </w:tc>
      </w:tr>
      <w:tr w:rsidR="00F86B93" w:rsidRPr="00120C34" w:rsidTr="005B5245">
        <w:trPr>
          <w:trHeight w:val="64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Pozostała działalność profesjonalna, naukowa i techniczna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4E6459">
              <w:rPr>
                <w:rFonts w:eastAsia="Times New Roman" w:cs="Calibri"/>
                <w:color w:val="000000"/>
                <w:szCs w:val="19"/>
                <w:lang w:eastAsia="pl-PL"/>
              </w:rPr>
              <w:t>4,7</w:t>
            </w:r>
          </w:p>
        </w:tc>
      </w:tr>
      <w:tr w:rsidR="00F86B93" w:rsidRPr="00120C34" w:rsidTr="005B5245">
        <w:trPr>
          <w:trHeight w:val="52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Wynajem i dzierżawa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11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,8</w:t>
            </w:r>
          </w:p>
        </w:tc>
      </w:tr>
      <w:tr w:rsidR="00F86B93" w:rsidRPr="00120C34" w:rsidTr="005B5245">
        <w:trPr>
          <w:trHeight w:val="52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zatrudnieniem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7,2</w:t>
            </w:r>
          </w:p>
        </w:tc>
      </w:tr>
      <w:tr w:rsidR="00F86B93" w:rsidRPr="00120C34" w:rsidTr="005B5245">
        <w:trPr>
          <w:trHeight w:val="980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286198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11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,8</w:t>
            </w:r>
          </w:p>
        </w:tc>
      </w:tr>
      <w:tr w:rsidR="00F86B93" w:rsidRPr="00120C34" w:rsidTr="005B5245">
        <w:trPr>
          <w:trHeight w:val="588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detektywistyczna i ochroniarska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5,9</w:t>
            </w:r>
          </w:p>
        </w:tc>
      </w:tr>
      <w:tr w:rsidR="00F86B93" w:rsidRPr="00120C34" w:rsidTr="005B5245">
        <w:trPr>
          <w:trHeight w:val="889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6,5</w:t>
            </w:r>
          </w:p>
        </w:tc>
      </w:tr>
      <w:tr w:rsidR="00F86B93" w:rsidRPr="00120C34" w:rsidTr="005B5245">
        <w:trPr>
          <w:trHeight w:val="843"/>
        </w:trPr>
        <w:tc>
          <w:tcPr>
            <w:tcW w:w="41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86B93" w:rsidRPr="00120C34" w:rsidRDefault="00F86B93" w:rsidP="00120C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 w:rsidR="00286198">
              <w:rPr>
                <w:rFonts w:eastAsia="Times New Roman" w:cs="Calibri"/>
                <w:color w:val="000000"/>
                <w:szCs w:val="19"/>
                <w:lang w:eastAsia="pl-PL"/>
              </w:rPr>
              <w:t>6,5</w:t>
            </w:r>
          </w:p>
        </w:tc>
      </w:tr>
    </w:tbl>
    <w:p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192B8624" wp14:editId="35C5C428">
                <wp:simplePos x="0" y="0"/>
                <wp:positionH relativeFrom="column">
                  <wp:posOffset>5257800</wp:posOffset>
                </wp:positionH>
                <wp:positionV relativeFrom="paragraph">
                  <wp:posOffset>300990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1 kwartale 2022  r. największy wzrost cen w stosunku do poprzedniego kwartału odnotowano w zakresie usług związanych z zatrudnien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</w:t>
                            </w:r>
                            <w:r w:rsidR="005C47B8">
                              <w:t xml:space="preserve"> 1</w:t>
                            </w:r>
                            <w:r w:rsidRPr="007958EA">
                              <w:t xml:space="preserve"> kwartale </w:t>
                            </w:r>
                            <w:r>
                              <w:t>202</w:t>
                            </w:r>
                            <w:r w:rsidR="00A22886">
                              <w:t>2</w:t>
                            </w:r>
                            <w:r w:rsidR="00227087">
                              <w:t xml:space="preserve"> 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zakresie </w:t>
                            </w:r>
                            <w:r w:rsidRPr="007958EA">
                              <w:t>usług</w:t>
                            </w:r>
                            <w:r w:rsidR="003359C4">
                              <w:t xml:space="preserve"> </w:t>
                            </w:r>
                            <w:r w:rsidR="005C47B8">
                              <w:t>związanych z zatrudnieniem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8624" id="_x0000_s1028" type="#_x0000_t202" alt="W 1 kwartale 2022  r. największy wzrost cen w stosunku do poprzedniego kwartału odnotowano w zakresie usług związanych z zatrudnieniem" style="position:absolute;left:0;text-align:left;margin-left:414pt;margin-top:23.7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</w:t>
                      </w:r>
                      <w:r w:rsidR="005C47B8">
                        <w:t xml:space="preserve"> 1</w:t>
                      </w:r>
                      <w:r w:rsidRPr="007958EA">
                        <w:t xml:space="preserve"> kwartale </w:t>
                      </w:r>
                      <w:r>
                        <w:t>202</w:t>
                      </w:r>
                      <w:r w:rsidR="00A22886">
                        <w:t>2</w:t>
                      </w:r>
                      <w:r w:rsidR="00227087">
                        <w:t xml:space="preserve"> 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zakresie </w:t>
                      </w:r>
                      <w:r w:rsidRPr="007958EA">
                        <w:t>usług</w:t>
                      </w:r>
                      <w:r w:rsidR="003359C4">
                        <w:t xml:space="preserve"> </w:t>
                      </w:r>
                      <w:r w:rsidR="005C47B8">
                        <w:t>związanych z zatrudnieniem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B403E" w:rsidRDefault="003B403E" w:rsidP="003B403E">
      <w:pPr>
        <w:rPr>
          <w:rFonts w:eastAsia="Fira Sans Light" w:cs="Times New Roman"/>
          <w:shd w:val="clear" w:color="auto" w:fill="FFFFFF"/>
        </w:rPr>
      </w:pP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>
        <w:rPr>
          <w:rFonts w:eastAsia="Fira Sans Light" w:cs="Times New Roman"/>
          <w:color w:val="000000" w:themeColor="text1"/>
          <w:shd w:val="clear" w:color="auto" w:fill="FFFFFF"/>
        </w:rPr>
        <w:t>1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</w:t>
      </w:r>
      <w:r>
        <w:rPr>
          <w:rFonts w:eastAsia="Fira Sans Light" w:cs="Times New Roman"/>
          <w:color w:val="000000" w:themeColor="text1"/>
          <w:shd w:val="clear" w:color="auto" w:fill="FFFFFF"/>
        </w:rPr>
        <w:t>2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</w:t>
      </w:r>
      <w:r>
        <w:rPr>
          <w:rFonts w:eastAsia="Fira Sans Light" w:cs="Times New Roman"/>
          <w:color w:val="000000" w:themeColor="text1"/>
          <w:shd w:val="clear" w:color="auto" w:fill="FFFFFF"/>
        </w:rPr>
        <w:t>największy wzrost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 w stosunku d</w:t>
      </w:r>
      <w:r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 usług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 związanych z zatrudnieniem, tj. o 4,5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>
        <w:rPr>
          <w:rFonts w:eastAsia="Fira Sans Light" w:cs="Times New Roman"/>
          <w:color w:val="000000" w:themeColor="text1"/>
          <w:shd w:val="clear" w:color="auto" w:fill="FFFFFF"/>
        </w:rPr>
        <w:t>. Wzrost ten wystąpił w d</w:t>
      </w:r>
      <w:r w:rsidRPr="00E5686F">
        <w:rPr>
          <w:rFonts w:eastAsia="Fira Sans Light" w:cs="Times New Roman"/>
          <w:color w:val="000000" w:themeColor="text1"/>
          <w:shd w:val="clear" w:color="auto" w:fill="FFFFFF"/>
        </w:rPr>
        <w:t>ziałalnoś</w:t>
      </w:r>
      <w:r>
        <w:rPr>
          <w:rFonts w:eastAsia="Fira Sans Light" w:cs="Times New Roman"/>
          <w:color w:val="000000" w:themeColor="text1"/>
          <w:shd w:val="clear" w:color="auto" w:fill="FFFFFF"/>
        </w:rPr>
        <w:t>ci</w:t>
      </w:r>
      <w:r w:rsidRPr="00E5686F">
        <w:rPr>
          <w:rFonts w:eastAsia="Fira Sans Light" w:cs="Times New Roman"/>
          <w:color w:val="000000" w:themeColor="text1"/>
          <w:shd w:val="clear" w:color="auto" w:fill="FFFFFF"/>
        </w:rPr>
        <w:t xml:space="preserve"> związan</w:t>
      </w:r>
      <w:r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Pr="00E5686F">
        <w:rPr>
          <w:rFonts w:eastAsia="Fira Sans Light" w:cs="Times New Roman"/>
          <w:color w:val="000000" w:themeColor="text1"/>
          <w:shd w:val="clear" w:color="auto" w:fill="FFFFFF"/>
        </w:rPr>
        <w:t xml:space="preserve"> z wyszukiwaniem miejsc pracy i pozyskiwaniem pracowników</w:t>
      </w:r>
      <w:r>
        <w:rPr>
          <w:rFonts w:eastAsia="Fira Sans Light" w:cs="Times New Roman"/>
          <w:color w:val="000000" w:themeColor="text1"/>
          <w:shd w:val="clear" w:color="auto" w:fill="FFFFFF"/>
        </w:rPr>
        <w:t>, d</w:t>
      </w:r>
      <w:r w:rsidRPr="00E5686F">
        <w:rPr>
          <w:rFonts w:eastAsia="Fira Sans Light" w:cs="Times New Roman"/>
          <w:color w:val="000000" w:themeColor="text1"/>
          <w:shd w:val="clear" w:color="auto" w:fill="FFFFFF"/>
        </w:rPr>
        <w:t>ziałalnoś</w:t>
      </w:r>
      <w:r>
        <w:rPr>
          <w:rFonts w:eastAsia="Fira Sans Light" w:cs="Times New Roman"/>
          <w:color w:val="000000" w:themeColor="text1"/>
          <w:shd w:val="clear" w:color="auto" w:fill="FFFFFF"/>
        </w:rPr>
        <w:t>ci</w:t>
      </w:r>
      <w:r w:rsidRPr="00E5686F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Pr="0035383B">
        <w:rPr>
          <w:rFonts w:eastAsia="Fira Sans Light" w:cs="Times New Roman"/>
          <w:color w:val="000000" w:themeColor="text1"/>
          <w:shd w:val="clear" w:color="auto" w:fill="FFFFFF"/>
        </w:rPr>
        <w:t xml:space="preserve">agencji pracy tymczasowej i pozostałej działalności związanej z udostępnianiem pracowników i uzasadniany był przez przedsiębiorstwa m.in. wzrostem wynagrodzeń </w:t>
      </w:r>
      <w:r w:rsidRPr="006757EE">
        <w:rPr>
          <w:rFonts w:eastAsia="Fira Sans Light" w:cs="Times New Roman"/>
          <w:color w:val="000000" w:themeColor="text1"/>
          <w:shd w:val="clear" w:color="auto" w:fill="FFFFFF"/>
        </w:rPr>
        <w:t>oferowanych pracownikom rekrutowanym przez agencje zatrudnienia, czy też pracownikom kierowanym do pracy przez agencje pracy tymczasowej</w:t>
      </w:r>
      <w:r w:rsidRPr="0035383B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Pr="0035383B">
        <w:rPr>
          <w:rFonts w:eastAsia="Fira Sans Light" w:cs="Times New Roman"/>
          <w:shd w:val="clear" w:color="auto" w:fill="FFFFFF"/>
        </w:rPr>
        <w:t xml:space="preserve">Podobnie jak w latach ubiegłych, 1 kwartał bieżącego roku był okresem znaczącego wzrostu cen w działalności usługowej związanej z utrzymaniem porządku w budynkach i zagospodarowaniem terenów zieleni (wzrost o 4,4% w stosunku do poprzedniego kwartału) oraz usług w działalności detektywistycznej i ochroniarskiej (wzrost o 4,0% w stosunku do poprzedniego kwartału). Wzrost ten wynikał ze zwiększenia </w:t>
      </w:r>
      <w:r w:rsidRPr="006757EE">
        <w:rPr>
          <w:rFonts w:eastAsia="Fira Sans Light" w:cs="Times New Roman"/>
          <w:shd w:val="clear" w:color="auto" w:fill="FFFFFF"/>
        </w:rPr>
        <w:t>kosztów świadczenia usług spowodowanego głównie wzrostem wynagrodzeń pracowników, w tym podniesienia od 2021 r. kwoty minimalnego wynagrodzenia.</w:t>
      </w:r>
      <w:r w:rsidRPr="0035383B">
        <w:rPr>
          <w:rFonts w:eastAsia="Fira Sans Light" w:cs="Times New Roman"/>
          <w:shd w:val="clear" w:color="auto" w:fill="FFFFFF"/>
        </w:rPr>
        <w:t xml:space="preserve"> Najmniejsze wzrosty cen, poniżej 1 %, zanotowano w przypadku usług w działalności związanej</w:t>
      </w:r>
      <w:r w:rsidRPr="002F796F">
        <w:rPr>
          <w:rFonts w:eastAsia="Fira Sans Light" w:cs="Times New Roman"/>
          <w:shd w:val="clear" w:color="auto" w:fill="FFFFFF"/>
        </w:rPr>
        <w:t xml:space="preserve"> z produkcją filmów, nagrań wideo, programów telewizyjnych, nagrań dźwiękowych i muzycznych</w:t>
      </w:r>
      <w:r>
        <w:rPr>
          <w:rFonts w:eastAsia="Fira Sans Light" w:cs="Times New Roman"/>
          <w:shd w:val="clear" w:color="auto" w:fill="FFFFFF"/>
        </w:rPr>
        <w:t xml:space="preserve"> (o 0,8%) oraz usług r</w:t>
      </w:r>
      <w:r w:rsidRPr="002F796F">
        <w:rPr>
          <w:rFonts w:eastAsia="Fira Sans Light" w:cs="Times New Roman"/>
          <w:shd w:val="clear" w:color="auto" w:fill="FFFFFF"/>
        </w:rPr>
        <w:t>eklam</w:t>
      </w:r>
      <w:r>
        <w:rPr>
          <w:rFonts w:eastAsia="Fira Sans Light" w:cs="Times New Roman"/>
          <w:shd w:val="clear" w:color="auto" w:fill="FFFFFF"/>
        </w:rPr>
        <w:t>y</w:t>
      </w:r>
      <w:r w:rsidRPr="002F796F">
        <w:rPr>
          <w:rFonts w:eastAsia="Fira Sans Light" w:cs="Times New Roman"/>
          <w:shd w:val="clear" w:color="auto" w:fill="FFFFFF"/>
        </w:rPr>
        <w:t>, badani</w:t>
      </w:r>
      <w:r>
        <w:rPr>
          <w:rFonts w:eastAsia="Fira Sans Light" w:cs="Times New Roman"/>
          <w:shd w:val="clear" w:color="auto" w:fill="FFFFFF"/>
        </w:rPr>
        <w:t>a</w:t>
      </w:r>
      <w:r w:rsidRPr="002F796F">
        <w:rPr>
          <w:rFonts w:eastAsia="Fira Sans Light" w:cs="Times New Roman"/>
          <w:shd w:val="clear" w:color="auto" w:fill="FFFFFF"/>
        </w:rPr>
        <w:t xml:space="preserve"> rynku i opinii publicznej</w:t>
      </w:r>
      <w:r>
        <w:rPr>
          <w:rFonts w:eastAsia="Fira Sans Light" w:cs="Times New Roman"/>
          <w:shd w:val="clear" w:color="auto" w:fill="FFFFFF"/>
        </w:rPr>
        <w:t xml:space="preserve"> (o 0,3%).</w:t>
      </w:r>
    </w:p>
    <w:p w:rsidR="003B403E" w:rsidRDefault="003B403E" w:rsidP="003B403E">
      <w:pPr>
        <w:rPr>
          <w:rFonts w:eastAsia="Fira Sans Light" w:cs="Times New Roman"/>
          <w:shd w:val="clear" w:color="auto" w:fill="FFFFFF"/>
        </w:rPr>
      </w:pPr>
      <w:r>
        <w:rPr>
          <w:rFonts w:eastAsia="Fira Sans Light" w:cs="Times New Roman"/>
          <w:shd w:val="clear" w:color="auto" w:fill="FFFFFF"/>
        </w:rPr>
        <w:t xml:space="preserve">Spadek </w:t>
      </w:r>
      <w:r w:rsidRPr="0015624C">
        <w:t xml:space="preserve">cen w porównaniu </w:t>
      </w:r>
      <w:r>
        <w:t>z</w:t>
      </w:r>
      <w:r w:rsidRPr="0015624C">
        <w:t xml:space="preserve"> poprzedni</w:t>
      </w:r>
      <w:r>
        <w:t xml:space="preserve">m </w:t>
      </w:r>
      <w:r w:rsidRPr="0015624C">
        <w:t>kwartał</w:t>
      </w:r>
      <w:r>
        <w:t>em</w:t>
      </w:r>
      <w:r w:rsidRPr="0015624C">
        <w:t xml:space="preserve"> odnotowano w przypadku </w:t>
      </w:r>
      <w:r>
        <w:rPr>
          <w:rFonts w:eastAsia="Fira Sans Light" w:cs="Times New Roman"/>
          <w:shd w:val="clear" w:color="auto" w:fill="FFFFFF"/>
        </w:rPr>
        <w:t>usług n</w:t>
      </w:r>
      <w:r w:rsidRPr="00BB1672">
        <w:rPr>
          <w:rFonts w:eastAsia="Fira Sans Light" w:cs="Times New Roman"/>
          <w:shd w:val="clear" w:color="auto" w:fill="FFFFFF"/>
        </w:rPr>
        <w:t>adawa</w:t>
      </w:r>
      <w:r>
        <w:rPr>
          <w:rFonts w:eastAsia="Fira Sans Light" w:cs="Times New Roman"/>
          <w:shd w:val="clear" w:color="auto" w:fill="FFFFFF"/>
        </w:rPr>
        <w:t>nia</w:t>
      </w:r>
      <w:r w:rsidRPr="00BB1672">
        <w:rPr>
          <w:rFonts w:eastAsia="Fira Sans Light" w:cs="Times New Roman"/>
          <w:shd w:val="clear" w:color="auto" w:fill="FFFFFF"/>
        </w:rPr>
        <w:t xml:space="preserve"> programów ogólnodostępnych i abonamentowych</w:t>
      </w:r>
      <w:r>
        <w:rPr>
          <w:rFonts w:eastAsia="Fira Sans Light" w:cs="Times New Roman"/>
          <w:shd w:val="clear" w:color="auto" w:fill="FFFFFF"/>
        </w:rPr>
        <w:t xml:space="preserve"> (o 1,4%), co </w:t>
      </w:r>
      <w:r w:rsidRPr="0032082C">
        <w:rPr>
          <w:rFonts w:eastAsia="Fira Sans Light" w:cs="Times New Roman"/>
          <w:shd w:val="clear" w:color="auto" w:fill="FFFFFF"/>
        </w:rPr>
        <w:t xml:space="preserve">związane było </w:t>
      </w:r>
      <w:r>
        <w:rPr>
          <w:rFonts w:eastAsia="Fira Sans Light" w:cs="Times New Roman"/>
          <w:shd w:val="clear" w:color="auto" w:fill="FFFFFF"/>
        </w:rPr>
        <w:t>przede wszystkim</w:t>
      </w:r>
      <w:r w:rsidRPr="0032082C">
        <w:rPr>
          <w:rFonts w:eastAsia="Fira Sans Light" w:cs="Times New Roman"/>
          <w:shd w:val="clear" w:color="auto" w:fill="FFFFFF"/>
        </w:rPr>
        <w:t xml:space="preserve"> ze spadkiem cen sprzedaży czasu i miejsca na cele reklamowe w telewizji.</w:t>
      </w:r>
      <w:r>
        <w:rPr>
          <w:rFonts w:eastAsia="Fira Sans Light" w:cs="Times New Roman"/>
          <w:shd w:val="clear" w:color="auto" w:fill="FFFFFF"/>
        </w:rPr>
        <w:t xml:space="preserve"> </w:t>
      </w:r>
    </w:p>
    <w:p w:rsidR="003B403E" w:rsidRDefault="003B403E" w:rsidP="003B403E">
      <w:r w:rsidRPr="00053E1D">
        <w:t xml:space="preserve">W stosunku do </w:t>
      </w:r>
      <w:r>
        <w:t>1</w:t>
      </w:r>
      <w:r w:rsidRPr="00053E1D">
        <w:t xml:space="preserve"> kwartału 202</w:t>
      </w:r>
      <w:r>
        <w:t>1</w:t>
      </w:r>
      <w:r w:rsidRPr="00053E1D">
        <w:t xml:space="preserve"> r. największy wzrost cen </w:t>
      </w:r>
      <w:r>
        <w:t>wystąpił w przypadku</w:t>
      </w:r>
      <w:r w:rsidRPr="00053E1D">
        <w:t xml:space="preserve"> usług </w:t>
      </w:r>
      <w:r>
        <w:t xml:space="preserve">wynajmu i dzierżawy (o 13,8%), </w:t>
      </w:r>
      <w:r w:rsidRPr="0015624C">
        <w:t xml:space="preserve">usług </w:t>
      </w:r>
      <w:r w:rsidRPr="009A2F91">
        <w:t>organizatorów turystyki, pośredników i agentów turystycznych oraz pozostałej działalności usługowej w zakresie rezerwacji i działalności z nią związanych</w:t>
      </w:r>
      <w:r>
        <w:t xml:space="preserve"> (o 11,8%) oraz usług </w:t>
      </w:r>
      <w:r w:rsidRPr="00AD5F74">
        <w:t xml:space="preserve">związanych z zatrudnieniem </w:t>
      </w:r>
      <w:r w:rsidRPr="00053E1D">
        <w:t xml:space="preserve">(o </w:t>
      </w:r>
      <w:r>
        <w:t>7,2</w:t>
      </w:r>
      <w:r w:rsidRPr="00053E1D">
        <w:t>%).</w:t>
      </w:r>
    </w:p>
    <w:p w:rsidR="003B403E" w:rsidRDefault="003B403E" w:rsidP="003B403E">
      <w:pPr>
        <w:rPr>
          <w:color w:val="000000" w:themeColor="text1"/>
        </w:rPr>
      </w:pPr>
      <w:r>
        <w:rPr>
          <w:color w:val="000000" w:themeColor="text1"/>
        </w:rPr>
        <w:t xml:space="preserve">Spadek cen w porównaniu z 1 kwartałem ubiegłego roku odnotowano natomiast w przypadku usług </w:t>
      </w:r>
      <w:r w:rsidRPr="002F1676">
        <w:rPr>
          <w:color w:val="000000" w:themeColor="text1"/>
        </w:rPr>
        <w:t>nadawania programów ogólnodostępnych i abonamentowych</w:t>
      </w:r>
      <w:r>
        <w:rPr>
          <w:color w:val="000000" w:themeColor="text1"/>
        </w:rPr>
        <w:t xml:space="preserve"> (o 4,0%).</w:t>
      </w:r>
    </w:p>
    <w:p w:rsidR="003B403E" w:rsidRDefault="003B403E" w:rsidP="003B403E">
      <w:pPr>
        <w:rPr>
          <w:rFonts w:eastAsia="Fira Sans Light" w:cs="Times New Roman"/>
          <w:color w:val="000000" w:themeColor="text1"/>
          <w:shd w:val="clear" w:color="auto" w:fill="FFFFFF"/>
        </w:rPr>
      </w:pPr>
    </w:p>
    <w:p w:rsidR="00713C39" w:rsidRDefault="00713C39" w:rsidP="006A426A">
      <w:pPr>
        <w:rPr>
          <w:rFonts w:eastAsia="Fira Sans Light" w:cs="Times New Roman"/>
          <w:shd w:val="clear" w:color="auto" w:fill="FFFFFF"/>
        </w:rPr>
      </w:pPr>
    </w:p>
    <w:p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:rsidR="00095B4F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5680" behindDoc="0" locked="0" layoutInCell="1" allowOverlap="1" wp14:anchorId="1A94D057">
            <wp:simplePos x="0" y="0"/>
            <wp:positionH relativeFrom="column">
              <wp:posOffset>-9525</wp:posOffset>
            </wp:positionH>
            <wp:positionV relativeFrom="paragraph">
              <wp:posOffset>436880</wp:posOffset>
            </wp:positionV>
            <wp:extent cx="5122545" cy="3170555"/>
            <wp:effectExtent l="0" t="0" r="1905" b="0"/>
            <wp:wrapTopAndBottom/>
            <wp:docPr id="1" name="Wykres 1" descr="Wykres 1. Zmiany cen producentów usług związanych z obsługą działalności gospodarczej &#10;w latach 2019-2022  (kwartał poprzedni = 100)&#10;Wykres prezentuje zmiany cen  producentów usług związanych z obsługą działalności gospodarczej w kwartałach dla lat 2019-2022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94EE2D-8D45-44DE-B38B-566842C644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201</w:t>
      </w:r>
      <w:r w:rsidR="00C8458A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9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C8458A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:rsidR="00C83F3C" w:rsidRDefault="00C83F3C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CC0932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095B4F" w:rsidRDefault="00CC0932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2F2F069F">
            <wp:simplePos x="0" y="0"/>
            <wp:positionH relativeFrom="column">
              <wp:posOffset>0</wp:posOffset>
            </wp:positionH>
            <wp:positionV relativeFrom="paragraph">
              <wp:posOffset>441325</wp:posOffset>
            </wp:positionV>
            <wp:extent cx="5122545" cy="2974975"/>
            <wp:effectExtent l="0" t="0" r="1905" b="0"/>
            <wp:wrapTopAndBottom/>
            <wp:docPr id="2" name="Wykres 2" descr="Wykres 2. Zmiany cen producentów usług związanych z obsługą działalności gospodarczej &#10;w latach 2019-2022  (analogiczny okres roku poprzedniego = 100)&#10;&#10;Wykres prezentuje zmiany cen  producentów usług związanych z obsługą działalności gospodarczej w kwartałach dla lat 2019-2022, przy podstawie analogiczny okres rok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C9B26AD-D34C-4850-A326-A402D65615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095B4F" w:rsidRPr="00B10435">
        <w:rPr>
          <w:sz w:val="19"/>
          <w:szCs w:val="19"/>
        </w:rPr>
        <w:t>Wykres 2</w:t>
      </w:r>
      <w:r w:rsidR="00095B4F" w:rsidRPr="006E165A">
        <w:rPr>
          <w:sz w:val="19"/>
          <w:szCs w:val="19"/>
        </w:rPr>
        <w:t>.</w:t>
      </w:r>
      <w:r w:rsidR="00095B4F"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="00095B4F" w:rsidRPr="006E165A">
        <w:rPr>
          <w:sz w:val="19"/>
          <w:szCs w:val="19"/>
        </w:rPr>
        <w:t xml:space="preserve">Zmiany </w:t>
      </w:r>
      <w:r w:rsidR="00095B4F" w:rsidRPr="00B10435">
        <w:rPr>
          <w:sz w:val="19"/>
          <w:szCs w:val="19"/>
        </w:rPr>
        <w:t>c</w:t>
      </w:r>
      <w:r w:rsidR="00095B4F"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201</w:t>
      </w:r>
      <w:r w:rsidR="00DE0E6F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9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DE0E6F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 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095B4F"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:rsidR="00E96E86" w:rsidRPr="00B10435" w:rsidRDefault="00E96E86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</w:p>
    <w:p w:rsidR="00641674" w:rsidRDefault="00641674">
      <w:pPr>
        <w:spacing w:before="0" w:after="160" w:line="259" w:lineRule="auto"/>
        <w:rPr>
          <w:b/>
          <w:noProof/>
          <w:spacing w:val="-2"/>
          <w:sz w:val="18"/>
          <w:shd w:val="clear" w:color="auto" w:fill="FFFFFF"/>
          <w:lang w:eastAsia="pl-PL"/>
        </w:rPr>
      </w:pP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9"/>
      </w:tblGrid>
      <w:tr w:rsidR="002B7E95" w:rsidTr="002B7E95">
        <w:trPr>
          <w:trHeight w:val="1626"/>
        </w:trPr>
        <w:tc>
          <w:tcPr>
            <w:tcW w:w="2500" w:type="pct"/>
          </w:tcPr>
          <w:p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2B7E95" w:rsidRPr="004A1D1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2B7E95" w:rsidRDefault="002B7E95" w:rsidP="00F92C06">
            <w:pPr>
              <w:rPr>
                <w:sz w:val="18"/>
              </w:rPr>
            </w:pPr>
          </w:p>
        </w:tc>
      </w:tr>
      <w:tr w:rsidR="002B7E95" w:rsidTr="002B7E95">
        <w:trPr>
          <w:trHeight w:val="418"/>
        </w:trPr>
        <w:tc>
          <w:tcPr>
            <w:tcW w:w="2500" w:type="pct"/>
            <w:vMerge w:val="restar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B7E95" w:rsidRPr="00C91687" w:rsidRDefault="002B7E95" w:rsidP="00F92C0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2B7E95" w:rsidRPr="00F05FC7" w:rsidRDefault="002B7E95" w:rsidP="00F92C0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47471B5A" wp14:editId="0DF1176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:rsidTr="002B7E95">
        <w:trPr>
          <w:trHeight w:val="418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751A82E2" wp14:editId="151BFD1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76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DC9C8F3" wp14:editId="712F1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2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35CAEBAC" wp14:editId="44BFE5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2B7E95" w:rsidTr="002B7E95">
        <w:trPr>
          <w:trHeight w:val="504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10CA91D5" wp14:editId="46495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2B7E95" w:rsidTr="002B7E95">
        <w:trPr>
          <w:trHeight w:val="154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71209AA" wp14:editId="5A0962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7E95" w:rsidRPr="002B7E95" w:rsidRDefault="00B22C37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za 1 kwartał 2022 r.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0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2B7E95" w:rsidRPr="00CF18EE" w:rsidRDefault="00B22C37" w:rsidP="00F92C06">
            <w:pPr>
              <w:rPr>
                <w:rStyle w:val="Hipercze"/>
                <w:rFonts w:cstheme="minorBidi"/>
              </w:rPr>
            </w:pPr>
            <w:hyperlink r:id="rId25" w:tooltip="Link do Dziedzinowej Bazy Wiedzy - Ceny" w:history="1">
              <w:r w:rsidR="002B7E95" w:rsidRPr="002B7E95">
                <w:rPr>
                  <w:rStyle w:val="Hipercze"/>
                </w:rPr>
                <w:t>D</w:t>
              </w:r>
              <w:r w:rsidR="002B7E95" w:rsidRPr="002B7E95">
                <w:rPr>
                  <w:rStyle w:val="Hipercze"/>
                  <w:rFonts w:cstheme="minorBidi"/>
                </w:rPr>
                <w:t>ziedzinowa Baza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2B7E95" w:rsidRPr="00B16871" w:rsidRDefault="00B22C37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37" w:rsidRDefault="00B22C37" w:rsidP="000662E2">
      <w:pPr>
        <w:spacing w:after="0" w:line="240" w:lineRule="auto"/>
      </w:pPr>
      <w:r>
        <w:separator/>
      </w:r>
    </w:p>
  </w:endnote>
  <w:endnote w:type="continuationSeparator" w:id="0">
    <w:p w:rsidR="00B22C37" w:rsidRDefault="00B22C3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E3B">
          <w:rPr>
            <w:noProof/>
          </w:rPr>
          <w:t>2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E3B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37" w:rsidRDefault="00B22C37" w:rsidP="000662E2">
      <w:pPr>
        <w:spacing w:after="0" w:line="240" w:lineRule="auto"/>
      </w:pPr>
      <w:r>
        <w:separator/>
      </w:r>
    </w:p>
  </w:footnote>
  <w:footnote w:type="continuationSeparator" w:id="0">
    <w:p w:rsidR="00B22C37" w:rsidRDefault="00B22C3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E331A4" wp14:editId="2AF4312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1133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50D7C94" wp14:editId="21711F7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D7C94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D01EA0" wp14:editId="4A339B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A38D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38D49F8E" wp14:editId="4FF9E9BF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41891216" wp14:editId="4287BDB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10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515C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B5245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C6953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121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10.06.202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1LrNgIAADc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" filled="f" stroked="f">
              <v:textbox>
                <w:txbxContent>
                  <w:p w:rsidR="00F37172" w:rsidRPr="00C97596" w:rsidRDefault="00515C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B5245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C6953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3B4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6E3B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11C8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C009F"/>
    <w:rsid w:val="003C1166"/>
    <w:rsid w:val="003C1A52"/>
    <w:rsid w:val="003C2E01"/>
    <w:rsid w:val="003C36FE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5451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7460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5A"/>
    <w:rsid w:val="004D7C98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9EB"/>
    <w:rsid w:val="00586371"/>
    <w:rsid w:val="00586939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6C29"/>
    <w:rsid w:val="00637EB5"/>
    <w:rsid w:val="00640BE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D9"/>
    <w:rsid w:val="008A31AE"/>
    <w:rsid w:val="008A575A"/>
    <w:rsid w:val="008A5829"/>
    <w:rsid w:val="008A6D39"/>
    <w:rsid w:val="008A6D42"/>
    <w:rsid w:val="008B023D"/>
    <w:rsid w:val="008B06E1"/>
    <w:rsid w:val="008B0CAD"/>
    <w:rsid w:val="008B18CA"/>
    <w:rsid w:val="008B36C0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2C37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932"/>
    <w:rsid w:val="00CC0E25"/>
    <w:rsid w:val="00CC105E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D36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10D06"/>
    <w:rsid w:val="00F10DAC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512B0"/>
    <w:rsid w:val="00F5252E"/>
    <w:rsid w:val="00F5453E"/>
    <w:rsid w:val="00F54974"/>
    <w:rsid w:val="00F55EC6"/>
    <w:rsid w:val="00F57739"/>
    <w:rsid w:val="00F57F51"/>
    <w:rsid w:val="00F60104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SitePagesDBW/Ce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ceny/ceny-w-gospodarce-narodowej-w-2020-r-,3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2,kategoria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Ceny_Us&#322;ug\W16_C06\Notatka_sygnalna\Informacja%20sygnalna_1kw.2022\Wykresy%20sygnalna%20%201kw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410065699764468E-2"/>
          <c:y val="4.7626677348287599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1Q2022'!$A$6:$B$18</c:f>
              <c:multiLvlStrCache>
                <c:ptCount val="13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'wykres 1 1Q2022'!$C$6:$C$18</c:f>
              <c:numCache>
                <c:formatCode>General</c:formatCode>
                <c:ptCount val="13"/>
                <c:pt idx="0">
                  <c:v>100.8</c:v>
                </c:pt>
                <c:pt idx="1">
                  <c:v>100.4</c:v>
                </c:pt>
                <c:pt idx="2">
                  <c:v>100.5</c:v>
                </c:pt>
                <c:pt idx="3">
                  <c:v>100.2</c:v>
                </c:pt>
                <c:pt idx="4">
                  <c:v>100.9</c:v>
                </c:pt>
                <c:pt idx="5">
                  <c:v>99.6</c:v>
                </c:pt>
                <c:pt idx="6">
                  <c:v>100.5</c:v>
                </c:pt>
                <c:pt idx="7">
                  <c:v>100.1</c:v>
                </c:pt>
                <c:pt idx="8">
                  <c:v>100.6</c:v>
                </c:pt>
                <c:pt idx="9">
                  <c:v>100.8</c:v>
                </c:pt>
                <c:pt idx="10">
                  <c:v>101.1</c:v>
                </c:pt>
                <c:pt idx="11">
                  <c:v>100.9</c:v>
                </c:pt>
                <c:pt idx="12">
                  <c:v>102.2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E6F-4538-8966-F0C9B6DC1ED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650364560"/>
        <c:axId val="1650367280"/>
      </c:lineChart>
      <c:catAx>
        <c:axId val="165036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50367280"/>
        <c:crosses val="autoZero"/>
        <c:auto val="1"/>
        <c:lblAlgn val="ctr"/>
        <c:lblOffset val="100"/>
        <c:noMultiLvlLbl val="0"/>
      </c:catAx>
      <c:valAx>
        <c:axId val="1650367280"/>
        <c:scaling>
          <c:orientation val="minMax"/>
          <c:max val="102.2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50364560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54131847725162E-2"/>
          <c:y val="4.189467323778772E-2"/>
          <c:w val="0.92424769153159481"/>
          <c:h val="0.79942313865443082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1Q2022'!$A$6:$B$18</c:f>
              <c:multiLvlStrCache>
                <c:ptCount val="13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'wykres 2 1Q2022'!$C$6:$C$18</c:f>
              <c:numCache>
                <c:formatCode>0.0</c:formatCode>
                <c:ptCount val="13"/>
                <c:pt idx="0">
                  <c:v>101.8</c:v>
                </c:pt>
                <c:pt idx="1">
                  <c:v>101.7</c:v>
                </c:pt>
                <c:pt idx="2">
                  <c:v>102</c:v>
                </c:pt>
                <c:pt idx="3">
                  <c:v>101.9</c:v>
                </c:pt>
                <c:pt idx="4">
                  <c:v>102</c:v>
                </c:pt>
                <c:pt idx="5">
                  <c:v>101.2</c:v>
                </c:pt>
                <c:pt idx="6">
                  <c:v>101.2</c:v>
                </c:pt>
                <c:pt idx="7">
                  <c:v>101.1</c:v>
                </c:pt>
                <c:pt idx="8">
                  <c:v>100.8</c:v>
                </c:pt>
                <c:pt idx="9">
                  <c:v>102</c:v>
                </c:pt>
                <c:pt idx="10">
                  <c:v>102.6</c:v>
                </c:pt>
                <c:pt idx="11">
                  <c:v>103.4</c:v>
                </c:pt>
                <c:pt idx="12">
                  <c:v>105.1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C8E-43FD-B644-3B9ABA4D9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0365104"/>
        <c:axId val="1508903040"/>
      </c:lineChart>
      <c:catAx>
        <c:axId val="165036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08903040"/>
        <c:crosses val="autoZero"/>
        <c:auto val="1"/>
        <c:lblAlgn val="ctr"/>
        <c:lblOffset val="100"/>
        <c:noMultiLvlLbl val="0"/>
      </c:catAx>
      <c:valAx>
        <c:axId val="1508903040"/>
        <c:scaling>
          <c:orientation val="minMax"/>
          <c:max val="105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50365104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CBF42-FF65-4E69-89E8-9B188C53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producentów usług związanych z obsługą działalności gospodarczej za 1 kwartał 2022 r</dc:title>
  <dc:creator>GUS</dc:creator>
  <cp:lastModifiedBy>Putkowska Beata</cp:lastModifiedBy>
  <cp:revision>3</cp:revision>
  <cp:lastPrinted>2022-03-09T08:53:00Z</cp:lastPrinted>
  <dcterms:created xsi:type="dcterms:W3CDTF">2022-05-26T10:29:00Z</dcterms:created>
  <dcterms:modified xsi:type="dcterms:W3CDTF">2022-06-10T06:44:00Z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