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D71C94">
        <w:rPr>
          <w:szCs w:val="40"/>
          <w:shd w:val="clear" w:color="auto" w:fill="FFFFFF"/>
        </w:rPr>
        <w:t>2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9533E5">
        <w:rPr>
          <w:szCs w:val="40"/>
          <w:shd w:val="clear" w:color="auto" w:fill="FFFFFF"/>
        </w:rPr>
        <w:t>2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D98A33" wp14:editId="3C979DAB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2,5 &#10;wzrost cen producentów usług związanych z obsługą działalności gospodarczej w porównaniu &#10;z 1 kwartałem 2022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C8697A">
                              <w:rPr>
                                <w:rStyle w:val="WartowskanikaZnak"/>
                              </w:rPr>
                              <w:t>2,</w:t>
                            </w:r>
                            <w:r w:rsidR="0062544C">
                              <w:rPr>
                                <w:rStyle w:val="WartowskanikaZnak"/>
                              </w:rPr>
                              <w:t>5</w:t>
                            </w:r>
                          </w:p>
                          <w:p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B57037">
                              <w:t>1</w:t>
                            </w:r>
                            <w:r>
                              <w:t xml:space="preserve"> kwartałem 202</w:t>
                            </w:r>
                            <w:r w:rsidR="00EF4ACF">
                              <w:t>2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98A33" id="Pole tekstowe 2" o:spid="_x0000_s1026" alt="Opis wskaźnika:  102,5 &#10;wzrost cen producentów usług związanych z obsługą działalności gospodarczej w porównaniu &#10;z 1 kwartałem 2022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C8697A">
                        <w:rPr>
                          <w:rStyle w:val="WartowskanikaZnak"/>
                        </w:rPr>
                        <w:t>2,</w:t>
                      </w:r>
                      <w:r w:rsidR="0062544C">
                        <w:rPr>
                          <w:rStyle w:val="WartowskanikaZnak"/>
                        </w:rPr>
                        <w:t>5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B57037">
                        <w:t>1</w:t>
                      </w:r>
                      <w:r>
                        <w:t xml:space="preserve"> kwartałem 202</w:t>
                      </w:r>
                      <w:r w:rsidR="00EF4ACF">
                        <w:t>2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6254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A228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2,</w:t>
      </w:r>
      <w:r w:rsidR="006254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D43F5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6254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6,8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E47134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szCs w:val="19"/>
          <w:shd w:val="clear" w:color="auto" w:fill="FFFFFF"/>
        </w:rPr>
        <w:t>Tablica 1. Wskaźniki cen producentów usług związanych z obsługą działalności gospodarczej za </w:t>
      </w:r>
      <w:r>
        <w:rPr>
          <w:b/>
          <w:szCs w:val="19"/>
          <w:shd w:val="clear" w:color="auto" w:fill="FFFFFF"/>
        </w:rPr>
        <w:t>2</w:t>
      </w:r>
      <w:r w:rsidRPr="00BF747C">
        <w:rPr>
          <w:b/>
          <w:szCs w:val="19"/>
          <w:shd w:val="clear" w:color="auto" w:fill="FFFFFF"/>
        </w:rPr>
        <w:t> kwartał 202</w:t>
      </w:r>
      <w:r>
        <w:rPr>
          <w:b/>
          <w:szCs w:val="19"/>
          <w:shd w:val="clear" w:color="auto" w:fill="FFFFFF"/>
        </w:rPr>
        <w:t>2</w:t>
      </w:r>
      <w:r w:rsidRPr="00BF747C">
        <w:rPr>
          <w:b/>
          <w:szCs w:val="19"/>
          <w:shd w:val="clear" w:color="auto" w:fill="FFFFFF"/>
        </w:rPr>
        <w:t xml:space="preserve"> r.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2 kwartał 2022 r."/>
      </w:tblPr>
      <w:tblGrid>
        <w:gridCol w:w="3686"/>
        <w:gridCol w:w="1133"/>
        <w:gridCol w:w="1136"/>
        <w:gridCol w:w="1071"/>
        <w:gridCol w:w="1041"/>
      </w:tblGrid>
      <w:tr w:rsidR="00321993" w:rsidRPr="001530A5" w:rsidTr="00D86EBF">
        <w:trPr>
          <w:trHeight w:val="528"/>
          <w:tblHeader/>
        </w:trPr>
        <w:tc>
          <w:tcPr>
            <w:tcW w:w="2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2070" w:type="pct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821A42">
            <w:pPr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 kwartał 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 półrocze 2022</w:t>
            </w:r>
          </w:p>
        </w:tc>
      </w:tr>
      <w:tr w:rsidR="00E47134" w:rsidRPr="001530A5" w:rsidTr="00D86EBF">
        <w:trPr>
          <w:trHeight w:val="624"/>
          <w:tblHeader/>
        </w:trPr>
        <w:tc>
          <w:tcPr>
            <w:tcW w:w="2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 kwartał 2022=100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4 kwartał 2021=100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 kwartał 2021=100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 półrocze 2021=100</w:t>
            </w:r>
          </w:p>
        </w:tc>
      </w:tr>
      <w:tr w:rsidR="00E47134" w:rsidRPr="001530A5" w:rsidTr="00D86EBF">
        <w:trPr>
          <w:trHeight w:val="480"/>
        </w:trPr>
        <w:tc>
          <w:tcPr>
            <w:tcW w:w="2285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702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102,5</w:t>
            </w:r>
          </w:p>
        </w:tc>
        <w:tc>
          <w:tcPr>
            <w:tcW w:w="704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104,8</w:t>
            </w:r>
          </w:p>
        </w:tc>
        <w:tc>
          <w:tcPr>
            <w:tcW w:w="664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106,8</w:t>
            </w:r>
          </w:p>
        </w:tc>
        <w:tc>
          <w:tcPr>
            <w:tcW w:w="645" w:type="pct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</w:t>
            </w:r>
            <w:r w:rsidR="004D4F8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6</w:t>
            </w: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,0</w:t>
            </w:r>
          </w:p>
        </w:tc>
      </w:tr>
      <w:tr w:rsidR="00E47134" w:rsidRPr="001530A5" w:rsidTr="00D86EBF">
        <w:trPr>
          <w:trHeight w:val="46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103,0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105,8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110,0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108,4</w:t>
            </w:r>
          </w:p>
        </w:tc>
      </w:tr>
      <w:tr w:rsidR="00E47134" w:rsidRPr="001530A5" w:rsidTr="00D86EBF">
        <w:trPr>
          <w:trHeight w:val="8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103,7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103,2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102,7</w:t>
            </w:r>
          </w:p>
        </w:tc>
      </w:tr>
      <w:tr w:rsidR="00E47134" w:rsidRPr="001530A5" w:rsidTr="00D86EBF">
        <w:trPr>
          <w:trHeight w:val="64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100,8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95,3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95,7</w:t>
            </w:r>
          </w:p>
        </w:tc>
      </w:tr>
      <w:tr w:rsidR="00E47134" w:rsidRPr="001530A5" w:rsidTr="00D86EBF">
        <w:trPr>
          <w:trHeight w:val="876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oprogramowaniem i doradztwem w zakresie informatyki oraz działalność powiązana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105,2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107,5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106,4</w:t>
            </w:r>
          </w:p>
        </w:tc>
      </w:tr>
      <w:tr w:rsidR="00E47134" w:rsidRPr="001530A5" w:rsidTr="00D86EBF">
        <w:trPr>
          <w:trHeight w:val="5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105,8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104,6</w:t>
            </w:r>
          </w:p>
        </w:tc>
      </w:tr>
      <w:tr w:rsidR="00E47134" w:rsidRPr="001530A5" w:rsidTr="00D86EBF">
        <w:trPr>
          <w:trHeight w:val="5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obsługą rynku nieruchomości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106,0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105,6</w:t>
            </w:r>
          </w:p>
        </w:tc>
      </w:tr>
      <w:tr w:rsidR="00E47134" w:rsidRPr="001530A5" w:rsidTr="00D86EBF">
        <w:trPr>
          <w:trHeight w:val="76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106,9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105,7</w:t>
            </w:r>
          </w:p>
        </w:tc>
      </w:tr>
      <w:tr w:rsidR="00E47134" w:rsidRPr="001530A5" w:rsidTr="00D86EBF">
        <w:trPr>
          <w:trHeight w:val="624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105,0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104,0</w:t>
            </w:r>
          </w:p>
        </w:tc>
      </w:tr>
    </w:tbl>
    <w:p w:rsidR="00E47134" w:rsidRDefault="00E47134">
      <w:r>
        <w:br w:type="page"/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133"/>
        <w:gridCol w:w="1136"/>
        <w:gridCol w:w="1071"/>
        <w:gridCol w:w="1041"/>
      </w:tblGrid>
      <w:tr w:rsidR="00B82AEC" w:rsidRPr="001530A5" w:rsidTr="00B82AEC">
        <w:trPr>
          <w:trHeight w:val="572"/>
        </w:trPr>
        <w:tc>
          <w:tcPr>
            <w:tcW w:w="2285" w:type="pct"/>
            <w:vMerge w:val="restart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B82AEC" w:rsidRPr="008147D4" w:rsidRDefault="00B82AEC" w:rsidP="00E47134">
            <w:r w:rsidRPr="008147D4">
              <w:lastRenderedPageBreak/>
              <w:t>WYSZCZEGÓLNIENIE</w:t>
            </w:r>
          </w:p>
        </w:tc>
        <w:tc>
          <w:tcPr>
            <w:tcW w:w="2070" w:type="pct"/>
            <w:gridSpan w:val="3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B82AEC" w:rsidP="00710B38">
            <w:pPr>
              <w:jc w:val="center"/>
            </w:pPr>
            <w:r w:rsidRPr="008147D4">
              <w:t>2 kwartał 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82AEC" w:rsidRPr="008147D4" w:rsidRDefault="00B82AEC" w:rsidP="00E47134">
            <w:r w:rsidRPr="008147D4">
              <w:t>1 półrocze 2022</w:t>
            </w:r>
          </w:p>
        </w:tc>
      </w:tr>
      <w:tr w:rsidR="00B82AEC" w:rsidRPr="001530A5" w:rsidTr="00B82AEC">
        <w:trPr>
          <w:trHeight w:val="685"/>
        </w:trPr>
        <w:tc>
          <w:tcPr>
            <w:tcW w:w="2285" w:type="pct"/>
            <w:vMerge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B82AEC" w:rsidP="00E47134"/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B82AEC" w:rsidP="00E47134">
            <w:r w:rsidRPr="008147D4">
              <w:t>1 kwartał 2022=100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B82AEC" w:rsidP="00E47134">
            <w:r w:rsidRPr="008147D4">
              <w:t>4 kwartał 2021=100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B82AEC" w:rsidP="00E47134">
            <w:r w:rsidRPr="008147D4">
              <w:t>2 kwartał 2021=100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82AEC" w:rsidRDefault="00B82AEC" w:rsidP="00E47134">
            <w:r w:rsidRPr="008147D4">
              <w:t>1 półrocze 2021=100</w:t>
            </w:r>
          </w:p>
        </w:tc>
      </w:tr>
      <w:tr w:rsidR="00E47134" w:rsidRPr="001530A5" w:rsidTr="00E47134">
        <w:trPr>
          <w:trHeight w:val="564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101,4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101,7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103,2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102,9</w:t>
            </w:r>
          </w:p>
        </w:tc>
      </w:tr>
      <w:tr w:rsidR="00E47134" w:rsidRPr="001530A5" w:rsidTr="00E47134">
        <w:trPr>
          <w:trHeight w:val="64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Pozostała działalność profesjonalna, naukowa i techniczna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103,6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107,1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106,0</w:t>
            </w:r>
          </w:p>
        </w:tc>
      </w:tr>
      <w:tr w:rsidR="00E47134" w:rsidRPr="001530A5" w:rsidTr="00E47134">
        <w:trPr>
          <w:trHeight w:val="52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Wynajem i dzierżawa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103,4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107,4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115,6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114,8</w:t>
            </w:r>
          </w:p>
        </w:tc>
      </w:tr>
      <w:tr w:rsidR="00E47134" w:rsidRPr="001530A5" w:rsidTr="00E47134">
        <w:trPr>
          <w:trHeight w:val="52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101,9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106,5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108,8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108,1</w:t>
            </w:r>
          </w:p>
        </w:tc>
      </w:tr>
      <w:tr w:rsidR="00E47134" w:rsidRPr="001530A5" w:rsidTr="00E47134">
        <w:trPr>
          <w:trHeight w:val="108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110,9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114,6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122,0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116,9</w:t>
            </w:r>
          </w:p>
        </w:tc>
      </w:tr>
      <w:tr w:rsidR="00E47134" w:rsidRPr="001530A5" w:rsidTr="00E47134">
        <w:trPr>
          <w:trHeight w:val="58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100,3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105,4</w:t>
            </w:r>
          </w:p>
        </w:tc>
      </w:tr>
      <w:tr w:rsidR="00E47134" w:rsidRPr="001530A5" w:rsidTr="00E47134">
        <w:trPr>
          <w:trHeight w:val="876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101,2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105,6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107,3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106,9</w:t>
            </w:r>
          </w:p>
        </w:tc>
      </w:tr>
      <w:tr w:rsidR="00E47134" w:rsidRPr="001530A5" w:rsidTr="00E47134">
        <w:trPr>
          <w:trHeight w:val="972"/>
        </w:trPr>
        <w:tc>
          <w:tcPr>
            <w:tcW w:w="2285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102,0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104,4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107,1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106,8</w:t>
            </w:r>
          </w:p>
        </w:tc>
      </w:tr>
    </w:tbl>
    <w:p w:rsidR="001530A5" w:rsidRDefault="001530A5" w:rsidP="00A63840">
      <w:pPr>
        <w:ind w:left="851" w:hanging="851"/>
        <w:rPr>
          <w:b/>
          <w:szCs w:val="19"/>
          <w:shd w:val="clear" w:color="auto" w:fill="FFFFFF"/>
        </w:rPr>
      </w:pPr>
    </w:p>
    <w:p w:rsidR="00120C34" w:rsidRPr="00BF747C" w:rsidRDefault="003853E2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192B8624" wp14:editId="35C5C428">
                <wp:simplePos x="0" y="0"/>
                <wp:positionH relativeFrom="column">
                  <wp:posOffset>5250426</wp:posOffset>
                </wp:positionH>
                <wp:positionV relativeFrom="paragraph">
                  <wp:posOffset>235544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2 kwartale 2022  r. największy wzrost cen w stosunku do poprzedniego kwartału odnotowano w usługach organizatorów turystyki, pośredników i agentów turystycznych oraz pozostałej działalności usługowej w zakresie rezerwacji i działalności z nią związa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</w:t>
                            </w:r>
                            <w:r w:rsidR="005C47B8">
                              <w:t xml:space="preserve"> </w:t>
                            </w:r>
                            <w:r w:rsidR="00F0713B">
                              <w:t>2</w:t>
                            </w:r>
                            <w:r w:rsidRPr="007958EA">
                              <w:t xml:space="preserve"> kwartale </w:t>
                            </w:r>
                            <w:r>
                              <w:t>202</w:t>
                            </w:r>
                            <w:r w:rsidR="00A22886">
                              <w:t>2</w:t>
                            </w:r>
                            <w:r w:rsidR="00227087">
                              <w:t xml:space="preserve"> 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</w:t>
                            </w:r>
                            <w:r w:rsidR="00F0713B" w:rsidRPr="00F0713B">
                              <w:t>usług</w:t>
                            </w:r>
                            <w:r w:rsidR="00F0713B">
                              <w:t>ach</w:t>
                            </w:r>
                            <w:r w:rsidR="00F0713B" w:rsidRPr="00F0713B">
                              <w:t xml:space="preserve"> organizatorów turystyki, pośredników i agentów turystycznych oraz pozostałej działalności usługowej w zakresie rezerwacji i działalności z nią związanych 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86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2  r. największy wzrost cen w stosunku do poprzedniego kwartału odnotowano w usługach organizatorów turystyki, pośredników i agentów turystycznych oraz pozostałej działalności usługowej w zakresie rezerwacji i działalności z nią związanych " style="position:absolute;left:0;text-align:left;margin-left:413.4pt;margin-top:18.55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</w:t>
                      </w:r>
                      <w:r w:rsidR="005C47B8">
                        <w:t xml:space="preserve"> </w:t>
                      </w:r>
                      <w:r w:rsidR="00F0713B">
                        <w:t>2</w:t>
                      </w:r>
                      <w:r w:rsidRPr="007958EA">
                        <w:t xml:space="preserve"> kwartale </w:t>
                      </w:r>
                      <w:r>
                        <w:t>202</w:t>
                      </w:r>
                      <w:r w:rsidR="00A22886">
                        <w:t>2</w:t>
                      </w:r>
                      <w:r w:rsidR="00227087">
                        <w:t xml:space="preserve"> 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</w:t>
                      </w:r>
                      <w:r w:rsidR="00F0713B" w:rsidRPr="00F0713B">
                        <w:t>usług</w:t>
                      </w:r>
                      <w:r w:rsidR="00F0713B">
                        <w:t>ach</w:t>
                      </w:r>
                      <w:r w:rsidR="00F0713B" w:rsidRPr="00F0713B">
                        <w:t xml:space="preserve"> organizatorów turystyki, pośredników i agentów turystycznych oraz pozostałej działalności usługowej w zakresie rezerwacji i działalności z nią związanych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065D6" w:rsidRPr="007065D6" w:rsidRDefault="00A64B5A" w:rsidP="007065D6">
      <w:r>
        <w:rPr>
          <w:color w:val="000000" w:themeColor="text1"/>
        </w:rPr>
        <w:t>W 2</w:t>
      </w:r>
      <w:r w:rsidRPr="001D06C5">
        <w:rPr>
          <w:color w:val="000000" w:themeColor="text1"/>
        </w:rPr>
        <w:t xml:space="preserve"> kwartale 202</w:t>
      </w:r>
      <w:r>
        <w:rPr>
          <w:color w:val="000000" w:themeColor="text1"/>
        </w:rPr>
        <w:t>2</w:t>
      </w:r>
      <w:r w:rsidRPr="001D06C5">
        <w:rPr>
          <w:color w:val="000000" w:themeColor="text1"/>
        </w:rPr>
        <w:t xml:space="preserve"> r. </w:t>
      </w:r>
      <w:r>
        <w:rPr>
          <w:color w:val="000000" w:themeColor="text1"/>
        </w:rPr>
        <w:t>wzrost cen w stosunku do</w:t>
      </w:r>
      <w:r w:rsidRPr="0007018F">
        <w:rPr>
          <w:color w:val="000000" w:themeColor="text1"/>
        </w:rPr>
        <w:t xml:space="preserve"> poprzedniego kwartału </w:t>
      </w:r>
      <w:r>
        <w:rPr>
          <w:color w:val="000000" w:themeColor="text1"/>
        </w:rPr>
        <w:t>odnotowano we wszystkich badanych rodzajach usług związanych z obsługą działalności gospodarczej.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>
        <w:rPr>
          <w:rFonts w:eastAsia="Fira Sans Light" w:cs="Times New Roman"/>
          <w:color w:val="000000" w:themeColor="text1"/>
          <w:shd w:val="clear" w:color="auto" w:fill="FFFFFF"/>
        </w:rPr>
        <w:t>N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>ajwiększy wzrost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9F1945">
        <w:rPr>
          <w:rFonts w:eastAsia="Fira Sans Light" w:cs="Times New Roman"/>
          <w:color w:val="000000" w:themeColor="text1"/>
          <w:shd w:val="clear" w:color="auto" w:fill="FFFFFF"/>
        </w:rPr>
        <w:t>wystąpił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w przypadku </w:t>
      </w:r>
      <w:bookmarkStart w:id="0" w:name="_Hlk112314048"/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>usług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1" w:name="_Hlk112319155"/>
      <w:r w:rsidR="00EF4587" w:rsidRPr="009A2F91">
        <w:t>organizatorów turystyki, pośredników i agentów turystycznych oraz pozostałej działalności usługowej w zakresie rezerwacji i działalności z nią</w:t>
      </w:r>
      <w:bookmarkEnd w:id="0"/>
      <w:bookmarkEnd w:id="1"/>
      <w:r w:rsidR="00215AA9">
        <w:t xml:space="preserve"> związan</w:t>
      </w:r>
      <w:r w:rsidR="00ED0FAC">
        <w:t>ych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>, tj. o </w:t>
      </w:r>
      <w:r w:rsidR="00EF4587">
        <w:rPr>
          <w:rFonts w:eastAsia="Fira Sans Light" w:cs="Times New Roman"/>
          <w:color w:val="000000" w:themeColor="text1"/>
          <w:shd w:val="clear" w:color="auto" w:fill="FFFFFF"/>
        </w:rPr>
        <w:t>10,9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4E6BA4">
        <w:rPr>
          <w:rFonts w:eastAsia="Fira Sans Light" w:cs="Times New Roman"/>
          <w:color w:val="000000" w:themeColor="text1"/>
          <w:shd w:val="clear" w:color="auto" w:fill="FFFFFF"/>
        </w:rPr>
        <w:t xml:space="preserve"> (największy udział w tym wzroście miał wzrost cen usług organizatorów turystyki)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4858DF">
        <w:rPr>
          <w:rFonts w:eastAsia="Fira Sans Light" w:cs="Times New Roman"/>
          <w:color w:val="000000" w:themeColor="text1"/>
          <w:shd w:val="clear" w:color="auto" w:fill="FFFFFF"/>
        </w:rPr>
        <w:t>W dalszej kolejności</w:t>
      </w:r>
      <w:r w:rsidR="00A76278">
        <w:rPr>
          <w:rFonts w:eastAsia="Fira Sans Light" w:cs="Times New Roman"/>
          <w:color w:val="000000" w:themeColor="text1"/>
          <w:shd w:val="clear" w:color="auto" w:fill="FFFFFF"/>
        </w:rPr>
        <w:t xml:space="preserve"> wzrosły ceny </w:t>
      </w:r>
      <w:r w:rsidR="00EF4587">
        <w:rPr>
          <w:rFonts w:eastAsia="Fira Sans Light" w:cs="Times New Roman"/>
          <w:color w:val="000000" w:themeColor="text1"/>
          <w:shd w:val="clear" w:color="auto" w:fill="FFFFFF"/>
        </w:rPr>
        <w:t xml:space="preserve">usług </w:t>
      </w:r>
      <w:r w:rsidR="00EF4587">
        <w:t>wynajmu i dzierżawy</w:t>
      </w:r>
      <w:r w:rsidR="00A76278">
        <w:t>,</w:t>
      </w:r>
      <w:r w:rsidR="00EF4587">
        <w:t xml:space="preserve"> gdzie odnotowano wzrost o 3,4%</w:t>
      </w:r>
      <w:r w:rsidR="007D0B3E">
        <w:t xml:space="preserve"> (najbardziej wzrosły ceny wynajmu i dzierżawy samochodów osobowych)</w:t>
      </w:r>
      <w:r w:rsidR="00EF4587">
        <w:t xml:space="preserve"> oraz </w:t>
      </w:r>
      <w:r w:rsidR="00016992">
        <w:t xml:space="preserve">ceny </w:t>
      </w:r>
      <w:r w:rsidR="00EF4587">
        <w:t>usług w działalności wydawniczej</w:t>
      </w:r>
      <w:r w:rsidR="004B426C">
        <w:t xml:space="preserve"> </w:t>
      </w:r>
      <w:r w:rsidR="00EF4587">
        <w:t>– wzrost o 3,0%</w:t>
      </w:r>
      <w:r w:rsidR="00DF315C">
        <w:t xml:space="preserve"> (</w:t>
      </w:r>
      <w:r w:rsidR="005047FB">
        <w:t xml:space="preserve">m.in. </w:t>
      </w:r>
      <w:r w:rsidR="004858DF">
        <w:t xml:space="preserve">istotny </w:t>
      </w:r>
      <w:r w:rsidR="00DF315C">
        <w:t>wzrost</w:t>
      </w:r>
      <w:r w:rsidR="000D048E">
        <w:t xml:space="preserve"> </w:t>
      </w:r>
      <w:r w:rsidR="00DF315C">
        <w:t xml:space="preserve">cen </w:t>
      </w:r>
      <w:r w:rsidR="00E63A78">
        <w:t xml:space="preserve">usług </w:t>
      </w:r>
      <w:r w:rsidR="00DF315C">
        <w:t>wydawania gazet</w:t>
      </w:r>
      <w:r w:rsidR="001D0867">
        <w:t>, czasopism</w:t>
      </w:r>
      <w:r w:rsidR="00DF315C">
        <w:t xml:space="preserve"> oraz oprogramowania)</w:t>
      </w:r>
      <w:r w:rsidR="00EF4587">
        <w:t>.</w:t>
      </w:r>
      <w:r w:rsidR="00310867">
        <w:t xml:space="preserve"> </w:t>
      </w:r>
      <w:r w:rsidR="007065D6">
        <w:t>W najmniejszym stopniu wzrosły ceny usług</w:t>
      </w:r>
      <w:r w:rsidR="007065D6" w:rsidRPr="007065D6">
        <w:t xml:space="preserve"> </w:t>
      </w:r>
      <w:bookmarkStart w:id="2" w:name="_Hlk112319378"/>
      <w:r w:rsidR="007065D6" w:rsidRPr="007065D6">
        <w:t xml:space="preserve">reklamy, badania rynku i opinii publicznej </w:t>
      </w:r>
      <w:bookmarkEnd w:id="2"/>
      <w:r w:rsidR="007065D6" w:rsidRPr="007065D6">
        <w:t xml:space="preserve">(o </w:t>
      </w:r>
      <w:r w:rsidR="007065D6">
        <w:t>1,4</w:t>
      </w:r>
      <w:r w:rsidR="007065D6" w:rsidRPr="007065D6">
        <w:t>%)</w:t>
      </w:r>
      <w:r w:rsidR="007065D6">
        <w:t xml:space="preserve">, </w:t>
      </w:r>
      <w:r w:rsidR="007065D6" w:rsidRPr="007065D6">
        <w:t>działalności usługowej związanej z utrzymaniem porządku w budynkach i zagospodarowaniem terenów zieleni</w:t>
      </w:r>
      <w:r w:rsidR="007065D6">
        <w:t xml:space="preserve"> (o 1,2%) oraz </w:t>
      </w:r>
      <w:r w:rsidR="007065D6" w:rsidRPr="007065D6">
        <w:t>usług w działalności detektywistycznej i ochroniarskiej</w:t>
      </w:r>
      <w:r w:rsidR="007065D6">
        <w:t xml:space="preserve"> (o 0,3%).</w:t>
      </w:r>
    </w:p>
    <w:p w:rsidR="003B403E" w:rsidRDefault="003B403E" w:rsidP="003B403E">
      <w:r w:rsidRPr="00053E1D">
        <w:t xml:space="preserve">W stosunku do </w:t>
      </w:r>
      <w:r w:rsidR="00F6497E">
        <w:t>2</w:t>
      </w:r>
      <w:r w:rsidRPr="00053E1D">
        <w:t xml:space="preserve"> kwartału 202</w:t>
      </w:r>
      <w:r>
        <w:t>1</w:t>
      </w:r>
      <w:r w:rsidRPr="00053E1D">
        <w:t xml:space="preserve"> r. największy wzrost cen </w:t>
      </w:r>
      <w:r>
        <w:t xml:space="preserve">wystąpił </w:t>
      </w:r>
      <w:r w:rsidR="009F5BC7">
        <w:t xml:space="preserve">także </w:t>
      </w:r>
      <w:r>
        <w:t>w przypadku</w:t>
      </w:r>
      <w:r w:rsidRPr="00053E1D">
        <w:t xml:space="preserve"> usług </w:t>
      </w:r>
      <w:r w:rsidR="00593EE9" w:rsidRPr="00593EE9">
        <w:t>organizatorów turystyki, pośredników i agentów turystycznych oraz pozostałej działalności usługowej w zakresie rezerwacji i działalności z nią związanych</w:t>
      </w:r>
      <w:r w:rsidR="00593EE9">
        <w:t xml:space="preserve"> (o 22,0%)</w:t>
      </w:r>
      <w:r w:rsidR="009F5BC7">
        <w:t>. W dalszej kolejności</w:t>
      </w:r>
      <w:r w:rsidR="003976AC">
        <w:t>, podobnie jak w stosunku</w:t>
      </w:r>
      <w:r w:rsidR="008A26A9">
        <w:t xml:space="preserve"> do poprzedniego kwartału,</w:t>
      </w:r>
      <w:r w:rsidR="009F5BC7">
        <w:t xml:space="preserve"> odnotowano wzrost</w:t>
      </w:r>
      <w:r w:rsidR="00611752">
        <w:t>y</w:t>
      </w:r>
      <w:r w:rsidR="009F5BC7">
        <w:t xml:space="preserve"> cen usług</w:t>
      </w:r>
      <w:r w:rsidR="00593EE9" w:rsidRPr="00593EE9">
        <w:t xml:space="preserve"> </w:t>
      </w:r>
      <w:r>
        <w:t>wynajmu i dzierżawy (o 1</w:t>
      </w:r>
      <w:r w:rsidR="00593EE9">
        <w:t>5</w:t>
      </w:r>
      <w:r>
        <w:t>,</w:t>
      </w:r>
      <w:r w:rsidR="00593EE9">
        <w:t>6</w:t>
      </w:r>
      <w:r>
        <w:t xml:space="preserve">%), oraz usług </w:t>
      </w:r>
      <w:r w:rsidR="00A1122E">
        <w:t>w działalności wydawniczej</w:t>
      </w:r>
      <w:r w:rsidRPr="00AD5F74">
        <w:t xml:space="preserve"> </w:t>
      </w:r>
      <w:r w:rsidRPr="00053E1D">
        <w:t xml:space="preserve">(o </w:t>
      </w:r>
      <w:r w:rsidR="00A1122E">
        <w:t>10,0</w:t>
      </w:r>
      <w:r w:rsidRPr="00053E1D">
        <w:t>%).</w:t>
      </w:r>
      <w:r w:rsidR="00593EE9">
        <w:t xml:space="preserve"> Najmniejsze wzrosty zanotowano w </w:t>
      </w:r>
      <w:r w:rsidR="00890565">
        <w:t>przypadku</w:t>
      </w:r>
      <w:r w:rsidR="00593EE9">
        <w:t xml:space="preserve"> cen usług w d</w:t>
      </w:r>
      <w:r w:rsidR="00593EE9" w:rsidRPr="00593EE9">
        <w:t>ziałalnoś</w:t>
      </w:r>
      <w:r w:rsidR="00E81579">
        <w:t>ci</w:t>
      </w:r>
      <w:r w:rsidR="00593EE9" w:rsidRPr="00593EE9">
        <w:t xml:space="preserve"> związan</w:t>
      </w:r>
      <w:r w:rsidR="00E81579">
        <w:t>ej</w:t>
      </w:r>
      <w:r w:rsidR="00593EE9" w:rsidRPr="00593EE9">
        <w:t xml:space="preserve"> z produkcją filmów, nagrań wideo, programów telewizyjnych, nagrań dźwiękowych i muzycznych</w:t>
      </w:r>
      <w:r w:rsidR="003C1DDD">
        <w:t>,</w:t>
      </w:r>
      <w:r w:rsidR="00593EE9">
        <w:t xml:space="preserve"> a także usług </w:t>
      </w:r>
      <w:r w:rsidR="00593EE9" w:rsidRPr="00593EE9">
        <w:t>reklamy, badania rynku i opinii publicznej</w:t>
      </w:r>
      <w:r w:rsidR="00593EE9">
        <w:t xml:space="preserve"> (w obu przypadkach był to wzrost o 3,2%)</w:t>
      </w:r>
    </w:p>
    <w:p w:rsidR="003B403E" w:rsidRDefault="003B403E" w:rsidP="003B403E">
      <w:pPr>
        <w:rPr>
          <w:color w:val="000000" w:themeColor="text1"/>
        </w:rPr>
      </w:pPr>
      <w:r>
        <w:rPr>
          <w:color w:val="000000" w:themeColor="text1"/>
        </w:rPr>
        <w:t xml:space="preserve">Spadek cen w porównaniu z </w:t>
      </w:r>
      <w:r w:rsidR="006C328A">
        <w:rPr>
          <w:color w:val="000000" w:themeColor="text1"/>
        </w:rPr>
        <w:t>2</w:t>
      </w:r>
      <w:bookmarkStart w:id="3" w:name="_GoBack"/>
      <w:bookmarkEnd w:id="3"/>
      <w:r>
        <w:rPr>
          <w:color w:val="000000" w:themeColor="text1"/>
        </w:rPr>
        <w:t xml:space="preserve"> kwartałem ubiegłego roku odnotowano natomiast w przypadku usług </w:t>
      </w:r>
      <w:r w:rsidRPr="002F1676">
        <w:rPr>
          <w:color w:val="000000" w:themeColor="text1"/>
        </w:rPr>
        <w:t>nadawania programów ogólnodostępnych i abonamentowych</w:t>
      </w:r>
      <w:r>
        <w:rPr>
          <w:color w:val="000000" w:themeColor="text1"/>
        </w:rPr>
        <w:t xml:space="preserve"> (o 4,</w:t>
      </w:r>
      <w:r w:rsidR="00593EE9">
        <w:rPr>
          <w:color w:val="000000" w:themeColor="text1"/>
        </w:rPr>
        <w:t>7</w:t>
      </w:r>
      <w:r>
        <w:rPr>
          <w:color w:val="000000" w:themeColor="text1"/>
        </w:rPr>
        <w:t>%).</w:t>
      </w:r>
    </w:p>
    <w:p w:rsidR="003B403E" w:rsidRDefault="003B403E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:rsidR="00095B4F" w:rsidRDefault="00F47B27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rFonts w:eastAsia="Fira Sans Light" w:cs="Times New Roman"/>
          <w:noProof/>
          <w:color w:val="000000" w:themeColor="text1"/>
          <w:spacing w:val="0"/>
          <w:sz w:val="19"/>
          <w:szCs w:val="19"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347345</wp:posOffset>
            </wp:positionV>
            <wp:extent cx="5206365" cy="3286125"/>
            <wp:effectExtent l="0" t="0" r="0" b="9525"/>
            <wp:wrapSquare wrapText="bothSides"/>
            <wp:docPr id="13" name="Obraz 13" descr="Wykres 1. Zmiany cen producentów usług związanych z obsługą działalności gospodarczej &#10;w latach 2019-2022  (kwartał poprzedni = 100)&#10;Wykres prezentuje zmiany cen  producentów usług związanych z obsługą działalności gospodarczej w kwartałach dla lat 2019-2022, w odniesieniu do kwartał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201</w:t>
      </w:r>
      <w:r w:rsidR="00C8458A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9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C8458A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:rsidR="00CC0932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201</w:t>
      </w:r>
      <w:r w:rsidR="00DE0E6F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9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DE0E6F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 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:rsidR="00641674" w:rsidRDefault="00F47B27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inline distT="0" distB="0" distL="0" distR="0" wp14:anchorId="043184BD">
            <wp:extent cx="5200650" cy="3157855"/>
            <wp:effectExtent l="0" t="0" r="0" b="4445"/>
            <wp:docPr id="12" name="Obraz 12" descr="Wykres 2. Zmiany cen producentów usług związanych z obsługą działalności gospodarczej &#10;w latach 2019-2022  (analogiczny okres roku poprzedniego = 100)&#10;&#10;Wykres prezentuje zmiany cen  producentów usług związanych z obsługą działalności gospodarczej w kwartałach dla lat 2019-2022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Tr="002B7E95">
        <w:trPr>
          <w:trHeight w:val="1626"/>
        </w:trPr>
        <w:tc>
          <w:tcPr>
            <w:tcW w:w="2500" w:type="pct"/>
          </w:tcPr>
          <w:p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2B7E95" w:rsidRDefault="002B7E95" w:rsidP="00F92C06">
            <w:pPr>
              <w:rPr>
                <w:sz w:val="18"/>
              </w:rPr>
            </w:pPr>
          </w:p>
        </w:tc>
      </w:tr>
      <w:tr w:rsidR="002B7E95" w:rsidTr="002B7E95">
        <w:trPr>
          <w:trHeight w:val="418"/>
        </w:trPr>
        <w:tc>
          <w:tcPr>
            <w:tcW w:w="2500" w:type="pct"/>
            <w:vMerge w:val="restar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47471B5A" wp14:editId="0DF11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:rsidTr="002B7E95">
        <w:trPr>
          <w:trHeight w:val="418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751A82E2" wp14:editId="151BFD1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76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DC9C8F3" wp14:editId="712F1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2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35CAEBAC" wp14:editId="44BFE5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:rsidTr="002B7E95">
        <w:trPr>
          <w:trHeight w:val="504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10CA91D5" wp14:editId="46495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:rsidTr="002B7E95">
        <w:trPr>
          <w:trHeight w:val="154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71209AA" wp14:editId="5A0962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7E95" w:rsidRPr="002B7E95" w:rsidRDefault="006C328A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2 kwartał 2022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0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2B7E95" w:rsidRPr="00CF18EE" w:rsidRDefault="006C328A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2B7E95" w:rsidRPr="00B16871" w:rsidRDefault="006C328A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94" w:rsidRDefault="00AB4B94" w:rsidP="000662E2">
      <w:pPr>
        <w:spacing w:after="0" w:line="240" w:lineRule="auto"/>
      </w:pPr>
      <w:r>
        <w:separator/>
      </w:r>
    </w:p>
  </w:endnote>
  <w:end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B27">
          <w:rPr>
            <w:noProof/>
          </w:rPr>
          <w:t>3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B27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94" w:rsidRDefault="00AB4B94" w:rsidP="000662E2">
      <w:pPr>
        <w:spacing w:after="0" w:line="240" w:lineRule="auto"/>
      </w:pPr>
      <w:r>
        <w:separator/>
      </w:r>
    </w:p>
  </w:footnote>
  <w:foot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E331A4" wp14:editId="2AF4312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89D3A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50D7C94" wp14:editId="21711F7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D7C94" id="Schemat blokowy: opóźnienie 6" o:spid="_x0000_s1028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D01EA0" wp14:editId="4A339B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05AC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38D49F8E" wp14:editId="4FF9E9BF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41891216" wp14:editId="4287BD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9.09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9171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C695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121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09.09.202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" filled="f" stroked="f">
              <v:textbox>
                <w:txbxContent>
                  <w:p w:rsidR="00F37172" w:rsidRPr="00C97596" w:rsidRDefault="009171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C695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8pt;height:122.4pt;visibility:visible;mso-wrap-style:square" o:bullet="t">
        <v:imagedata r:id="rId1" o:title=""/>
      </v:shape>
    </w:pict>
  </w:numPicBullet>
  <w:numPicBullet w:numPicBulletId="1">
    <w:pict>
      <v:shape id="_x0000_i1027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0B8D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992"/>
    <w:rsid w:val="00016E40"/>
    <w:rsid w:val="00020407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048E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30A5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4D1B"/>
    <w:rsid w:val="001A5091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0867"/>
    <w:rsid w:val="001D18B5"/>
    <w:rsid w:val="001D1DB4"/>
    <w:rsid w:val="001D2A62"/>
    <w:rsid w:val="001D3880"/>
    <w:rsid w:val="001D3A64"/>
    <w:rsid w:val="001D4756"/>
    <w:rsid w:val="001D64BF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D1E"/>
    <w:rsid w:val="001E79B2"/>
    <w:rsid w:val="001E7A63"/>
    <w:rsid w:val="001F008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3B4"/>
    <w:rsid w:val="00215AA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0FD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1AC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11C8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867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993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7BD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45D4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B0E"/>
    <w:rsid w:val="00383887"/>
    <w:rsid w:val="00384301"/>
    <w:rsid w:val="003843DB"/>
    <w:rsid w:val="003848A5"/>
    <w:rsid w:val="003853E2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6AC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C009F"/>
    <w:rsid w:val="003C1166"/>
    <w:rsid w:val="003C1A52"/>
    <w:rsid w:val="003C1DDD"/>
    <w:rsid w:val="003C2E01"/>
    <w:rsid w:val="003C36FE"/>
    <w:rsid w:val="003C3824"/>
    <w:rsid w:val="003C4B9E"/>
    <w:rsid w:val="003C500B"/>
    <w:rsid w:val="003C5587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230F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7D1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24B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672DE"/>
    <w:rsid w:val="0047070C"/>
    <w:rsid w:val="0047083B"/>
    <w:rsid w:val="004720C6"/>
    <w:rsid w:val="004723E7"/>
    <w:rsid w:val="00472675"/>
    <w:rsid w:val="00473304"/>
    <w:rsid w:val="004733F6"/>
    <w:rsid w:val="00474E69"/>
    <w:rsid w:val="00475451"/>
    <w:rsid w:val="00477403"/>
    <w:rsid w:val="00482D71"/>
    <w:rsid w:val="004830C3"/>
    <w:rsid w:val="0048362E"/>
    <w:rsid w:val="0048397C"/>
    <w:rsid w:val="00484499"/>
    <w:rsid w:val="0048541B"/>
    <w:rsid w:val="0048571D"/>
    <w:rsid w:val="004858A6"/>
    <w:rsid w:val="004858DF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426C"/>
    <w:rsid w:val="004B58A0"/>
    <w:rsid w:val="004B5D5F"/>
    <w:rsid w:val="004B625C"/>
    <w:rsid w:val="004B62D5"/>
    <w:rsid w:val="004B6783"/>
    <w:rsid w:val="004B683C"/>
    <w:rsid w:val="004B7460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295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4F8E"/>
    <w:rsid w:val="004D5778"/>
    <w:rsid w:val="004D62E3"/>
    <w:rsid w:val="004D745A"/>
    <w:rsid w:val="004D7C98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6BA4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47FB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9EB"/>
    <w:rsid w:val="00586371"/>
    <w:rsid w:val="00586939"/>
    <w:rsid w:val="0058752B"/>
    <w:rsid w:val="005916D7"/>
    <w:rsid w:val="00591BD4"/>
    <w:rsid w:val="00593DE2"/>
    <w:rsid w:val="00593EE9"/>
    <w:rsid w:val="005966E4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15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752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44C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6C29"/>
    <w:rsid w:val="00637EB5"/>
    <w:rsid w:val="00640BE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B6652"/>
    <w:rsid w:val="006C00A1"/>
    <w:rsid w:val="006C0D67"/>
    <w:rsid w:val="006C2074"/>
    <w:rsid w:val="006C2A58"/>
    <w:rsid w:val="006C2C34"/>
    <w:rsid w:val="006C2EFD"/>
    <w:rsid w:val="006C2F5E"/>
    <w:rsid w:val="006C305A"/>
    <w:rsid w:val="006C328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65D6"/>
    <w:rsid w:val="007073FB"/>
    <w:rsid w:val="00710B38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061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0B3E"/>
    <w:rsid w:val="007D2B9D"/>
    <w:rsid w:val="007D2C6F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63F"/>
    <w:rsid w:val="007E57E2"/>
    <w:rsid w:val="007F030C"/>
    <w:rsid w:val="007F0B57"/>
    <w:rsid w:val="007F1014"/>
    <w:rsid w:val="007F324B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1A42"/>
    <w:rsid w:val="00822105"/>
    <w:rsid w:val="008223A8"/>
    <w:rsid w:val="00823DAD"/>
    <w:rsid w:val="00823E5F"/>
    <w:rsid w:val="00824380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3A1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00F"/>
    <w:rsid w:val="00886186"/>
    <w:rsid w:val="00886332"/>
    <w:rsid w:val="00886744"/>
    <w:rsid w:val="00886AEE"/>
    <w:rsid w:val="00887EFC"/>
    <w:rsid w:val="00890565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A9"/>
    <w:rsid w:val="008A26D9"/>
    <w:rsid w:val="008A31AE"/>
    <w:rsid w:val="008A575A"/>
    <w:rsid w:val="008A5829"/>
    <w:rsid w:val="008A6D39"/>
    <w:rsid w:val="008A6D42"/>
    <w:rsid w:val="008B023D"/>
    <w:rsid w:val="008B06E1"/>
    <w:rsid w:val="008B0CAD"/>
    <w:rsid w:val="008B18CA"/>
    <w:rsid w:val="008B36C0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E9E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42BD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1B9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3E4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5F08"/>
    <w:rsid w:val="009A6E65"/>
    <w:rsid w:val="009A6EA0"/>
    <w:rsid w:val="009A7548"/>
    <w:rsid w:val="009A78BF"/>
    <w:rsid w:val="009A7B6D"/>
    <w:rsid w:val="009B0D93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328E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945"/>
    <w:rsid w:val="009F1FE1"/>
    <w:rsid w:val="009F520D"/>
    <w:rsid w:val="009F57F6"/>
    <w:rsid w:val="009F5BC7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22E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0943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4B5A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278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49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1B8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1E33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605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037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2AEC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1C05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85C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932"/>
    <w:rsid w:val="00CC0E25"/>
    <w:rsid w:val="00CC105E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CDB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3F59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1C94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6EBF"/>
    <w:rsid w:val="00D878C7"/>
    <w:rsid w:val="00D87954"/>
    <w:rsid w:val="00D87CBC"/>
    <w:rsid w:val="00D90D14"/>
    <w:rsid w:val="00D9109C"/>
    <w:rsid w:val="00D91446"/>
    <w:rsid w:val="00D918EF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D36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315C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34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41A"/>
    <w:rsid w:val="00E62B72"/>
    <w:rsid w:val="00E63635"/>
    <w:rsid w:val="00E63724"/>
    <w:rsid w:val="00E63A78"/>
    <w:rsid w:val="00E63EA9"/>
    <w:rsid w:val="00E6417C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1579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31ED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0FAC"/>
    <w:rsid w:val="00ED1571"/>
    <w:rsid w:val="00ED1615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4587"/>
    <w:rsid w:val="00EF4ACF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0713B"/>
    <w:rsid w:val="00F10D06"/>
    <w:rsid w:val="00F10DAC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7B27"/>
    <w:rsid w:val="00F512B0"/>
    <w:rsid w:val="00F5252E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97E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05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B2CA7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ceny-handel/ceny/ceny-w-gospodarce-narodowej-w-2020-r-,3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2,kategoria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F0636591-49B2-4E5C-986A-E4B25C47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4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2022-08-31T09:28:00Z</cp:lastPrinted>
  <dcterms:created xsi:type="dcterms:W3CDTF">2022-08-23T10:18:00Z</dcterms:created>
  <dcterms:modified xsi:type="dcterms:W3CDTF">2022-09-06T11:15:00Z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