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A7" w:rsidRPr="009B2A4A" w:rsidRDefault="008F3F59" w:rsidP="005D51A7">
      <w:pPr>
        <w:pStyle w:val="Tytuinfomacjisygnalnej"/>
        <w:rPr>
          <w:lang w:val="en-GB"/>
        </w:rPr>
      </w:pPr>
      <w:bookmarkStart w:id="0" w:name="_GoBack"/>
      <w:bookmarkEnd w:id="0"/>
      <w:r>
        <w:t xml:space="preserve">Działalność faktoringowa przedsiębiorstw </w:t>
      </w:r>
      <w:r>
        <w:br/>
        <w:t>finansowych w 2021 r.</w:t>
      </w:r>
    </w:p>
    <w:p w:rsidR="005D51A7" w:rsidRPr="008F3F59" w:rsidRDefault="005D51A7" w:rsidP="005D51A7">
      <w:pPr>
        <w:pStyle w:val="Lead"/>
        <w:rPr>
          <w:lang w:val="en-GB"/>
        </w:rPr>
      </w:pPr>
      <w:r w:rsidRPr="008F3F59">
        <mc:AlternateContent>
          <mc:Choice Requires="wps">
            <w:drawing>
              <wp:anchor distT="45720" distB="45720" distL="114300" distR="114300" simplePos="0" relativeHeight="251673088" behindDoc="0" locked="0" layoutInCell="1" allowOverlap="1" wp14:anchorId="203D7ECD" wp14:editId="723648B9">
                <wp:simplePos x="0" y="0"/>
                <wp:positionH relativeFrom="margin">
                  <wp:posOffset>-30480</wp:posOffset>
                </wp:positionH>
                <wp:positionV relativeFrom="paragraph">
                  <wp:posOffset>10160</wp:posOffset>
                </wp:positionV>
                <wp:extent cx="2110740" cy="1234440"/>
                <wp:effectExtent l="0" t="0" r="3810" b="3810"/>
                <wp:wrapSquare wrapText="bothSides"/>
                <wp:docPr id="39" name="Pole tekstowe 2" descr="wzrost wartości wykupionych wierzytelności 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234440"/>
                        </a:xfrm>
                        <a:prstGeom prst="roundRect">
                          <a:avLst/>
                        </a:prstGeom>
                        <a:solidFill>
                          <a:srgbClr val="001D77"/>
                        </a:solidFill>
                        <a:ln w="9525">
                          <a:noFill/>
                          <a:miter lim="800000"/>
                          <a:headEnd/>
                          <a:tailEnd/>
                        </a:ln>
                      </wps:spPr>
                      <wps:txbx>
                        <w:txbxContent>
                          <w:p w:rsidR="005D51A7" w:rsidRPr="009B2A4A" w:rsidRDefault="005D51A7" w:rsidP="005D51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Pr>
                                <w:rStyle w:val="WartowskanikaZnak"/>
                                <w:lang w:val="en-GB"/>
                              </w:rPr>
                              <w:t xml:space="preserve"> </w:t>
                            </w:r>
                            <w:r w:rsidR="000B7BB0">
                              <w:rPr>
                                <w:rStyle w:val="WartowskanikaZnak"/>
                                <w:sz w:val="72"/>
                                <w:szCs w:val="72"/>
                                <w:lang w:val="en-GB"/>
                              </w:rPr>
                              <w:t>2</w:t>
                            </w:r>
                            <w:r w:rsidR="00DD5287">
                              <w:rPr>
                                <w:rStyle w:val="WartowskanikaZnak"/>
                                <w:sz w:val="72"/>
                                <w:szCs w:val="72"/>
                                <w:lang w:val="en-GB"/>
                              </w:rPr>
                              <w:t>9</w:t>
                            </w:r>
                            <w:r w:rsidRPr="009B2A4A">
                              <w:rPr>
                                <w:rStyle w:val="WartowskanikaZnak"/>
                                <w:sz w:val="72"/>
                                <w:szCs w:val="72"/>
                                <w:lang w:val="en-GB"/>
                              </w:rPr>
                              <w:t>,</w:t>
                            </w:r>
                            <w:r w:rsidR="000B7BB0">
                              <w:rPr>
                                <w:rStyle w:val="WartowskanikaZnak"/>
                                <w:sz w:val="72"/>
                                <w:szCs w:val="72"/>
                                <w:lang w:val="en-GB"/>
                              </w:rPr>
                              <w:t>4</w:t>
                            </w:r>
                            <w:r>
                              <w:rPr>
                                <w:rStyle w:val="WartowskanikaZnak"/>
                                <w:sz w:val="72"/>
                                <w:szCs w:val="72"/>
                                <w:lang w:val="en-GB"/>
                              </w:rPr>
                              <w:t>%</w:t>
                            </w:r>
                          </w:p>
                          <w:p w:rsidR="005D51A7" w:rsidRPr="005E080D" w:rsidRDefault="005D370A" w:rsidP="005D51A7">
                            <w:pPr>
                              <w:spacing w:after="0" w:line="240" w:lineRule="auto"/>
                              <w:rPr>
                                <w:color w:val="FFFFFF" w:themeColor="background1"/>
                                <w:sz w:val="18"/>
                                <w:szCs w:val="20"/>
                              </w:rPr>
                            </w:pPr>
                            <w:r>
                              <w:rPr>
                                <w:sz w:val="20"/>
                              </w:rPr>
                              <w:t>Wzrost</w:t>
                            </w:r>
                            <w:r w:rsidR="005D51A7" w:rsidRPr="005E080D">
                              <w:rPr>
                                <w:sz w:val="20"/>
                              </w:rPr>
                              <w:t xml:space="preserve"> </w:t>
                            </w:r>
                            <w:r w:rsidR="000B7BB0">
                              <w:rPr>
                                <w:sz w:val="20"/>
                              </w:rPr>
                              <w:t>wartości</w:t>
                            </w:r>
                            <w:r w:rsidR="00DD5287">
                              <w:rPr>
                                <w:sz w:val="20"/>
                              </w:rPr>
                              <w:t xml:space="preserve"> wy</w:t>
                            </w:r>
                            <w:r w:rsidR="000B7BB0">
                              <w:rPr>
                                <w:sz w:val="20"/>
                              </w:rPr>
                              <w:t>kupionych wierzytelności</w:t>
                            </w:r>
                            <w:r w:rsidR="00DD5287">
                              <w:rPr>
                                <w:sz w:val="20"/>
                              </w:rPr>
                              <w:t xml:space="preserve"> </w:t>
                            </w:r>
                          </w:p>
                          <w:p w:rsidR="005D51A7" w:rsidRPr="007D605C" w:rsidRDefault="005D51A7" w:rsidP="005D51A7">
                            <w:pPr>
                              <w:pStyle w:val="Opiswskanika"/>
                              <w:rPr>
                                <w:sz w:val="18"/>
                                <w:szCs w:val="20"/>
                              </w:rPr>
                            </w:pPr>
                          </w:p>
                          <w:p w:rsidR="005D51A7" w:rsidRPr="007D605C" w:rsidRDefault="005D51A7" w:rsidP="005D51A7">
                            <w:pPr>
                              <w:pStyle w:val="Opiswskanika"/>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3D7ECD" id="Pole tekstowe 2" o:spid="_x0000_s1026" alt="wzrost wartości wykupionych wierzytelności o 29,5%" style="position:absolute;margin-left:-2.4pt;margin-top:.8pt;width:166.2pt;height:97.2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" fillcolor="#001d77" stroked="f">
                <v:stroke joinstyle="miter"/>
                <v:textbox>
                  <w:txbxContent>
                    <w:p w:rsidR="005D51A7" w:rsidRPr="009B2A4A" w:rsidRDefault="005D51A7" w:rsidP="005D51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Pr>
                          <w:rStyle w:val="WartowskanikaZnak"/>
                          <w:lang w:val="en-GB"/>
                        </w:rPr>
                        <w:t xml:space="preserve"> </w:t>
                      </w:r>
                      <w:r w:rsidR="000B7BB0">
                        <w:rPr>
                          <w:rStyle w:val="WartowskanikaZnak"/>
                          <w:sz w:val="72"/>
                          <w:szCs w:val="72"/>
                          <w:lang w:val="en-GB"/>
                        </w:rPr>
                        <w:t>2</w:t>
                      </w:r>
                      <w:r w:rsidR="00DD5287">
                        <w:rPr>
                          <w:rStyle w:val="WartowskanikaZnak"/>
                          <w:sz w:val="72"/>
                          <w:szCs w:val="72"/>
                          <w:lang w:val="en-GB"/>
                        </w:rPr>
                        <w:t>9</w:t>
                      </w:r>
                      <w:r w:rsidRPr="009B2A4A">
                        <w:rPr>
                          <w:rStyle w:val="WartowskanikaZnak"/>
                          <w:sz w:val="72"/>
                          <w:szCs w:val="72"/>
                          <w:lang w:val="en-GB"/>
                        </w:rPr>
                        <w:t>,</w:t>
                      </w:r>
                      <w:r w:rsidR="000B7BB0">
                        <w:rPr>
                          <w:rStyle w:val="WartowskanikaZnak"/>
                          <w:sz w:val="72"/>
                          <w:szCs w:val="72"/>
                          <w:lang w:val="en-GB"/>
                        </w:rPr>
                        <w:t>4</w:t>
                      </w:r>
                      <w:r>
                        <w:rPr>
                          <w:rStyle w:val="WartowskanikaZnak"/>
                          <w:sz w:val="72"/>
                          <w:szCs w:val="72"/>
                          <w:lang w:val="en-GB"/>
                        </w:rPr>
                        <w:t>%</w:t>
                      </w:r>
                    </w:p>
                    <w:p w:rsidR="005D51A7" w:rsidRPr="005E080D" w:rsidRDefault="005D370A" w:rsidP="005D51A7">
                      <w:pPr>
                        <w:spacing w:after="0" w:line="240" w:lineRule="auto"/>
                        <w:rPr>
                          <w:color w:val="FFFFFF" w:themeColor="background1"/>
                          <w:sz w:val="18"/>
                          <w:szCs w:val="20"/>
                        </w:rPr>
                      </w:pPr>
                      <w:r>
                        <w:rPr>
                          <w:sz w:val="20"/>
                        </w:rPr>
                        <w:t>Wzrost</w:t>
                      </w:r>
                      <w:r w:rsidR="005D51A7" w:rsidRPr="005E080D">
                        <w:rPr>
                          <w:sz w:val="20"/>
                        </w:rPr>
                        <w:t xml:space="preserve"> </w:t>
                      </w:r>
                      <w:r w:rsidR="000B7BB0">
                        <w:rPr>
                          <w:sz w:val="20"/>
                        </w:rPr>
                        <w:t>wartości</w:t>
                      </w:r>
                      <w:r w:rsidR="00DD5287">
                        <w:rPr>
                          <w:sz w:val="20"/>
                        </w:rPr>
                        <w:t xml:space="preserve"> wy</w:t>
                      </w:r>
                      <w:r w:rsidR="000B7BB0">
                        <w:rPr>
                          <w:sz w:val="20"/>
                        </w:rPr>
                        <w:t>kupionych wierzytelności</w:t>
                      </w:r>
                      <w:r w:rsidR="00DD5287">
                        <w:rPr>
                          <w:sz w:val="20"/>
                        </w:rPr>
                        <w:t xml:space="preserve"> </w:t>
                      </w:r>
                    </w:p>
                    <w:p w:rsidR="005D51A7" w:rsidRPr="007D605C" w:rsidRDefault="005D51A7" w:rsidP="005D51A7">
                      <w:pPr>
                        <w:pStyle w:val="Opiswskanika"/>
                        <w:rPr>
                          <w:sz w:val="18"/>
                          <w:szCs w:val="20"/>
                        </w:rPr>
                      </w:pPr>
                    </w:p>
                    <w:p w:rsidR="005D51A7" w:rsidRPr="007D605C" w:rsidRDefault="005D51A7" w:rsidP="005D51A7">
                      <w:pPr>
                        <w:pStyle w:val="Opiswskanika"/>
                        <w:rPr>
                          <w:sz w:val="18"/>
                          <w:szCs w:val="20"/>
                        </w:rPr>
                      </w:pPr>
                    </w:p>
                  </w:txbxContent>
                </v:textbox>
                <w10:wrap type="square" anchorx="margin"/>
              </v:roundrect>
            </w:pict>
          </mc:Fallback>
        </mc:AlternateContent>
      </w:r>
      <w:r w:rsidR="008F3F59" w:rsidRPr="008F3F59">
        <w:t>W 2021 r. badaniem objęto 52 podmioty prowadzące działalność faktoringową. Liczba wykupionych faktur przez badane przedsiębiorstwa wzrosła w</w:t>
      </w:r>
      <w:r w:rsidR="008F3F59">
        <w:t> </w:t>
      </w:r>
      <w:r w:rsidR="008F3F59" w:rsidRPr="008F3F59">
        <w:t xml:space="preserve">porównaniu z poprzednim rokiem o </w:t>
      </w:r>
      <w:r w:rsidR="0043553D">
        <w:t>17</w:t>
      </w:r>
      <w:r w:rsidR="008F3F59" w:rsidRPr="008F3F59">
        <w:t>,</w:t>
      </w:r>
      <w:r w:rsidR="0043553D">
        <w:t>0</w:t>
      </w:r>
      <w:r w:rsidR="008F3F59" w:rsidRPr="008F3F59">
        <w:t>%, a</w:t>
      </w:r>
      <w:r w:rsidR="008F3F59">
        <w:t> </w:t>
      </w:r>
      <w:r w:rsidR="008F3F59" w:rsidRPr="008F3F59">
        <w:t>wartość wykupionych wierzytelności zwiększyła się o 29,4%. Liczba klientów korzystających z usług faktoringowych wzrosła o 24,7%</w:t>
      </w:r>
      <w:r w:rsidRPr="008F3F59">
        <w:rPr>
          <w:lang w:val="en-GB"/>
        </w:rPr>
        <w:t>.</w:t>
      </w:r>
    </w:p>
    <w:p w:rsidR="00C22105" w:rsidRPr="00783C22" w:rsidRDefault="0089021B" w:rsidP="005D51A7">
      <w:pPr>
        <w:pStyle w:val="Nagwek1"/>
        <w:spacing w:before="360"/>
        <w:rPr>
          <w:rFonts w:ascii="Fira Sans" w:hAnsi="Fira Sans"/>
          <w:b/>
          <w:highlight w:val="yellow"/>
        </w:rPr>
      </w:pPr>
      <w:r w:rsidRPr="00783C22">
        <w:rPr>
          <w:rFonts w:ascii="Fira Sans" w:hAnsi="Fira Sans"/>
          <w:b/>
          <w:noProof/>
          <w:color w:val="212492"/>
          <w:spacing w:val="-2"/>
        </w:rPr>
        <mc:AlternateContent>
          <mc:Choice Requires="wps">
            <w:drawing>
              <wp:anchor distT="45720" distB="45720" distL="114300" distR="114300" simplePos="0" relativeHeight="251656192" behindDoc="1" locked="0" layoutInCell="1" allowOverlap="1" wp14:anchorId="4279CFCF" wp14:editId="5651E195">
                <wp:simplePos x="0" y="0"/>
                <wp:positionH relativeFrom="column">
                  <wp:posOffset>5318760</wp:posOffset>
                </wp:positionH>
                <wp:positionV relativeFrom="paragraph">
                  <wp:posOffset>307340</wp:posOffset>
                </wp:positionV>
                <wp:extent cx="1725295" cy="937260"/>
                <wp:effectExtent l="0" t="0" r="0" b="0"/>
                <wp:wrapTight wrapText="bothSides">
                  <wp:wrapPolygon edited="0">
                    <wp:start x="715" y="0"/>
                    <wp:lineTo x="715" y="21073"/>
                    <wp:lineTo x="20749" y="21073"/>
                    <wp:lineTo x="20749" y="0"/>
                    <wp:lineTo x="715" y="0"/>
                  </wp:wrapPolygon>
                </wp:wrapTight>
                <wp:docPr id="11" name="Pole tekstowe 2" descr="Przedsiębiorstwa faktoringowe w 2021 r. wykupiły 22,0 mln faktur o wartości 399,8 mld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37260"/>
                        </a:xfrm>
                        <a:prstGeom prst="rect">
                          <a:avLst/>
                        </a:prstGeom>
                        <a:noFill/>
                        <a:ln w="9525">
                          <a:noFill/>
                          <a:miter lim="800000"/>
                          <a:headEnd/>
                          <a:tailEnd/>
                        </a:ln>
                      </wps:spPr>
                      <wps:txbx>
                        <w:txbxContent>
                          <w:p w:rsidR="000719C2" w:rsidRPr="00066CAC" w:rsidRDefault="000719C2" w:rsidP="000719C2">
                            <w:pPr>
                              <w:pStyle w:val="tekstzboku"/>
                              <w:rPr>
                                <w:color w:val="002060"/>
                              </w:rPr>
                            </w:pPr>
                            <w:r w:rsidRPr="00066CAC">
                              <w:rPr>
                                <w:color w:val="002060"/>
                              </w:rPr>
                              <w:t>Przedsiębiorstwa faktoringowe w 2021 r. wykupiły 22,0 mln faktur o wartości 399,8 mld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79CFCF" id="_x0000_t202" coordsize="21600,21600" o:spt="202" path="m,l,21600r21600,l21600,xe">
                <v:stroke joinstyle="miter"/>
                <v:path gradientshapeok="t" o:connecttype="rect"/>
              </v:shapetype>
              <v:shape id="_x0000_s1027" type="#_x0000_t202" alt="Przedsiębiorstwa faktoringowe w 2021 r. wykupiły 22,0 mln faktur o wartości 399,8 mld zł" style="position:absolute;margin-left:418.8pt;margin-top:24.2pt;width:135.85pt;height:7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" filled="f" stroked="f">
                <v:textbox>
                  <w:txbxContent>
                    <w:p w:rsidR="000719C2" w:rsidRPr="00066CAC" w:rsidRDefault="000719C2" w:rsidP="000719C2">
                      <w:pPr>
                        <w:pStyle w:val="tekstzboku"/>
                        <w:rPr>
                          <w:color w:val="002060"/>
                        </w:rPr>
                      </w:pPr>
                      <w:r w:rsidRPr="00066CAC">
                        <w:rPr>
                          <w:color w:val="002060"/>
                        </w:rPr>
                        <w:t>Przedsiębiorstwa faktoringowe w 2021 r. wykupiły 22,0 mln faktur o wartości 399,8 mld zł</w:t>
                      </w:r>
                    </w:p>
                  </w:txbxContent>
                </v:textbox>
                <w10:wrap type="tight"/>
              </v:shape>
            </w:pict>
          </mc:Fallback>
        </mc:AlternateContent>
      </w:r>
      <w:r w:rsidR="005D51A7" w:rsidRPr="009B2A4A">
        <w:rPr>
          <w:shd w:val="clear" w:color="auto" w:fill="FFFFFF"/>
          <w:lang w:val="en-GB"/>
        </w:rPr>
        <w:br/>
      </w:r>
      <w:bookmarkStart w:id="1" w:name="_Hlk106709528"/>
      <w:r w:rsidR="00B57E4A" w:rsidRPr="00783C22">
        <w:rPr>
          <w:rFonts w:ascii="Fira Sans" w:hAnsi="Fira Sans"/>
          <w:b/>
          <w:shd w:val="clear" w:color="auto" w:fill="FFFFFF"/>
        </w:rPr>
        <w:t xml:space="preserve">Podstawowe dane o przedsiębiorstwach </w:t>
      </w:r>
      <w:r w:rsidR="008F3F59">
        <w:rPr>
          <w:rFonts w:ascii="Fira Sans" w:hAnsi="Fira Sans"/>
          <w:b/>
          <w:shd w:val="clear" w:color="auto" w:fill="FFFFFF"/>
        </w:rPr>
        <w:t>faktorin</w:t>
      </w:r>
      <w:r w:rsidR="00C44429" w:rsidRPr="00783C22">
        <w:rPr>
          <w:rFonts w:ascii="Fira Sans" w:hAnsi="Fira Sans"/>
          <w:b/>
          <w:shd w:val="clear" w:color="auto" w:fill="FFFFFF"/>
        </w:rPr>
        <w:t>gowych</w:t>
      </w:r>
      <w:bookmarkEnd w:id="1"/>
    </w:p>
    <w:p w:rsidR="00FA5E2A" w:rsidRPr="001B7904" w:rsidRDefault="008F3F59" w:rsidP="00FA5E2A">
      <w:pPr>
        <w:spacing w:line="288" w:lineRule="auto"/>
        <w:rPr>
          <w:shd w:val="clear" w:color="auto" w:fill="FFFFFF"/>
        </w:rPr>
      </w:pPr>
      <w:r w:rsidRPr="001B7904">
        <w:rPr>
          <w:shd w:val="clear" w:color="auto" w:fill="FFFFFF"/>
        </w:rPr>
        <w:t>W grupie 52 zbadanych podmiotów prowadzących w 2021 r. działalność faktoringową było 4</w:t>
      </w:r>
      <w:r w:rsidR="001B7904" w:rsidRPr="001B7904">
        <w:rPr>
          <w:shd w:val="clear" w:color="auto" w:fill="FFFFFF"/>
        </w:rPr>
        <w:t>3</w:t>
      </w:r>
      <w:r w:rsidRPr="001B7904">
        <w:rPr>
          <w:shd w:val="clear" w:color="auto" w:fill="FFFFFF"/>
        </w:rPr>
        <w:t> </w:t>
      </w:r>
      <w:proofErr w:type="spellStart"/>
      <w:r w:rsidRPr="001B7904">
        <w:rPr>
          <w:shd w:val="clear" w:color="auto" w:fill="FFFFFF"/>
        </w:rPr>
        <w:t>niebankowe</w:t>
      </w:r>
      <w:proofErr w:type="spellEnd"/>
      <w:r w:rsidRPr="001B7904">
        <w:rPr>
          <w:shd w:val="clear" w:color="auto" w:fill="FFFFFF"/>
        </w:rPr>
        <w:t xml:space="preserve"> przedsiębiorstwa prowadzące ten rodzaj działalności oraz 9 banków komercyjnych, które zajmowały się faktoringiem obok statutowej działalności bankowej.</w:t>
      </w:r>
      <w:r w:rsidR="00FA5E2A" w:rsidRPr="001B7904">
        <w:rPr>
          <w:shd w:val="clear" w:color="auto" w:fill="FFFFFF"/>
        </w:rPr>
        <w:t xml:space="preserve"> </w:t>
      </w:r>
    </w:p>
    <w:p w:rsidR="008F3F59" w:rsidRPr="000622F7" w:rsidRDefault="008F3F59" w:rsidP="008F3F59">
      <w:pPr>
        <w:spacing w:before="360" w:line="240" w:lineRule="auto"/>
        <w:ind w:left="851" w:hanging="851"/>
        <w:rPr>
          <w:b/>
          <w:iCs/>
          <w:color w:val="000000" w:themeColor="text1"/>
          <w:szCs w:val="19"/>
        </w:rPr>
      </w:pPr>
      <w:r w:rsidRPr="000622F7">
        <w:rPr>
          <w:b/>
          <w:iCs/>
          <w:color w:val="000000" w:themeColor="text1"/>
          <w:szCs w:val="19"/>
        </w:rPr>
        <w:t xml:space="preserve">Tablica 1. </w:t>
      </w:r>
      <w:r w:rsidRPr="000622F7">
        <w:rPr>
          <w:b/>
          <w:iCs/>
          <w:color w:val="000000" w:themeColor="text1"/>
          <w:szCs w:val="19"/>
        </w:rPr>
        <w:tab/>
      </w:r>
      <w:r w:rsidRPr="008F3F59">
        <w:rPr>
          <w:b/>
          <w:iCs/>
          <w:color w:val="000000" w:themeColor="text1"/>
          <w:szCs w:val="19"/>
        </w:rPr>
        <w:t>Działalność badanych podmiotów</w:t>
      </w:r>
    </w:p>
    <w:tbl>
      <w:tblPr>
        <w:tblStyle w:val="Tabela-Siatka"/>
        <w:tblW w:w="0" w:type="auto"/>
        <w:tblBorders>
          <w:top w:val="single" w:sz="4" w:space="0" w:color="002060"/>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Caption w:val="Tablica 1.  Działalność badanych podmiotów faktoringowych"/>
        <w:tblDescription w:val="badaniem objętych zostało 52 przedsiębiorstw faktoringowe z tego 43 faktoringowe przedsiębiorstwa niebankowe i 9 banków. fakoring był dla 28 przedsiębiorstw jedynym rodzajem działalności, dla 3 dominującą, a dla 21 uboczną działalnością."/>
      </w:tblPr>
      <w:tblGrid>
        <w:gridCol w:w="2547"/>
        <w:gridCol w:w="1701"/>
        <w:gridCol w:w="1984"/>
        <w:gridCol w:w="1825"/>
      </w:tblGrid>
      <w:tr w:rsidR="006A2566" w:rsidTr="006A2566">
        <w:tc>
          <w:tcPr>
            <w:tcW w:w="2547" w:type="dxa"/>
            <w:vMerge w:val="restart"/>
            <w:vAlign w:val="center"/>
          </w:tcPr>
          <w:p w:rsidR="006A2566" w:rsidRDefault="006A2566" w:rsidP="003936FE">
            <w:pPr>
              <w:jc w:val="center"/>
              <w:rPr>
                <w:shd w:val="clear" w:color="auto" w:fill="FFFFFF"/>
              </w:rPr>
            </w:pPr>
            <w:r w:rsidRPr="001C59CB">
              <w:rPr>
                <w:rFonts w:eastAsia="Times New Roman" w:cs="Arial"/>
                <w:bCs/>
                <w:color w:val="000000" w:themeColor="text1"/>
                <w:szCs w:val="19"/>
                <w:lang w:eastAsia="pl-PL"/>
              </w:rPr>
              <w:t>Wyszczególnienie</w:t>
            </w:r>
          </w:p>
        </w:tc>
        <w:tc>
          <w:tcPr>
            <w:tcW w:w="1701" w:type="dxa"/>
            <w:vAlign w:val="center"/>
          </w:tcPr>
          <w:p w:rsidR="006A2566" w:rsidRPr="008F3F59" w:rsidRDefault="006A2566" w:rsidP="003936FE">
            <w:pPr>
              <w:keepNext/>
              <w:keepLines/>
              <w:jc w:val="center"/>
              <w:outlineLvl w:val="2"/>
              <w:rPr>
                <w:rFonts w:eastAsiaTheme="majorEastAsia" w:cstheme="majorBidi"/>
                <w:color w:val="000000" w:themeColor="text1"/>
                <w:szCs w:val="19"/>
              </w:rPr>
            </w:pPr>
            <w:r w:rsidRPr="008F3F59">
              <w:rPr>
                <w:rFonts w:eastAsiaTheme="majorEastAsia" w:cstheme="majorBidi"/>
                <w:color w:val="000000" w:themeColor="text1"/>
                <w:szCs w:val="19"/>
              </w:rPr>
              <w:t>Ogółem</w:t>
            </w:r>
          </w:p>
        </w:tc>
        <w:tc>
          <w:tcPr>
            <w:tcW w:w="1984" w:type="dxa"/>
            <w:vAlign w:val="center"/>
          </w:tcPr>
          <w:p w:rsidR="006A2566" w:rsidRPr="008F3F59" w:rsidRDefault="006A2566" w:rsidP="003936FE">
            <w:pPr>
              <w:keepNext/>
              <w:keepLines/>
              <w:jc w:val="center"/>
              <w:outlineLvl w:val="2"/>
              <w:rPr>
                <w:rFonts w:eastAsiaTheme="majorEastAsia" w:cstheme="majorBidi"/>
                <w:color w:val="000000" w:themeColor="text1"/>
                <w:szCs w:val="19"/>
              </w:rPr>
            </w:pPr>
            <w:r w:rsidRPr="008F3F59">
              <w:rPr>
                <w:rFonts w:eastAsiaTheme="majorEastAsia" w:cstheme="majorBidi"/>
                <w:color w:val="000000" w:themeColor="text1"/>
                <w:szCs w:val="19"/>
              </w:rPr>
              <w:t xml:space="preserve">Faktoringowe przedsiębiorstwa </w:t>
            </w:r>
            <w:proofErr w:type="spellStart"/>
            <w:r w:rsidRPr="008F3F59">
              <w:rPr>
                <w:rFonts w:eastAsiaTheme="majorEastAsia" w:cstheme="majorBidi"/>
                <w:color w:val="000000" w:themeColor="text1"/>
                <w:szCs w:val="19"/>
              </w:rPr>
              <w:t>niebankowe</w:t>
            </w:r>
            <w:proofErr w:type="spellEnd"/>
          </w:p>
        </w:tc>
        <w:tc>
          <w:tcPr>
            <w:tcW w:w="1825" w:type="dxa"/>
            <w:vAlign w:val="center"/>
          </w:tcPr>
          <w:p w:rsidR="006A2566" w:rsidRPr="008F3F59" w:rsidRDefault="006A2566" w:rsidP="003936FE">
            <w:pPr>
              <w:keepNext/>
              <w:keepLines/>
              <w:jc w:val="center"/>
              <w:outlineLvl w:val="2"/>
              <w:rPr>
                <w:rFonts w:eastAsiaTheme="majorEastAsia" w:cstheme="majorBidi"/>
                <w:color w:val="000000" w:themeColor="text1"/>
                <w:szCs w:val="19"/>
              </w:rPr>
            </w:pPr>
            <w:r w:rsidRPr="008F3F59">
              <w:rPr>
                <w:rFonts w:eastAsiaTheme="majorEastAsia" w:cstheme="majorBidi"/>
                <w:color w:val="000000" w:themeColor="text1"/>
                <w:szCs w:val="19"/>
              </w:rPr>
              <w:t>Działalność faktoringowa w</w:t>
            </w:r>
            <w:r>
              <w:rPr>
                <w:rFonts w:eastAsiaTheme="majorEastAsia" w:cstheme="majorBidi"/>
                <w:color w:val="000000" w:themeColor="text1"/>
                <w:szCs w:val="19"/>
              </w:rPr>
              <w:t xml:space="preserve"> </w:t>
            </w:r>
            <w:r w:rsidRPr="008F3F59">
              <w:rPr>
                <w:rFonts w:eastAsiaTheme="majorEastAsia" w:cstheme="majorBidi"/>
                <w:color w:val="000000" w:themeColor="text1"/>
                <w:szCs w:val="19"/>
              </w:rPr>
              <w:t>bankach</w:t>
            </w:r>
          </w:p>
        </w:tc>
      </w:tr>
      <w:tr w:rsidR="006A2566" w:rsidTr="006A2566">
        <w:tc>
          <w:tcPr>
            <w:tcW w:w="2547" w:type="dxa"/>
            <w:vMerge/>
          </w:tcPr>
          <w:p w:rsidR="006A2566" w:rsidRDefault="006A2566" w:rsidP="003936FE">
            <w:pPr>
              <w:rPr>
                <w:shd w:val="clear" w:color="auto" w:fill="FFFFFF"/>
              </w:rPr>
            </w:pPr>
          </w:p>
        </w:tc>
        <w:tc>
          <w:tcPr>
            <w:tcW w:w="5510" w:type="dxa"/>
            <w:gridSpan w:val="3"/>
            <w:vAlign w:val="center"/>
          </w:tcPr>
          <w:p w:rsidR="006A2566" w:rsidRDefault="006A2566" w:rsidP="003936FE">
            <w:pPr>
              <w:jc w:val="center"/>
              <w:rPr>
                <w:shd w:val="clear" w:color="auto" w:fill="FFFFFF"/>
              </w:rPr>
            </w:pPr>
            <w:r w:rsidRPr="008F3F59">
              <w:rPr>
                <w:color w:val="000000" w:themeColor="text1"/>
                <w:szCs w:val="19"/>
              </w:rPr>
              <w:t>Liczba podmiotów</w:t>
            </w:r>
          </w:p>
        </w:tc>
      </w:tr>
      <w:tr w:rsidR="006A2566" w:rsidTr="006A2566">
        <w:tc>
          <w:tcPr>
            <w:tcW w:w="2547" w:type="dxa"/>
            <w:vAlign w:val="center"/>
          </w:tcPr>
          <w:p w:rsidR="006A2566" w:rsidRPr="008F3F59" w:rsidRDefault="006A2566" w:rsidP="003936FE">
            <w:pPr>
              <w:keepNext/>
              <w:keepLines/>
              <w:tabs>
                <w:tab w:val="right" w:leader="dot" w:pos="4156"/>
              </w:tabs>
              <w:contextualSpacing/>
              <w:outlineLvl w:val="4"/>
              <w:rPr>
                <w:rFonts w:eastAsiaTheme="majorEastAsia" w:cstheme="majorBidi"/>
                <w:color w:val="000000" w:themeColor="text1"/>
                <w:szCs w:val="19"/>
              </w:rPr>
            </w:pPr>
            <w:r w:rsidRPr="008F3F59">
              <w:rPr>
                <w:rFonts w:eastAsiaTheme="majorEastAsia" w:cstheme="majorBidi"/>
                <w:color w:val="000000" w:themeColor="text1"/>
                <w:szCs w:val="19"/>
              </w:rPr>
              <w:t>Badane podmioty ogółem</w:t>
            </w:r>
          </w:p>
        </w:tc>
        <w:tc>
          <w:tcPr>
            <w:tcW w:w="1701" w:type="dxa"/>
            <w:vAlign w:val="center"/>
          </w:tcPr>
          <w:p w:rsidR="006A2566" w:rsidRPr="008F3F59" w:rsidRDefault="006A2566" w:rsidP="003936FE">
            <w:pPr>
              <w:jc w:val="right"/>
              <w:rPr>
                <w:rFonts w:cs="Arial"/>
                <w:szCs w:val="19"/>
              </w:rPr>
            </w:pPr>
            <w:r w:rsidRPr="008F3F59">
              <w:rPr>
                <w:rFonts w:cs="Arial"/>
                <w:szCs w:val="19"/>
              </w:rPr>
              <w:t>52</w:t>
            </w:r>
          </w:p>
        </w:tc>
        <w:tc>
          <w:tcPr>
            <w:tcW w:w="1984" w:type="dxa"/>
            <w:vAlign w:val="center"/>
          </w:tcPr>
          <w:p w:rsidR="006A2566" w:rsidRPr="008F3F59" w:rsidRDefault="006A2566" w:rsidP="003936FE">
            <w:pPr>
              <w:jc w:val="right"/>
              <w:rPr>
                <w:rFonts w:cs="Arial"/>
                <w:szCs w:val="19"/>
              </w:rPr>
            </w:pPr>
            <w:r w:rsidRPr="008F3F59">
              <w:rPr>
                <w:rFonts w:cs="Arial"/>
                <w:szCs w:val="19"/>
              </w:rPr>
              <w:t>4</w:t>
            </w:r>
            <w:r w:rsidR="001B7904" w:rsidRPr="001B7904">
              <w:rPr>
                <w:rFonts w:cs="Arial"/>
                <w:szCs w:val="19"/>
              </w:rPr>
              <w:t>3</w:t>
            </w:r>
          </w:p>
        </w:tc>
        <w:tc>
          <w:tcPr>
            <w:tcW w:w="1825" w:type="dxa"/>
            <w:vAlign w:val="center"/>
          </w:tcPr>
          <w:p w:rsidR="006A2566" w:rsidRPr="008F3F59" w:rsidRDefault="006A2566" w:rsidP="003936FE">
            <w:pPr>
              <w:jc w:val="right"/>
              <w:rPr>
                <w:rFonts w:cs="Arial"/>
                <w:szCs w:val="19"/>
              </w:rPr>
            </w:pPr>
            <w:r w:rsidRPr="008F3F59">
              <w:rPr>
                <w:rFonts w:cs="Arial"/>
                <w:szCs w:val="19"/>
              </w:rPr>
              <w:t>9</w:t>
            </w:r>
          </w:p>
        </w:tc>
      </w:tr>
      <w:tr w:rsidR="006A2566" w:rsidTr="006A2566">
        <w:tc>
          <w:tcPr>
            <w:tcW w:w="2547" w:type="dxa"/>
            <w:vAlign w:val="center"/>
          </w:tcPr>
          <w:p w:rsidR="006A2566" w:rsidRPr="008F3F59" w:rsidRDefault="006A2566" w:rsidP="003936FE">
            <w:pPr>
              <w:keepNext/>
              <w:keepLines/>
              <w:tabs>
                <w:tab w:val="right" w:leader="dot" w:pos="4156"/>
              </w:tabs>
              <w:contextualSpacing/>
              <w:outlineLvl w:val="7"/>
              <w:rPr>
                <w:rFonts w:eastAsiaTheme="majorEastAsia" w:cstheme="majorBidi"/>
                <w:color w:val="000000" w:themeColor="text1"/>
                <w:szCs w:val="19"/>
              </w:rPr>
            </w:pPr>
            <w:r w:rsidRPr="008F3F59">
              <w:rPr>
                <w:rFonts w:eastAsiaTheme="majorEastAsia" w:cstheme="majorBidi"/>
                <w:color w:val="000000" w:themeColor="text1"/>
                <w:szCs w:val="19"/>
              </w:rPr>
              <w:t>Faktoring – jedyny rodzaj działalności</w:t>
            </w:r>
          </w:p>
        </w:tc>
        <w:tc>
          <w:tcPr>
            <w:tcW w:w="1701" w:type="dxa"/>
            <w:vAlign w:val="center"/>
          </w:tcPr>
          <w:p w:rsidR="006A2566" w:rsidRPr="008F3F59" w:rsidRDefault="006A2566" w:rsidP="003936FE">
            <w:pPr>
              <w:jc w:val="right"/>
              <w:rPr>
                <w:rFonts w:cs="Arial"/>
                <w:szCs w:val="19"/>
              </w:rPr>
            </w:pPr>
            <w:r w:rsidRPr="008F3F59">
              <w:rPr>
                <w:rFonts w:cs="Arial"/>
                <w:szCs w:val="19"/>
              </w:rPr>
              <w:t>28</w:t>
            </w:r>
          </w:p>
        </w:tc>
        <w:tc>
          <w:tcPr>
            <w:tcW w:w="1984" w:type="dxa"/>
            <w:vAlign w:val="center"/>
          </w:tcPr>
          <w:p w:rsidR="006A2566" w:rsidRPr="008F3F59" w:rsidRDefault="006A2566" w:rsidP="003936FE">
            <w:pPr>
              <w:jc w:val="right"/>
              <w:rPr>
                <w:rFonts w:cs="Arial"/>
                <w:szCs w:val="19"/>
              </w:rPr>
            </w:pPr>
            <w:r w:rsidRPr="008F3F59">
              <w:rPr>
                <w:rFonts w:cs="Arial"/>
                <w:szCs w:val="19"/>
              </w:rPr>
              <w:t>28</w:t>
            </w:r>
          </w:p>
        </w:tc>
        <w:tc>
          <w:tcPr>
            <w:tcW w:w="1825" w:type="dxa"/>
            <w:vAlign w:val="center"/>
          </w:tcPr>
          <w:p w:rsidR="006A2566" w:rsidRPr="008F3F59" w:rsidRDefault="006A2566" w:rsidP="003936FE">
            <w:pPr>
              <w:jc w:val="right"/>
              <w:rPr>
                <w:rFonts w:cs="Arial"/>
                <w:szCs w:val="19"/>
              </w:rPr>
            </w:pPr>
            <w:r w:rsidRPr="008F3F59">
              <w:rPr>
                <w:rFonts w:cs="Arial"/>
                <w:szCs w:val="19"/>
              </w:rPr>
              <w:t>-</w:t>
            </w:r>
          </w:p>
        </w:tc>
      </w:tr>
      <w:tr w:rsidR="006A2566" w:rsidTr="006A2566">
        <w:tc>
          <w:tcPr>
            <w:tcW w:w="2547" w:type="dxa"/>
            <w:vAlign w:val="center"/>
          </w:tcPr>
          <w:p w:rsidR="006A2566" w:rsidRPr="008F3F59" w:rsidRDefault="006A2566" w:rsidP="003936FE">
            <w:pPr>
              <w:keepNext/>
              <w:keepLines/>
              <w:tabs>
                <w:tab w:val="right" w:leader="dot" w:pos="4156"/>
              </w:tabs>
              <w:contextualSpacing/>
              <w:outlineLvl w:val="7"/>
              <w:rPr>
                <w:rFonts w:eastAsiaTheme="majorEastAsia" w:cstheme="majorBidi"/>
                <w:color w:val="000000" w:themeColor="text1"/>
                <w:szCs w:val="19"/>
              </w:rPr>
            </w:pPr>
            <w:r w:rsidRPr="008F3F59">
              <w:rPr>
                <w:rFonts w:eastAsiaTheme="majorEastAsia" w:cstheme="majorBidi"/>
                <w:color w:val="000000" w:themeColor="text1"/>
                <w:szCs w:val="19"/>
              </w:rPr>
              <w:t xml:space="preserve">Faktoring – działalność </w:t>
            </w:r>
            <w:r>
              <w:rPr>
                <w:rFonts w:eastAsiaTheme="majorEastAsia" w:cstheme="majorBidi"/>
                <w:color w:val="000000" w:themeColor="text1"/>
                <w:szCs w:val="19"/>
              </w:rPr>
              <w:t xml:space="preserve"> </w:t>
            </w:r>
            <w:r w:rsidRPr="008F3F59">
              <w:rPr>
                <w:rFonts w:eastAsiaTheme="majorEastAsia" w:cstheme="majorBidi"/>
                <w:color w:val="000000" w:themeColor="text1"/>
                <w:szCs w:val="19"/>
              </w:rPr>
              <w:t>dominująca</w:t>
            </w:r>
          </w:p>
        </w:tc>
        <w:tc>
          <w:tcPr>
            <w:tcW w:w="1701" w:type="dxa"/>
            <w:vAlign w:val="center"/>
          </w:tcPr>
          <w:p w:rsidR="006A2566" w:rsidRPr="008F3F59" w:rsidRDefault="006A2566" w:rsidP="003936FE">
            <w:pPr>
              <w:jc w:val="right"/>
              <w:rPr>
                <w:rFonts w:cs="Arial"/>
                <w:szCs w:val="19"/>
              </w:rPr>
            </w:pPr>
            <w:r w:rsidRPr="008F3F59">
              <w:rPr>
                <w:rFonts w:cs="Arial"/>
                <w:szCs w:val="19"/>
              </w:rPr>
              <w:t>3</w:t>
            </w:r>
          </w:p>
        </w:tc>
        <w:tc>
          <w:tcPr>
            <w:tcW w:w="1984" w:type="dxa"/>
            <w:vAlign w:val="center"/>
          </w:tcPr>
          <w:p w:rsidR="006A2566" w:rsidRPr="008F3F59" w:rsidRDefault="006A2566" w:rsidP="003936FE">
            <w:pPr>
              <w:jc w:val="right"/>
              <w:rPr>
                <w:rFonts w:cs="Arial"/>
                <w:szCs w:val="19"/>
              </w:rPr>
            </w:pPr>
            <w:r w:rsidRPr="008F3F59">
              <w:rPr>
                <w:rFonts w:cs="Arial"/>
                <w:szCs w:val="19"/>
              </w:rPr>
              <w:t>3</w:t>
            </w:r>
          </w:p>
        </w:tc>
        <w:tc>
          <w:tcPr>
            <w:tcW w:w="1825" w:type="dxa"/>
            <w:vAlign w:val="center"/>
          </w:tcPr>
          <w:p w:rsidR="006A2566" w:rsidRPr="008F3F59" w:rsidRDefault="006A2566" w:rsidP="003936FE">
            <w:pPr>
              <w:jc w:val="right"/>
              <w:rPr>
                <w:rFonts w:cs="Arial"/>
                <w:szCs w:val="19"/>
              </w:rPr>
            </w:pPr>
            <w:r w:rsidRPr="008F3F59">
              <w:rPr>
                <w:rFonts w:cs="Arial"/>
                <w:szCs w:val="19"/>
              </w:rPr>
              <w:t>-</w:t>
            </w:r>
          </w:p>
        </w:tc>
      </w:tr>
      <w:tr w:rsidR="006A2566" w:rsidTr="006A2566">
        <w:tc>
          <w:tcPr>
            <w:tcW w:w="2547" w:type="dxa"/>
            <w:vAlign w:val="center"/>
          </w:tcPr>
          <w:p w:rsidR="006A2566" w:rsidRPr="008F3F59" w:rsidRDefault="006A2566" w:rsidP="003936FE">
            <w:pPr>
              <w:keepNext/>
              <w:keepLines/>
              <w:tabs>
                <w:tab w:val="right" w:leader="dot" w:pos="4156"/>
              </w:tabs>
              <w:contextualSpacing/>
              <w:outlineLvl w:val="7"/>
              <w:rPr>
                <w:rFonts w:eastAsiaTheme="majorEastAsia" w:cstheme="majorBidi"/>
                <w:color w:val="000000" w:themeColor="text1"/>
                <w:szCs w:val="19"/>
              </w:rPr>
            </w:pPr>
            <w:r w:rsidRPr="008F3F59">
              <w:rPr>
                <w:rFonts w:eastAsiaTheme="majorEastAsia" w:cstheme="majorBidi"/>
                <w:color w:val="000000" w:themeColor="text1"/>
                <w:szCs w:val="19"/>
              </w:rPr>
              <w:t>Faktoring – działalność uboczna</w:t>
            </w:r>
          </w:p>
        </w:tc>
        <w:tc>
          <w:tcPr>
            <w:tcW w:w="1701" w:type="dxa"/>
            <w:vAlign w:val="center"/>
          </w:tcPr>
          <w:p w:rsidR="006A2566" w:rsidRPr="008F3F59" w:rsidRDefault="006A2566" w:rsidP="003936FE">
            <w:pPr>
              <w:jc w:val="right"/>
              <w:rPr>
                <w:rFonts w:cs="Arial"/>
                <w:szCs w:val="19"/>
              </w:rPr>
            </w:pPr>
            <w:r w:rsidRPr="008F3F59">
              <w:rPr>
                <w:rFonts w:cs="Arial"/>
                <w:szCs w:val="19"/>
              </w:rPr>
              <w:t>21</w:t>
            </w:r>
          </w:p>
        </w:tc>
        <w:tc>
          <w:tcPr>
            <w:tcW w:w="1984" w:type="dxa"/>
            <w:vAlign w:val="center"/>
          </w:tcPr>
          <w:p w:rsidR="006A2566" w:rsidRPr="008F3F59" w:rsidRDefault="006A2566" w:rsidP="003936FE">
            <w:pPr>
              <w:jc w:val="right"/>
              <w:rPr>
                <w:rFonts w:cs="Arial"/>
                <w:szCs w:val="19"/>
              </w:rPr>
            </w:pPr>
            <w:r w:rsidRPr="008F3F59">
              <w:rPr>
                <w:rFonts w:cs="Arial"/>
                <w:szCs w:val="19"/>
              </w:rPr>
              <w:t>12</w:t>
            </w:r>
          </w:p>
        </w:tc>
        <w:tc>
          <w:tcPr>
            <w:tcW w:w="1825" w:type="dxa"/>
            <w:vAlign w:val="center"/>
          </w:tcPr>
          <w:p w:rsidR="006A2566" w:rsidRPr="008F3F59" w:rsidRDefault="006A2566" w:rsidP="003936FE">
            <w:pPr>
              <w:jc w:val="right"/>
              <w:rPr>
                <w:rFonts w:cs="Arial"/>
                <w:szCs w:val="19"/>
              </w:rPr>
            </w:pPr>
            <w:r w:rsidRPr="008F3F59">
              <w:rPr>
                <w:rFonts w:cs="Arial"/>
                <w:szCs w:val="19"/>
              </w:rPr>
              <w:t>9</w:t>
            </w:r>
          </w:p>
        </w:tc>
      </w:tr>
    </w:tbl>
    <w:p w:rsidR="006A2566" w:rsidRDefault="006A2566" w:rsidP="003936FE">
      <w:pPr>
        <w:spacing w:line="288" w:lineRule="auto"/>
        <w:rPr>
          <w:rFonts w:ascii="Calibri" w:eastAsia="Times New Roman" w:hAnsi="Calibri" w:cs="Times New Roman"/>
          <w:sz w:val="22"/>
          <w:szCs w:val="24"/>
          <w:lang w:eastAsia="pl-PL"/>
        </w:rPr>
      </w:pPr>
      <w:r>
        <w:rPr>
          <w:shd w:val="clear" w:color="auto" w:fill="FFFFFF"/>
        </w:rPr>
        <w:t xml:space="preserve">Spośród </w:t>
      </w:r>
      <w:proofErr w:type="spellStart"/>
      <w:r>
        <w:rPr>
          <w:shd w:val="clear" w:color="auto" w:fill="FFFFFF"/>
        </w:rPr>
        <w:t>niebankowych</w:t>
      </w:r>
      <w:proofErr w:type="spellEnd"/>
      <w:r>
        <w:rPr>
          <w:shd w:val="clear" w:color="auto" w:fill="FFFFFF"/>
        </w:rPr>
        <w:t xml:space="preserve"> przedsiębiorstw faktoringowych 2</w:t>
      </w:r>
      <w:r w:rsidR="008064EC">
        <w:rPr>
          <w:shd w:val="clear" w:color="auto" w:fill="FFFFFF"/>
        </w:rPr>
        <w:t>6</w:t>
      </w:r>
      <w:r>
        <w:rPr>
          <w:shd w:val="clear" w:color="auto" w:fill="FFFFFF"/>
        </w:rPr>
        <w:t xml:space="preserve"> należało do grup kapitałowych, w tym 2</w:t>
      </w:r>
      <w:r w:rsidR="00993675">
        <w:rPr>
          <w:shd w:val="clear" w:color="auto" w:fill="FFFFFF"/>
        </w:rPr>
        <w:t>1</w:t>
      </w:r>
      <w:r>
        <w:rPr>
          <w:shd w:val="clear" w:color="auto" w:fill="FFFFFF"/>
        </w:rPr>
        <w:t xml:space="preserve"> było jednostkami zależnymi, </w:t>
      </w:r>
      <w:r w:rsidR="008064EC">
        <w:rPr>
          <w:shd w:val="clear" w:color="auto" w:fill="FFFFFF"/>
        </w:rPr>
        <w:t>jedna jednostką dominującą i cztery</w:t>
      </w:r>
      <w:r>
        <w:rPr>
          <w:shd w:val="clear" w:color="auto" w:fill="FFFFFF"/>
        </w:rPr>
        <w:t xml:space="preserve"> jednostkami dominującymi i zależnymi jednocześnie. Natomiast wśród badanych banków </w:t>
      </w:r>
      <w:r w:rsidR="00993675">
        <w:rPr>
          <w:shd w:val="clear" w:color="auto" w:fill="FFFFFF"/>
        </w:rPr>
        <w:t>osiem</w:t>
      </w:r>
      <w:r>
        <w:rPr>
          <w:shd w:val="clear" w:color="auto" w:fill="FFFFFF"/>
        </w:rPr>
        <w:t xml:space="preserve"> należało do grup kapitałowych.</w:t>
      </w:r>
      <w:r w:rsidRPr="00495A07">
        <w:rPr>
          <w:rFonts w:ascii="Calibri" w:eastAsia="Times New Roman" w:hAnsi="Calibri" w:cs="Times New Roman"/>
          <w:sz w:val="22"/>
          <w:szCs w:val="24"/>
          <w:lang w:eastAsia="pl-PL"/>
        </w:rPr>
        <w:t xml:space="preserve"> </w:t>
      </w:r>
    </w:p>
    <w:p w:rsidR="006A2566" w:rsidRDefault="006A2566" w:rsidP="003936FE">
      <w:pPr>
        <w:spacing w:line="288" w:lineRule="auto"/>
        <w:rPr>
          <w:rFonts w:ascii="Calibri" w:eastAsia="Times New Roman" w:hAnsi="Calibri" w:cs="Times New Roman"/>
          <w:sz w:val="22"/>
          <w:szCs w:val="24"/>
          <w:lang w:eastAsia="pl-PL"/>
        </w:rPr>
      </w:pPr>
      <w:r w:rsidRPr="00B96ECF">
        <w:rPr>
          <w:shd w:val="clear" w:color="auto" w:fill="FFFFFF"/>
        </w:rPr>
        <w:t xml:space="preserve">W </w:t>
      </w:r>
      <w:r>
        <w:rPr>
          <w:shd w:val="clear" w:color="auto" w:fill="FFFFFF"/>
        </w:rPr>
        <w:t xml:space="preserve">trzydziestu </w:t>
      </w:r>
      <w:r w:rsidR="008064EC">
        <w:rPr>
          <w:shd w:val="clear" w:color="auto" w:fill="FFFFFF"/>
        </w:rPr>
        <w:t>dw</w:t>
      </w:r>
      <w:r w:rsidR="00AF7C75">
        <w:rPr>
          <w:shd w:val="clear" w:color="auto" w:fill="FFFFFF"/>
        </w:rPr>
        <w:t>ó</w:t>
      </w:r>
      <w:r w:rsidR="008064EC">
        <w:rPr>
          <w:shd w:val="clear" w:color="auto" w:fill="FFFFFF"/>
        </w:rPr>
        <w:t>ch</w:t>
      </w:r>
      <w:r w:rsidRPr="00B96ECF">
        <w:rPr>
          <w:shd w:val="clear" w:color="auto" w:fill="FFFFFF"/>
        </w:rPr>
        <w:t xml:space="preserve"> </w:t>
      </w:r>
      <w:proofErr w:type="spellStart"/>
      <w:r w:rsidRPr="00B96ECF">
        <w:rPr>
          <w:shd w:val="clear" w:color="auto" w:fill="FFFFFF"/>
        </w:rPr>
        <w:t>niebankowych</w:t>
      </w:r>
      <w:proofErr w:type="spellEnd"/>
      <w:r w:rsidRPr="00B96ECF">
        <w:rPr>
          <w:shd w:val="clear" w:color="auto" w:fill="FFFFFF"/>
        </w:rPr>
        <w:t xml:space="preserve"> przedsiębiorstwach faktoringowych dominował kapitał krajowy, w</w:t>
      </w:r>
      <w:r>
        <w:rPr>
          <w:shd w:val="clear" w:color="auto" w:fill="FFFFFF"/>
        </w:rPr>
        <w:t xml:space="preserve"> </w:t>
      </w:r>
      <w:r w:rsidR="003B4CB0">
        <w:rPr>
          <w:shd w:val="clear" w:color="auto" w:fill="FFFFFF"/>
        </w:rPr>
        <w:t>10</w:t>
      </w:r>
      <w:r w:rsidRPr="00B96ECF">
        <w:rPr>
          <w:shd w:val="clear" w:color="auto" w:fill="FFFFFF"/>
        </w:rPr>
        <w:t xml:space="preserve"> kapitał zagraniczny, natomiast jedno przedsiębiorstwo miało 50% udział kapitału krajowego i zagranicznego. W grupie </w:t>
      </w:r>
      <w:proofErr w:type="spellStart"/>
      <w:r w:rsidRPr="00B96ECF">
        <w:rPr>
          <w:shd w:val="clear" w:color="auto" w:fill="FFFFFF"/>
        </w:rPr>
        <w:t>niebankowych</w:t>
      </w:r>
      <w:proofErr w:type="spellEnd"/>
      <w:r w:rsidRPr="00B96ECF">
        <w:rPr>
          <w:shd w:val="clear" w:color="auto" w:fill="FFFFFF"/>
        </w:rPr>
        <w:t xml:space="preserve"> przedsiębiorstw prowadzących działalność faktoringową dominowały spółki akcyjne (</w:t>
      </w:r>
      <w:r>
        <w:rPr>
          <w:shd w:val="clear" w:color="auto" w:fill="FFFFFF"/>
        </w:rPr>
        <w:t>2</w:t>
      </w:r>
      <w:r w:rsidR="008064EC">
        <w:rPr>
          <w:shd w:val="clear" w:color="auto" w:fill="FFFFFF"/>
        </w:rPr>
        <w:t>3</w:t>
      </w:r>
      <w:r w:rsidRPr="00B96ECF">
        <w:rPr>
          <w:shd w:val="clear" w:color="auto" w:fill="FFFFFF"/>
        </w:rPr>
        <w:t xml:space="preserve"> jednostki) i spółki z ograniczoną odpowiedzialnością (</w:t>
      </w:r>
      <w:r>
        <w:rPr>
          <w:shd w:val="clear" w:color="auto" w:fill="FFFFFF"/>
        </w:rPr>
        <w:t>19</w:t>
      </w:r>
      <w:r w:rsidRPr="00B96ECF">
        <w:rPr>
          <w:shd w:val="clear" w:color="auto" w:fill="FFFFFF"/>
        </w:rPr>
        <w:t xml:space="preserve"> jednostek), </w:t>
      </w:r>
      <w:r w:rsidR="00066CAC">
        <w:rPr>
          <w:shd w:val="clear" w:color="auto" w:fill="FFFFFF"/>
        </w:rPr>
        <w:t>jedno</w:t>
      </w:r>
      <w:r w:rsidRPr="00B96ECF">
        <w:rPr>
          <w:shd w:val="clear" w:color="auto" w:fill="FFFFFF"/>
        </w:rPr>
        <w:t xml:space="preserve"> przedsiębiorstw</w:t>
      </w:r>
      <w:r w:rsidR="00066CAC">
        <w:rPr>
          <w:shd w:val="clear" w:color="auto" w:fill="FFFFFF"/>
        </w:rPr>
        <w:t>o</w:t>
      </w:r>
      <w:r w:rsidRPr="00B96ECF">
        <w:rPr>
          <w:shd w:val="clear" w:color="auto" w:fill="FFFFFF"/>
        </w:rPr>
        <w:t xml:space="preserve"> miał</w:t>
      </w:r>
      <w:r w:rsidR="00066CAC">
        <w:rPr>
          <w:shd w:val="clear" w:color="auto" w:fill="FFFFFF"/>
        </w:rPr>
        <w:t>o</w:t>
      </w:r>
      <w:r w:rsidRPr="00B96ECF">
        <w:rPr>
          <w:shd w:val="clear" w:color="auto" w:fill="FFFFFF"/>
        </w:rPr>
        <w:t xml:space="preserve"> inną formę organizacyjną.</w:t>
      </w:r>
      <w:r w:rsidRPr="00B96ECF">
        <w:rPr>
          <w:rFonts w:ascii="Calibri" w:eastAsia="Times New Roman" w:hAnsi="Calibri" w:cs="Times New Roman"/>
          <w:sz w:val="22"/>
          <w:szCs w:val="24"/>
          <w:lang w:eastAsia="pl-PL"/>
        </w:rPr>
        <w:t xml:space="preserve"> </w:t>
      </w:r>
    </w:p>
    <w:p w:rsidR="006A2566" w:rsidRPr="00066CAC" w:rsidRDefault="006A2566" w:rsidP="003936FE">
      <w:pPr>
        <w:spacing w:line="288" w:lineRule="auto"/>
        <w:rPr>
          <w:shd w:val="clear" w:color="auto" w:fill="FFFFFF"/>
        </w:rPr>
      </w:pPr>
      <w:r w:rsidRPr="00066CAC">
        <w:rPr>
          <w:b/>
          <w:noProof/>
          <w:spacing w:val="-2"/>
          <w:szCs w:val="19"/>
          <w:lang w:eastAsia="pl-PL"/>
        </w:rPr>
        <mc:AlternateContent>
          <mc:Choice Requires="wps">
            <w:drawing>
              <wp:anchor distT="45720" distB="45720" distL="114300" distR="114300" simplePos="0" relativeHeight="251675136" behindDoc="1" locked="0" layoutInCell="1" allowOverlap="1" wp14:anchorId="003D18AE" wp14:editId="42E87BD7">
                <wp:simplePos x="0" y="0"/>
                <wp:positionH relativeFrom="column">
                  <wp:posOffset>5318760</wp:posOffset>
                </wp:positionH>
                <wp:positionV relativeFrom="paragraph">
                  <wp:posOffset>67945</wp:posOffset>
                </wp:positionV>
                <wp:extent cx="1725295" cy="929640"/>
                <wp:effectExtent l="0" t="0" r="0" b="3810"/>
                <wp:wrapTight wrapText="bothSides">
                  <wp:wrapPolygon edited="0">
                    <wp:start x="715" y="0"/>
                    <wp:lineTo x="715" y="21246"/>
                    <wp:lineTo x="20749" y="21246"/>
                    <wp:lineTo x="20749" y="0"/>
                    <wp:lineTo x="715" y="0"/>
                  </wp:wrapPolygon>
                </wp:wrapTight>
                <wp:docPr id="3" name="Pole tekstowe 2" descr="18 badanych przedsiębiorstw faktoringowych sygnalizowało wpływ pandemii „korona-wirusa” na ich działalność"/>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29640"/>
                        </a:xfrm>
                        <a:prstGeom prst="rect">
                          <a:avLst/>
                        </a:prstGeom>
                        <a:noFill/>
                        <a:ln w="9525">
                          <a:noFill/>
                          <a:miter lim="800000"/>
                          <a:headEnd/>
                          <a:tailEnd/>
                        </a:ln>
                      </wps:spPr>
                      <wps:txbx>
                        <w:txbxContent>
                          <w:p w:rsidR="006A2566" w:rsidRPr="005F7823" w:rsidRDefault="006A2566" w:rsidP="006A2566">
                            <w:pPr>
                              <w:pStyle w:val="tekstzboku"/>
                              <w:rPr>
                                <w:color w:val="002060"/>
                              </w:rPr>
                            </w:pPr>
                            <w:bookmarkStart w:id="2" w:name="_Hlk76453036"/>
                            <w:bookmarkStart w:id="3" w:name="_Hlk76453037"/>
                            <w:r w:rsidRPr="00066CAC">
                              <w:rPr>
                                <w:color w:val="002060"/>
                              </w:rPr>
                              <w:t xml:space="preserve">18 badanych przedsiębiorstw faktoringowych sygnalizowało wpływ pandemii </w:t>
                            </w:r>
                            <w:proofErr w:type="spellStart"/>
                            <w:r w:rsidRPr="00066CAC">
                              <w:rPr>
                                <w:color w:val="002060"/>
                              </w:rPr>
                              <w:t>koronawirusa</w:t>
                            </w:r>
                            <w:proofErr w:type="spellEnd"/>
                            <w:r w:rsidRPr="00066CAC">
                              <w:rPr>
                                <w:color w:val="002060"/>
                              </w:rPr>
                              <w:t xml:space="preserve"> na ich działalność</w:t>
                            </w:r>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D18AE" id="_x0000_s1028" type="#_x0000_t202" alt="18 badanych przedsiębiorstw faktoringowych sygnalizowało wpływ pandemii „korona-wirusa” na ich działalność" style="position:absolute;margin-left:418.8pt;margin-top:5.35pt;width:135.85pt;height:73.2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" filled="f" stroked="f">
                <v:textbox>
                  <w:txbxContent>
                    <w:p w:rsidR="006A2566" w:rsidRPr="005F7823" w:rsidRDefault="006A2566" w:rsidP="006A2566">
                      <w:pPr>
                        <w:pStyle w:val="tekstzboku"/>
                        <w:rPr>
                          <w:color w:val="002060"/>
                        </w:rPr>
                      </w:pPr>
                      <w:bookmarkStart w:id="3" w:name="_Hlk76453036"/>
                      <w:bookmarkStart w:id="4" w:name="_Hlk76453037"/>
                      <w:r w:rsidRPr="00066CAC">
                        <w:rPr>
                          <w:color w:val="002060"/>
                        </w:rPr>
                        <w:t xml:space="preserve">18 badanych przedsiębiorstw faktoringowych sygnalizowało wpływ pandemii </w:t>
                      </w:r>
                      <w:proofErr w:type="spellStart"/>
                      <w:r w:rsidRPr="00066CAC">
                        <w:rPr>
                          <w:color w:val="002060"/>
                        </w:rPr>
                        <w:t>koronawirusa</w:t>
                      </w:r>
                      <w:proofErr w:type="spellEnd"/>
                      <w:r w:rsidRPr="00066CAC">
                        <w:rPr>
                          <w:color w:val="002060"/>
                        </w:rPr>
                        <w:t xml:space="preserve"> na ich działalność</w:t>
                      </w:r>
                      <w:bookmarkEnd w:id="3"/>
                      <w:bookmarkEnd w:id="4"/>
                    </w:p>
                  </w:txbxContent>
                </v:textbox>
                <w10:wrap type="tight"/>
              </v:shape>
            </w:pict>
          </mc:Fallback>
        </mc:AlternateContent>
      </w:r>
      <w:proofErr w:type="spellStart"/>
      <w:r w:rsidRPr="00066CAC">
        <w:rPr>
          <w:shd w:val="clear" w:color="auto" w:fill="FFFFFF"/>
        </w:rPr>
        <w:t>Niebankowe</w:t>
      </w:r>
      <w:proofErr w:type="spellEnd"/>
      <w:r w:rsidRPr="00066CAC">
        <w:rPr>
          <w:shd w:val="clear" w:color="auto" w:fill="FFFFFF"/>
        </w:rPr>
        <w:t xml:space="preserve"> przedsiębiorstwa faktoringowe zatrudniały 1 544 os</w:t>
      </w:r>
      <w:r w:rsidR="00FD15F0">
        <w:rPr>
          <w:shd w:val="clear" w:color="auto" w:fill="FFFFFF"/>
        </w:rPr>
        <w:t>oby</w:t>
      </w:r>
      <w:r w:rsidRPr="00066CAC">
        <w:rPr>
          <w:shd w:val="clear" w:color="auto" w:fill="FFFFFF"/>
        </w:rPr>
        <w:t xml:space="preserve"> na podstawie umowy o pracę, 118 na podstawie umowy zlecenia, agencyjnej lub umowy o dzieło, a 247 na podstawie ustawy o działalności gospodarczej. </w:t>
      </w:r>
      <w:r w:rsidR="00FD15F0">
        <w:rPr>
          <w:shd w:val="clear" w:color="auto" w:fill="FFFFFF"/>
        </w:rPr>
        <w:t xml:space="preserve">Badane </w:t>
      </w:r>
      <w:proofErr w:type="spellStart"/>
      <w:r w:rsidR="00FD15F0">
        <w:rPr>
          <w:shd w:val="clear" w:color="auto" w:fill="FFFFFF"/>
        </w:rPr>
        <w:t>niebankowe</w:t>
      </w:r>
      <w:proofErr w:type="spellEnd"/>
      <w:r w:rsidR="00FD15F0">
        <w:rPr>
          <w:shd w:val="clear" w:color="auto" w:fill="FFFFFF"/>
        </w:rPr>
        <w:t xml:space="preserve"> przedsiębiorstwa faktoringowe świadczyły swoje usługi poprzez</w:t>
      </w:r>
      <w:r w:rsidRPr="00066CAC">
        <w:rPr>
          <w:shd w:val="clear" w:color="auto" w:fill="FFFFFF"/>
        </w:rPr>
        <w:t xml:space="preserve"> 339 oddział</w:t>
      </w:r>
      <w:r w:rsidR="007835F2">
        <w:rPr>
          <w:shd w:val="clear" w:color="auto" w:fill="FFFFFF"/>
        </w:rPr>
        <w:t>ów</w:t>
      </w:r>
      <w:r w:rsidRPr="00066CAC">
        <w:rPr>
          <w:shd w:val="clear" w:color="auto" w:fill="FFFFFF"/>
        </w:rPr>
        <w:t>, przedstawicielstw i fili</w:t>
      </w:r>
      <w:r w:rsidR="007835F2">
        <w:rPr>
          <w:shd w:val="clear" w:color="auto" w:fill="FFFFFF"/>
        </w:rPr>
        <w:t>i</w:t>
      </w:r>
      <w:r w:rsidRPr="00066CAC">
        <w:rPr>
          <w:shd w:val="clear" w:color="auto" w:fill="FFFFFF"/>
        </w:rPr>
        <w:t>.</w:t>
      </w:r>
    </w:p>
    <w:p w:rsidR="006A2566" w:rsidRPr="00066CAC" w:rsidRDefault="006A2566" w:rsidP="003936FE">
      <w:pPr>
        <w:spacing w:line="288" w:lineRule="auto"/>
        <w:rPr>
          <w:shd w:val="clear" w:color="auto" w:fill="FFFFFF"/>
        </w:rPr>
      </w:pPr>
      <w:r w:rsidRPr="00066CAC">
        <w:rPr>
          <w:shd w:val="clear" w:color="auto" w:fill="FFFFFF"/>
        </w:rPr>
        <w:t xml:space="preserve">Osiemnaście badanych przedsiębiorstw faktoringowych zaobserwowało wpływ pandemii </w:t>
      </w:r>
      <w:proofErr w:type="spellStart"/>
      <w:r w:rsidRPr="00066CAC">
        <w:rPr>
          <w:shd w:val="clear" w:color="auto" w:fill="FFFFFF"/>
        </w:rPr>
        <w:t>koronawirusa</w:t>
      </w:r>
      <w:proofErr w:type="spellEnd"/>
      <w:r w:rsidRPr="00066CAC">
        <w:rPr>
          <w:shd w:val="clear" w:color="auto" w:fill="FFFFFF"/>
        </w:rPr>
        <w:t xml:space="preserve"> na ich działalność, z czego </w:t>
      </w:r>
      <w:r w:rsidR="003B4CB0">
        <w:rPr>
          <w:shd w:val="clear" w:color="auto" w:fill="FFFFFF"/>
        </w:rPr>
        <w:t>10</w:t>
      </w:r>
      <w:r w:rsidRPr="00066CAC">
        <w:rPr>
          <w:shd w:val="clear" w:color="auto" w:fill="FFFFFF"/>
        </w:rPr>
        <w:t xml:space="preserve"> firm oceniło go jako „negatywny nieznaczny”, </w:t>
      </w:r>
      <w:r w:rsidR="00066CAC" w:rsidRPr="00066CAC">
        <w:rPr>
          <w:shd w:val="clear" w:color="auto" w:fill="FFFFFF"/>
        </w:rPr>
        <w:t>pięć</w:t>
      </w:r>
      <w:r w:rsidRPr="00066CAC">
        <w:rPr>
          <w:shd w:val="clear" w:color="auto" w:fill="FFFFFF"/>
        </w:rPr>
        <w:t xml:space="preserve"> </w:t>
      </w:r>
      <w:r w:rsidRPr="00066CAC">
        <w:rPr>
          <w:shd w:val="clear" w:color="auto" w:fill="FFFFFF"/>
        </w:rPr>
        <w:lastRenderedPageBreak/>
        <w:t xml:space="preserve">jako „negatywny poważny”, dwie jako </w:t>
      </w:r>
      <w:r w:rsidR="00924305">
        <w:rPr>
          <w:shd w:val="clear" w:color="auto" w:fill="FFFFFF"/>
        </w:rPr>
        <w:t>„</w:t>
      </w:r>
      <w:r w:rsidRPr="00066CAC">
        <w:rPr>
          <w:shd w:val="clear" w:color="auto" w:fill="FFFFFF"/>
        </w:rPr>
        <w:t>zagrażający stabilności firmy</w:t>
      </w:r>
      <w:r w:rsidR="00924305">
        <w:rPr>
          <w:shd w:val="clear" w:color="auto" w:fill="FFFFFF"/>
        </w:rPr>
        <w:t>”</w:t>
      </w:r>
      <w:r w:rsidRPr="00066CAC">
        <w:rPr>
          <w:shd w:val="clear" w:color="auto" w:fill="FFFFFF"/>
        </w:rPr>
        <w:t xml:space="preserve"> i jedna jako „pozytywny nieznaczny”.</w:t>
      </w:r>
    </w:p>
    <w:p w:rsidR="00C333C1" w:rsidRPr="00783C22" w:rsidRDefault="00491C68" w:rsidP="005D51A7">
      <w:pPr>
        <w:pStyle w:val="Nagwek1"/>
        <w:spacing w:before="360"/>
        <w:rPr>
          <w:rFonts w:ascii="Fira Sans" w:hAnsi="Fira Sans"/>
          <w:b/>
        </w:rPr>
      </w:pPr>
      <w:r w:rsidRPr="00783C22">
        <w:rPr>
          <w:rFonts w:ascii="Fira Sans" w:hAnsi="Fira Sans"/>
          <w:b/>
          <w:noProof/>
          <w:color w:val="212492"/>
          <w:spacing w:val="-2"/>
        </w:rPr>
        <mc:AlternateContent>
          <mc:Choice Requires="wps">
            <w:drawing>
              <wp:anchor distT="45720" distB="45720" distL="114300" distR="114300" simplePos="0" relativeHeight="251655680" behindDoc="1" locked="0" layoutInCell="1" allowOverlap="1" wp14:anchorId="69D49324" wp14:editId="1B1DA8EB">
                <wp:simplePos x="0" y="0"/>
                <wp:positionH relativeFrom="column">
                  <wp:posOffset>5326380</wp:posOffset>
                </wp:positionH>
                <wp:positionV relativeFrom="paragraph">
                  <wp:posOffset>177800</wp:posOffset>
                </wp:positionV>
                <wp:extent cx="1725295" cy="815340"/>
                <wp:effectExtent l="0" t="0" r="0" b="3810"/>
                <wp:wrapTight wrapText="bothSides">
                  <wp:wrapPolygon edited="0">
                    <wp:start x="715" y="0"/>
                    <wp:lineTo x="715" y="21196"/>
                    <wp:lineTo x="20749" y="21196"/>
                    <wp:lineTo x="20749" y="0"/>
                    <wp:lineTo x="715" y="0"/>
                  </wp:wrapPolygon>
                </wp:wrapTight>
                <wp:docPr id="2" name="Pole tekstowe 2" descr="Z usług faktoringowych w 2021 r. korzystało 26,4 tys. klien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15340"/>
                        </a:xfrm>
                        <a:prstGeom prst="rect">
                          <a:avLst/>
                        </a:prstGeom>
                        <a:noFill/>
                        <a:ln w="9525">
                          <a:noFill/>
                          <a:miter lim="800000"/>
                          <a:headEnd/>
                          <a:tailEnd/>
                        </a:ln>
                      </wps:spPr>
                      <wps:txbx>
                        <w:txbxContent>
                          <w:p w:rsidR="0089021B" w:rsidRPr="00066CAC" w:rsidRDefault="0089021B" w:rsidP="0089021B">
                            <w:pPr>
                              <w:spacing w:after="0"/>
                              <w:rPr>
                                <w:rFonts w:eastAsia="Times New Roman" w:cs="Times New Roman"/>
                                <w:bCs/>
                                <w:color w:val="002060"/>
                                <w:sz w:val="18"/>
                                <w:szCs w:val="18"/>
                                <w:lang w:eastAsia="pl-PL"/>
                              </w:rPr>
                            </w:pPr>
                            <w:r w:rsidRPr="00066CAC">
                              <w:rPr>
                                <w:rFonts w:eastAsia="Times New Roman" w:cs="Times New Roman"/>
                                <w:bCs/>
                                <w:color w:val="002060"/>
                                <w:sz w:val="18"/>
                                <w:szCs w:val="18"/>
                                <w:lang w:eastAsia="pl-PL"/>
                              </w:rPr>
                              <w:t>Z usług faktoringowych w 2021 r. korzystało 26,4 tys. klientów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49324" id="_x0000_s1029" type="#_x0000_t202" alt="Z usług faktoringowych w 2021 r. korzystało 26,4 tys. klientów" style="position:absolute;margin-left:419.4pt;margin-top:14pt;width:135.85pt;height:64.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" filled="f" stroked="f">
                <v:textbox>
                  <w:txbxContent>
                    <w:p w:rsidR="0089021B" w:rsidRPr="00066CAC" w:rsidRDefault="0089021B" w:rsidP="0089021B">
                      <w:pPr>
                        <w:spacing w:after="0"/>
                        <w:rPr>
                          <w:rFonts w:eastAsia="Times New Roman" w:cs="Times New Roman"/>
                          <w:bCs/>
                          <w:color w:val="002060"/>
                          <w:sz w:val="18"/>
                          <w:szCs w:val="18"/>
                          <w:lang w:eastAsia="pl-PL"/>
                        </w:rPr>
                      </w:pPr>
                      <w:r w:rsidRPr="00066CAC">
                        <w:rPr>
                          <w:rFonts w:eastAsia="Times New Roman" w:cs="Times New Roman"/>
                          <w:bCs/>
                          <w:color w:val="002060"/>
                          <w:sz w:val="18"/>
                          <w:szCs w:val="18"/>
                          <w:lang w:eastAsia="pl-PL"/>
                        </w:rPr>
                        <w:t>Z usług faktoringowych w 2021 r. korzystało 26,4 tys. klientów</w:t>
                      </w:r>
                    </w:p>
                  </w:txbxContent>
                </v:textbox>
                <w10:wrap type="tight"/>
              </v:shape>
            </w:pict>
          </mc:Fallback>
        </mc:AlternateContent>
      </w:r>
      <w:r w:rsidR="00C333C1" w:rsidRPr="00783C22">
        <w:rPr>
          <w:rFonts w:ascii="Fira Sans" w:hAnsi="Fira Sans"/>
          <w:b/>
          <w:shd w:val="clear" w:color="auto" w:fill="FFFFFF"/>
        </w:rPr>
        <w:t xml:space="preserve">Charakterystyka usług </w:t>
      </w:r>
      <w:r w:rsidR="006A2566">
        <w:rPr>
          <w:rFonts w:ascii="Fira Sans" w:hAnsi="Fira Sans"/>
          <w:b/>
          <w:shd w:val="clear" w:color="auto" w:fill="FFFFFF"/>
        </w:rPr>
        <w:t>faktoringowych</w:t>
      </w:r>
    </w:p>
    <w:p w:rsidR="006A2566" w:rsidRPr="00066CAC" w:rsidRDefault="006A2566" w:rsidP="003936FE">
      <w:pPr>
        <w:spacing w:line="288" w:lineRule="auto"/>
        <w:rPr>
          <w:shd w:val="clear" w:color="auto" w:fill="FFFFFF"/>
        </w:rPr>
      </w:pPr>
      <w:r w:rsidRPr="00066CAC">
        <w:rPr>
          <w:shd w:val="clear" w:color="auto" w:fill="FFFFFF"/>
        </w:rPr>
        <w:t xml:space="preserve">Z usług faktoringowych w 2021 r. skorzystało 26 371 klientów. W tej liczbie 28,5% klientów prowadziło działalność w zakresie handlu, 21,1% – transportu, 18,8% – przemysłu. </w:t>
      </w:r>
    </w:p>
    <w:p w:rsidR="006A2566" w:rsidRPr="00066CAC" w:rsidRDefault="006A2566" w:rsidP="003936FE">
      <w:pPr>
        <w:spacing w:line="288" w:lineRule="auto"/>
        <w:rPr>
          <w:shd w:val="clear" w:color="auto" w:fill="FFFFFF"/>
        </w:rPr>
      </w:pPr>
      <w:r w:rsidRPr="00066CAC">
        <w:rPr>
          <w:shd w:val="clear" w:color="auto" w:fill="FFFFFF"/>
        </w:rPr>
        <w:t>Wartość wykupionych wierzytelności przez badane przedsiębiorstwa faktoringowe (łącznie) zwiększyła się o 29,4%, z 308 975 mln zł w 2020 r. do 399 822 mln zł w 2021 r.</w:t>
      </w:r>
    </w:p>
    <w:p w:rsidR="00BE7819" w:rsidRPr="006758F7" w:rsidRDefault="00BE7819" w:rsidP="00BE7819">
      <w:pPr>
        <w:spacing w:before="360" w:line="240" w:lineRule="auto"/>
        <w:ind w:left="851" w:hanging="851"/>
        <w:rPr>
          <w:b/>
          <w:spacing w:val="-2"/>
          <w:szCs w:val="19"/>
          <w:shd w:val="clear" w:color="auto" w:fill="FFFFFF"/>
        </w:rPr>
      </w:pPr>
      <w:r w:rsidRPr="006758F7">
        <w:rPr>
          <w:b/>
          <w:iCs/>
          <w:color w:val="000000" w:themeColor="text1"/>
          <w:szCs w:val="19"/>
        </w:rPr>
        <w:t xml:space="preserve">Tablica 2. </w:t>
      </w:r>
      <w:r w:rsidRPr="006758F7">
        <w:rPr>
          <w:b/>
          <w:spacing w:val="-2"/>
          <w:szCs w:val="19"/>
          <w:shd w:val="clear" w:color="auto" w:fill="FFFFFF"/>
        </w:rPr>
        <w:t>Podstawowe informacje dotyczące działalności firm faktoringowych</w:t>
      </w:r>
    </w:p>
    <w:tbl>
      <w:tblPr>
        <w:tblStyle w:val="Tabela-Siatka"/>
        <w:tblW w:w="8118" w:type="dxa"/>
        <w:tblBorders>
          <w:top w:val="single" w:sz="4" w:space="0" w:color="002060"/>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Caption w:val="Tablica 2. Podstawowe informacje dotyczące działalności firm faktoringowych"/>
        <w:tblDescription w:val="Firmy faktoringowe ogółem w 2021 roku obsłużuły 26,4 tys. klientów. Wykupiły 21,7 mln faktur o wartości ok. 400 mld zł.  Niebankowe przedsiębiorstwa faktoringowe  obsłużyły 23,9 tys. klientów, wykupując 19,3 mln faktur o wartości 325 mld zł. w bankach obsłużono 2,5 mln klientów faktoringowych od których wykupiono 2,4 mln faktur o wartości 74,8 mld zł."/>
      </w:tblPr>
      <w:tblGrid>
        <w:gridCol w:w="2001"/>
        <w:gridCol w:w="976"/>
        <w:gridCol w:w="851"/>
        <w:gridCol w:w="1134"/>
        <w:gridCol w:w="1134"/>
        <w:gridCol w:w="992"/>
        <w:gridCol w:w="973"/>
        <w:gridCol w:w="57"/>
      </w:tblGrid>
      <w:tr w:rsidR="00BE7819" w:rsidRPr="000719C2" w:rsidTr="00C125AF">
        <w:trPr>
          <w:gridAfter w:val="1"/>
          <w:wAfter w:w="57" w:type="dxa"/>
        </w:trPr>
        <w:tc>
          <w:tcPr>
            <w:tcW w:w="2001" w:type="dxa"/>
            <w:vMerge w:val="restart"/>
            <w:vAlign w:val="center"/>
          </w:tcPr>
          <w:p w:rsidR="00BE7819" w:rsidRPr="000719C2" w:rsidRDefault="00BE7819" w:rsidP="00C125AF">
            <w:pPr>
              <w:pStyle w:val="Nagwek1"/>
              <w:spacing w:before="120" w:line="240" w:lineRule="exact"/>
              <w:jc w:val="center"/>
              <w:outlineLvl w:val="0"/>
              <w:rPr>
                <w:rFonts w:ascii="Fira Sans" w:eastAsiaTheme="minorHAnsi" w:hAnsi="Fira Sans" w:cstheme="minorBidi"/>
                <w:bCs w:val="0"/>
                <w:color w:val="auto"/>
                <w:sz w:val="18"/>
                <w:szCs w:val="18"/>
                <w:shd w:val="clear" w:color="auto" w:fill="FFFFFF"/>
                <w:lang w:eastAsia="en-US"/>
              </w:rPr>
            </w:pPr>
            <w:r w:rsidRPr="000719C2">
              <w:rPr>
                <w:rFonts w:ascii="Fira Sans" w:eastAsiaTheme="minorHAnsi" w:hAnsi="Fira Sans" w:cstheme="minorBidi"/>
                <w:bCs w:val="0"/>
                <w:color w:val="auto"/>
                <w:sz w:val="18"/>
                <w:szCs w:val="18"/>
                <w:shd w:val="clear" w:color="auto" w:fill="FFFFFF"/>
                <w:lang w:eastAsia="en-US"/>
              </w:rPr>
              <w:t>Wyszczególnienie</w:t>
            </w:r>
          </w:p>
        </w:tc>
        <w:tc>
          <w:tcPr>
            <w:tcW w:w="1827" w:type="dxa"/>
            <w:gridSpan w:val="2"/>
            <w:vAlign w:val="center"/>
          </w:tcPr>
          <w:p w:rsidR="00BE7819" w:rsidRPr="000719C2" w:rsidRDefault="00BE7819" w:rsidP="00C125AF">
            <w:pPr>
              <w:pStyle w:val="Nagwek3"/>
              <w:spacing w:before="120" w:after="120"/>
              <w:jc w:val="center"/>
              <w:outlineLvl w:val="2"/>
              <w:rPr>
                <w:rFonts w:ascii="Fira Sans" w:hAnsi="Fira Sans"/>
                <w:color w:val="000000" w:themeColor="text1"/>
                <w:sz w:val="18"/>
                <w:szCs w:val="18"/>
              </w:rPr>
            </w:pPr>
            <w:r w:rsidRPr="000719C2">
              <w:rPr>
                <w:rFonts w:ascii="Fira Sans" w:hAnsi="Fira Sans"/>
                <w:color w:val="000000" w:themeColor="text1"/>
                <w:sz w:val="18"/>
                <w:szCs w:val="18"/>
              </w:rPr>
              <w:t>Ogółem</w:t>
            </w:r>
          </w:p>
        </w:tc>
        <w:tc>
          <w:tcPr>
            <w:tcW w:w="2268" w:type="dxa"/>
            <w:gridSpan w:val="2"/>
            <w:vAlign w:val="center"/>
          </w:tcPr>
          <w:p w:rsidR="00BE7819" w:rsidRPr="000719C2" w:rsidRDefault="00BE7819" w:rsidP="00C125AF">
            <w:pPr>
              <w:pStyle w:val="Nagwek1"/>
              <w:spacing w:before="120" w:line="240" w:lineRule="exact"/>
              <w:jc w:val="center"/>
              <w:outlineLvl w:val="0"/>
              <w:rPr>
                <w:rFonts w:ascii="Fira Sans" w:eastAsiaTheme="minorHAnsi" w:hAnsi="Fira Sans" w:cstheme="minorBidi"/>
                <w:bCs w:val="0"/>
                <w:color w:val="auto"/>
                <w:sz w:val="18"/>
                <w:szCs w:val="18"/>
                <w:shd w:val="clear" w:color="auto" w:fill="FFFFFF"/>
                <w:lang w:eastAsia="en-US"/>
              </w:rPr>
            </w:pPr>
            <w:r w:rsidRPr="000719C2">
              <w:rPr>
                <w:rFonts w:ascii="Fira Sans" w:hAnsi="Fira Sans"/>
                <w:color w:val="000000" w:themeColor="text1"/>
                <w:sz w:val="18"/>
                <w:szCs w:val="18"/>
              </w:rPr>
              <w:t xml:space="preserve">Faktoringowe przedsiębiorstwa </w:t>
            </w:r>
            <w:proofErr w:type="spellStart"/>
            <w:r w:rsidRPr="000719C2">
              <w:rPr>
                <w:rFonts w:ascii="Fira Sans" w:hAnsi="Fira Sans"/>
                <w:color w:val="000000" w:themeColor="text1"/>
                <w:sz w:val="18"/>
                <w:szCs w:val="18"/>
              </w:rPr>
              <w:t>niebankowe</w:t>
            </w:r>
            <w:proofErr w:type="spellEnd"/>
          </w:p>
        </w:tc>
        <w:tc>
          <w:tcPr>
            <w:tcW w:w="1965" w:type="dxa"/>
            <w:gridSpan w:val="2"/>
            <w:vAlign w:val="center"/>
          </w:tcPr>
          <w:p w:rsidR="00BE7819" w:rsidRPr="000719C2" w:rsidRDefault="00BE7819" w:rsidP="00C125AF">
            <w:pPr>
              <w:pStyle w:val="Nagwek3"/>
              <w:spacing w:before="120" w:after="120"/>
              <w:jc w:val="center"/>
              <w:outlineLvl w:val="2"/>
              <w:rPr>
                <w:rFonts w:ascii="Fira Sans" w:eastAsiaTheme="minorHAnsi" w:hAnsi="Fira Sans" w:cstheme="minorBidi"/>
                <w:bCs/>
                <w:color w:val="auto"/>
                <w:sz w:val="18"/>
                <w:szCs w:val="18"/>
                <w:shd w:val="clear" w:color="auto" w:fill="FFFFFF"/>
              </w:rPr>
            </w:pPr>
            <w:r w:rsidRPr="000719C2">
              <w:rPr>
                <w:rFonts w:ascii="Fira Sans" w:hAnsi="Fira Sans"/>
                <w:color w:val="000000" w:themeColor="text1"/>
                <w:sz w:val="18"/>
                <w:szCs w:val="18"/>
              </w:rPr>
              <w:t>Działalność faktoringowa w bankach</w:t>
            </w:r>
          </w:p>
        </w:tc>
      </w:tr>
      <w:tr w:rsidR="00BE7819" w:rsidTr="00C125AF">
        <w:tc>
          <w:tcPr>
            <w:tcW w:w="2001" w:type="dxa"/>
            <w:vMerge/>
          </w:tcPr>
          <w:p w:rsidR="00BE7819" w:rsidRPr="000719C2" w:rsidRDefault="00BE7819" w:rsidP="00C125AF">
            <w:pPr>
              <w:pStyle w:val="Nagwek1"/>
              <w:spacing w:before="120" w:line="240" w:lineRule="exact"/>
              <w:outlineLvl w:val="0"/>
              <w:rPr>
                <w:rFonts w:ascii="Fira Sans" w:eastAsiaTheme="minorHAnsi" w:hAnsi="Fira Sans" w:cstheme="minorBidi"/>
                <w:bCs w:val="0"/>
                <w:color w:val="auto"/>
                <w:sz w:val="18"/>
                <w:szCs w:val="18"/>
                <w:shd w:val="clear" w:color="auto" w:fill="FFFFFF"/>
                <w:lang w:eastAsia="en-US"/>
              </w:rPr>
            </w:pPr>
          </w:p>
        </w:tc>
        <w:tc>
          <w:tcPr>
            <w:tcW w:w="976" w:type="dxa"/>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w:t>
            </w:r>
            <w:r>
              <w:rPr>
                <w:color w:val="000000" w:themeColor="text1"/>
                <w:sz w:val="18"/>
                <w:szCs w:val="18"/>
              </w:rPr>
              <w:t>20</w:t>
            </w:r>
          </w:p>
        </w:tc>
        <w:tc>
          <w:tcPr>
            <w:tcW w:w="851" w:type="dxa"/>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202</w:t>
            </w:r>
            <w:r>
              <w:rPr>
                <w:color w:val="000000" w:themeColor="text1"/>
                <w:sz w:val="18"/>
                <w:szCs w:val="18"/>
              </w:rPr>
              <w:t>1</w:t>
            </w:r>
          </w:p>
        </w:tc>
        <w:tc>
          <w:tcPr>
            <w:tcW w:w="1134" w:type="dxa"/>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w:t>
            </w:r>
            <w:r>
              <w:rPr>
                <w:color w:val="000000" w:themeColor="text1"/>
                <w:sz w:val="18"/>
                <w:szCs w:val="18"/>
              </w:rPr>
              <w:t>20</w:t>
            </w:r>
          </w:p>
        </w:tc>
        <w:tc>
          <w:tcPr>
            <w:tcW w:w="1134" w:type="dxa"/>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202</w:t>
            </w:r>
            <w:r>
              <w:rPr>
                <w:color w:val="000000" w:themeColor="text1"/>
                <w:sz w:val="18"/>
                <w:szCs w:val="18"/>
              </w:rPr>
              <w:t>1</w:t>
            </w:r>
          </w:p>
        </w:tc>
        <w:tc>
          <w:tcPr>
            <w:tcW w:w="992" w:type="dxa"/>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w:t>
            </w:r>
            <w:r>
              <w:rPr>
                <w:color w:val="000000" w:themeColor="text1"/>
                <w:sz w:val="18"/>
                <w:szCs w:val="18"/>
              </w:rPr>
              <w:t>20</w:t>
            </w:r>
          </w:p>
        </w:tc>
        <w:tc>
          <w:tcPr>
            <w:tcW w:w="1030" w:type="dxa"/>
            <w:gridSpan w:val="2"/>
            <w:vAlign w:val="center"/>
          </w:tcPr>
          <w:p w:rsidR="00BE7819" w:rsidRPr="000719C2" w:rsidRDefault="00BE7819" w:rsidP="00C125AF">
            <w:pPr>
              <w:jc w:val="center"/>
              <w:rPr>
                <w:color w:val="000000" w:themeColor="text1"/>
                <w:sz w:val="18"/>
                <w:szCs w:val="18"/>
              </w:rPr>
            </w:pPr>
            <w:r w:rsidRPr="000719C2">
              <w:rPr>
                <w:color w:val="000000" w:themeColor="text1"/>
                <w:sz w:val="18"/>
                <w:szCs w:val="18"/>
              </w:rPr>
              <w:t>202</w:t>
            </w:r>
            <w:r>
              <w:rPr>
                <w:color w:val="000000" w:themeColor="text1"/>
                <w:sz w:val="18"/>
                <w:szCs w:val="18"/>
              </w:rPr>
              <w:t>1</w:t>
            </w:r>
          </w:p>
        </w:tc>
      </w:tr>
      <w:tr w:rsidR="00BE7819" w:rsidTr="00C125AF">
        <w:tc>
          <w:tcPr>
            <w:tcW w:w="2001" w:type="dxa"/>
            <w:vAlign w:val="center"/>
          </w:tcPr>
          <w:p w:rsidR="00BE7819" w:rsidRPr="000719C2" w:rsidRDefault="00BE7819" w:rsidP="00C125AF">
            <w:pPr>
              <w:pStyle w:val="Nagwek5"/>
              <w:tabs>
                <w:tab w:val="right" w:leader="dot" w:pos="4156"/>
              </w:tabs>
              <w:spacing w:before="120" w:after="120"/>
              <w:contextualSpacing/>
              <w:outlineLvl w:val="4"/>
              <w:rPr>
                <w:rFonts w:ascii="Fira Sans" w:hAnsi="Fira Sans"/>
                <w:color w:val="000000" w:themeColor="text1"/>
                <w:sz w:val="18"/>
                <w:szCs w:val="18"/>
              </w:rPr>
            </w:pPr>
            <w:r w:rsidRPr="000719C2">
              <w:rPr>
                <w:rFonts w:ascii="Fira Sans" w:hAnsi="Fira Sans"/>
                <w:color w:val="000000" w:themeColor="text1"/>
                <w:sz w:val="18"/>
                <w:szCs w:val="18"/>
              </w:rPr>
              <w:t>Liczba klientów (faktorantów)</w:t>
            </w:r>
          </w:p>
        </w:tc>
        <w:tc>
          <w:tcPr>
            <w:tcW w:w="976" w:type="dxa"/>
            <w:vAlign w:val="center"/>
          </w:tcPr>
          <w:p w:rsidR="00BE7819" w:rsidRPr="00283C60" w:rsidRDefault="00BE7819" w:rsidP="00C125AF">
            <w:pPr>
              <w:jc w:val="right"/>
              <w:rPr>
                <w:rFonts w:cs="Arial"/>
                <w:bCs/>
                <w:sz w:val="18"/>
                <w:szCs w:val="18"/>
              </w:rPr>
            </w:pPr>
            <w:r w:rsidRPr="00283C60">
              <w:rPr>
                <w:rFonts w:cs="Arial"/>
                <w:bCs/>
                <w:sz w:val="18"/>
                <w:szCs w:val="18"/>
              </w:rPr>
              <w:t xml:space="preserve">21 153 </w:t>
            </w:r>
          </w:p>
        </w:tc>
        <w:tc>
          <w:tcPr>
            <w:tcW w:w="851" w:type="dxa"/>
            <w:vAlign w:val="center"/>
          </w:tcPr>
          <w:p w:rsidR="00BE7819" w:rsidRPr="00283C60" w:rsidRDefault="00BE7819" w:rsidP="00C125AF">
            <w:pPr>
              <w:jc w:val="right"/>
              <w:rPr>
                <w:rFonts w:cs="Arial"/>
                <w:bCs/>
                <w:sz w:val="18"/>
                <w:szCs w:val="18"/>
              </w:rPr>
            </w:pPr>
            <w:r w:rsidRPr="00283C60">
              <w:rPr>
                <w:rFonts w:cs="Arial"/>
                <w:bCs/>
                <w:sz w:val="18"/>
                <w:szCs w:val="18"/>
              </w:rPr>
              <w:t>26 371</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18 242</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23 852</w:t>
            </w:r>
          </w:p>
        </w:tc>
        <w:tc>
          <w:tcPr>
            <w:tcW w:w="992" w:type="dxa"/>
            <w:vAlign w:val="center"/>
          </w:tcPr>
          <w:p w:rsidR="00BE7819" w:rsidRPr="00283C60" w:rsidRDefault="00BE7819" w:rsidP="00C125AF">
            <w:pPr>
              <w:jc w:val="right"/>
              <w:rPr>
                <w:rFonts w:cs="Arial"/>
                <w:bCs/>
                <w:sz w:val="18"/>
                <w:szCs w:val="18"/>
              </w:rPr>
            </w:pPr>
            <w:r w:rsidRPr="00283C60">
              <w:rPr>
                <w:rFonts w:cs="Arial"/>
                <w:bCs/>
                <w:sz w:val="18"/>
                <w:szCs w:val="18"/>
              </w:rPr>
              <w:t>2 911</w:t>
            </w:r>
          </w:p>
        </w:tc>
        <w:tc>
          <w:tcPr>
            <w:tcW w:w="1030" w:type="dxa"/>
            <w:gridSpan w:val="2"/>
            <w:vAlign w:val="center"/>
          </w:tcPr>
          <w:p w:rsidR="00BE7819" w:rsidRPr="00283C60" w:rsidRDefault="00BE7819" w:rsidP="00C125AF">
            <w:pPr>
              <w:jc w:val="right"/>
              <w:rPr>
                <w:rFonts w:cs="Arial"/>
                <w:bCs/>
                <w:sz w:val="18"/>
                <w:szCs w:val="18"/>
              </w:rPr>
            </w:pPr>
            <w:r w:rsidRPr="00283C60">
              <w:rPr>
                <w:rFonts w:cs="Arial"/>
                <w:bCs/>
                <w:sz w:val="18"/>
                <w:szCs w:val="18"/>
              </w:rPr>
              <w:t>2 519</w:t>
            </w:r>
          </w:p>
        </w:tc>
      </w:tr>
      <w:tr w:rsidR="00BE7819" w:rsidTr="00C125AF">
        <w:tc>
          <w:tcPr>
            <w:tcW w:w="2001" w:type="dxa"/>
            <w:vAlign w:val="center"/>
          </w:tcPr>
          <w:p w:rsidR="00BE7819" w:rsidRPr="000719C2" w:rsidRDefault="00BE7819" w:rsidP="00C125AF">
            <w:pPr>
              <w:pStyle w:val="Nagwek8"/>
              <w:tabs>
                <w:tab w:val="right" w:leader="dot" w:pos="4156"/>
              </w:tabs>
              <w:spacing w:before="120" w:after="120"/>
              <w:contextualSpacing/>
              <w:outlineLvl w:val="7"/>
              <w:rPr>
                <w:rFonts w:ascii="Fira Sans" w:hAnsi="Fira Sans"/>
                <w:i/>
                <w:color w:val="000000" w:themeColor="text1"/>
                <w:sz w:val="18"/>
                <w:szCs w:val="18"/>
              </w:rPr>
            </w:pPr>
            <w:r w:rsidRPr="000719C2">
              <w:rPr>
                <w:rFonts w:ascii="Fira Sans" w:hAnsi="Fira Sans"/>
                <w:color w:val="000000" w:themeColor="text1"/>
                <w:sz w:val="18"/>
                <w:szCs w:val="18"/>
              </w:rPr>
              <w:t xml:space="preserve">Liczba wykupionych faktur </w:t>
            </w:r>
            <w:r w:rsidRPr="000719C2">
              <w:rPr>
                <w:rFonts w:ascii="Fira Sans" w:hAnsi="Fira Sans"/>
                <w:i/>
                <w:color w:val="000000" w:themeColor="text1"/>
                <w:sz w:val="18"/>
                <w:szCs w:val="18"/>
              </w:rPr>
              <w:t>w tys.</w:t>
            </w:r>
          </w:p>
        </w:tc>
        <w:tc>
          <w:tcPr>
            <w:tcW w:w="976" w:type="dxa"/>
            <w:vAlign w:val="center"/>
          </w:tcPr>
          <w:p w:rsidR="00BE7819" w:rsidRPr="00283C60" w:rsidRDefault="0043553D" w:rsidP="00C125AF">
            <w:pPr>
              <w:jc w:val="right"/>
              <w:rPr>
                <w:rFonts w:cs="Arial"/>
                <w:bCs/>
                <w:sz w:val="18"/>
                <w:szCs w:val="18"/>
              </w:rPr>
            </w:pPr>
            <w:r>
              <w:rPr>
                <w:rFonts w:cs="Arial"/>
                <w:bCs/>
                <w:sz w:val="18"/>
                <w:szCs w:val="18"/>
              </w:rPr>
              <w:t>18 559</w:t>
            </w:r>
          </w:p>
        </w:tc>
        <w:tc>
          <w:tcPr>
            <w:tcW w:w="851" w:type="dxa"/>
            <w:vAlign w:val="center"/>
          </w:tcPr>
          <w:p w:rsidR="00BE7819" w:rsidRPr="00283C60" w:rsidRDefault="00BE7819" w:rsidP="00C125AF">
            <w:pPr>
              <w:jc w:val="right"/>
              <w:rPr>
                <w:rFonts w:cs="Arial"/>
                <w:bCs/>
                <w:sz w:val="18"/>
                <w:szCs w:val="18"/>
              </w:rPr>
            </w:pPr>
            <w:r w:rsidRPr="00283C60">
              <w:rPr>
                <w:rFonts w:cs="Arial"/>
                <w:bCs/>
                <w:sz w:val="18"/>
                <w:szCs w:val="18"/>
              </w:rPr>
              <w:t>21 710</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1</w:t>
            </w:r>
            <w:r w:rsidR="0043553D">
              <w:rPr>
                <w:rFonts w:cs="Arial"/>
                <w:bCs/>
                <w:sz w:val="18"/>
                <w:szCs w:val="18"/>
              </w:rPr>
              <w:t>6</w:t>
            </w:r>
            <w:r w:rsidRPr="00283C60">
              <w:rPr>
                <w:rFonts w:cs="Arial"/>
                <w:bCs/>
                <w:sz w:val="18"/>
                <w:szCs w:val="18"/>
              </w:rPr>
              <w:t xml:space="preserve"> </w:t>
            </w:r>
            <w:r w:rsidR="0043553D">
              <w:rPr>
                <w:rFonts w:cs="Arial"/>
                <w:bCs/>
                <w:sz w:val="18"/>
                <w:szCs w:val="18"/>
              </w:rPr>
              <w:t>486</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19 338</w:t>
            </w:r>
          </w:p>
        </w:tc>
        <w:tc>
          <w:tcPr>
            <w:tcW w:w="992" w:type="dxa"/>
            <w:vAlign w:val="center"/>
          </w:tcPr>
          <w:p w:rsidR="00BE7819" w:rsidRPr="00283C60" w:rsidRDefault="00BE7819" w:rsidP="00C125AF">
            <w:pPr>
              <w:jc w:val="right"/>
              <w:rPr>
                <w:rFonts w:cs="Arial"/>
                <w:bCs/>
                <w:sz w:val="18"/>
                <w:szCs w:val="18"/>
              </w:rPr>
            </w:pPr>
            <w:r w:rsidRPr="00283C60">
              <w:rPr>
                <w:rFonts w:cs="Arial"/>
                <w:bCs/>
                <w:sz w:val="18"/>
                <w:szCs w:val="18"/>
              </w:rPr>
              <w:t>2 073</w:t>
            </w:r>
          </w:p>
        </w:tc>
        <w:tc>
          <w:tcPr>
            <w:tcW w:w="1030" w:type="dxa"/>
            <w:gridSpan w:val="2"/>
            <w:vAlign w:val="center"/>
          </w:tcPr>
          <w:p w:rsidR="00BE7819" w:rsidRPr="00283C60" w:rsidRDefault="00BE7819" w:rsidP="00C125AF">
            <w:pPr>
              <w:jc w:val="right"/>
              <w:rPr>
                <w:rFonts w:cs="Arial"/>
                <w:bCs/>
                <w:sz w:val="18"/>
                <w:szCs w:val="18"/>
              </w:rPr>
            </w:pPr>
            <w:r w:rsidRPr="00283C60">
              <w:rPr>
                <w:rFonts w:cs="Arial"/>
                <w:bCs/>
                <w:sz w:val="18"/>
                <w:szCs w:val="18"/>
              </w:rPr>
              <w:t>2 372</w:t>
            </w:r>
          </w:p>
        </w:tc>
      </w:tr>
      <w:tr w:rsidR="00BE7819" w:rsidTr="00C125AF">
        <w:tc>
          <w:tcPr>
            <w:tcW w:w="2001" w:type="dxa"/>
            <w:vAlign w:val="center"/>
          </w:tcPr>
          <w:p w:rsidR="00BE7819" w:rsidRPr="000719C2" w:rsidRDefault="00BE7819" w:rsidP="00C125AF">
            <w:pPr>
              <w:pStyle w:val="Nagwek8"/>
              <w:tabs>
                <w:tab w:val="right" w:leader="dot" w:pos="4156"/>
              </w:tabs>
              <w:spacing w:before="120" w:after="120"/>
              <w:contextualSpacing/>
              <w:outlineLvl w:val="7"/>
              <w:rPr>
                <w:rFonts w:ascii="Fira Sans" w:hAnsi="Fira Sans"/>
                <w:color w:val="000000" w:themeColor="text1"/>
                <w:sz w:val="18"/>
                <w:szCs w:val="18"/>
              </w:rPr>
            </w:pPr>
            <w:r w:rsidRPr="000719C2">
              <w:rPr>
                <w:rFonts w:ascii="Fira Sans" w:hAnsi="Fira Sans"/>
                <w:color w:val="000000" w:themeColor="text1"/>
                <w:sz w:val="18"/>
                <w:szCs w:val="18"/>
              </w:rPr>
              <w:t xml:space="preserve">Wartość wykupionych wierzytelności </w:t>
            </w:r>
          </w:p>
          <w:p w:rsidR="00BE7819" w:rsidRPr="000719C2" w:rsidRDefault="00BE7819" w:rsidP="00C125AF">
            <w:pPr>
              <w:pStyle w:val="Nagwek8"/>
              <w:tabs>
                <w:tab w:val="right" w:leader="dot" w:pos="4156"/>
              </w:tabs>
              <w:spacing w:before="120" w:after="120"/>
              <w:contextualSpacing/>
              <w:outlineLvl w:val="7"/>
              <w:rPr>
                <w:rFonts w:ascii="Fira Sans" w:hAnsi="Fira Sans"/>
                <w:i/>
                <w:color w:val="000000" w:themeColor="text1"/>
                <w:sz w:val="18"/>
                <w:szCs w:val="18"/>
              </w:rPr>
            </w:pPr>
            <w:r w:rsidRPr="000719C2">
              <w:rPr>
                <w:rFonts w:ascii="Fira Sans" w:hAnsi="Fira Sans"/>
                <w:i/>
                <w:color w:val="000000" w:themeColor="text1"/>
                <w:sz w:val="18"/>
                <w:szCs w:val="18"/>
              </w:rPr>
              <w:t>w mln zł</w:t>
            </w:r>
          </w:p>
        </w:tc>
        <w:tc>
          <w:tcPr>
            <w:tcW w:w="976" w:type="dxa"/>
            <w:vAlign w:val="center"/>
          </w:tcPr>
          <w:p w:rsidR="00BE7819" w:rsidRPr="00283C60" w:rsidRDefault="00BE7819" w:rsidP="00C125AF">
            <w:pPr>
              <w:jc w:val="right"/>
              <w:rPr>
                <w:rFonts w:cs="Arial"/>
                <w:bCs/>
                <w:sz w:val="18"/>
                <w:szCs w:val="18"/>
              </w:rPr>
            </w:pPr>
            <w:r w:rsidRPr="00283C60">
              <w:rPr>
                <w:rFonts w:cs="Arial"/>
                <w:bCs/>
                <w:sz w:val="18"/>
                <w:szCs w:val="18"/>
              </w:rPr>
              <w:t>308 975</w:t>
            </w:r>
          </w:p>
        </w:tc>
        <w:tc>
          <w:tcPr>
            <w:tcW w:w="851" w:type="dxa"/>
            <w:vAlign w:val="center"/>
          </w:tcPr>
          <w:p w:rsidR="00BE7819" w:rsidRPr="00283C60" w:rsidRDefault="00BE7819" w:rsidP="00C125AF">
            <w:pPr>
              <w:jc w:val="right"/>
              <w:rPr>
                <w:rFonts w:cs="Arial"/>
                <w:bCs/>
                <w:sz w:val="18"/>
                <w:szCs w:val="18"/>
              </w:rPr>
            </w:pPr>
            <w:r w:rsidRPr="00283C60">
              <w:rPr>
                <w:rFonts w:cs="Arial"/>
                <w:bCs/>
                <w:sz w:val="18"/>
                <w:szCs w:val="18"/>
              </w:rPr>
              <w:t>399 822</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243 445</w:t>
            </w:r>
          </w:p>
        </w:tc>
        <w:tc>
          <w:tcPr>
            <w:tcW w:w="1134" w:type="dxa"/>
            <w:vAlign w:val="center"/>
          </w:tcPr>
          <w:p w:rsidR="00BE7819" w:rsidRPr="00283C60" w:rsidRDefault="00BE7819" w:rsidP="00C125AF">
            <w:pPr>
              <w:jc w:val="right"/>
              <w:rPr>
                <w:rFonts w:cs="Arial"/>
                <w:bCs/>
                <w:sz w:val="18"/>
                <w:szCs w:val="18"/>
              </w:rPr>
            </w:pPr>
            <w:r w:rsidRPr="00283C60">
              <w:rPr>
                <w:rFonts w:cs="Arial"/>
                <w:bCs/>
                <w:sz w:val="18"/>
                <w:szCs w:val="18"/>
              </w:rPr>
              <w:t>325 017</w:t>
            </w:r>
          </w:p>
        </w:tc>
        <w:tc>
          <w:tcPr>
            <w:tcW w:w="992" w:type="dxa"/>
            <w:vAlign w:val="center"/>
          </w:tcPr>
          <w:p w:rsidR="00BE7819" w:rsidRPr="00283C60" w:rsidRDefault="00BE7819" w:rsidP="00C125AF">
            <w:pPr>
              <w:jc w:val="right"/>
              <w:rPr>
                <w:rFonts w:cs="Arial"/>
                <w:bCs/>
                <w:sz w:val="18"/>
                <w:szCs w:val="18"/>
              </w:rPr>
            </w:pPr>
            <w:r w:rsidRPr="00283C60">
              <w:rPr>
                <w:rFonts w:cs="Arial"/>
                <w:bCs/>
                <w:sz w:val="18"/>
                <w:szCs w:val="18"/>
              </w:rPr>
              <w:t>65 530</w:t>
            </w:r>
          </w:p>
        </w:tc>
        <w:tc>
          <w:tcPr>
            <w:tcW w:w="1030" w:type="dxa"/>
            <w:gridSpan w:val="2"/>
            <w:vAlign w:val="center"/>
          </w:tcPr>
          <w:p w:rsidR="00BE7819" w:rsidRPr="00283C60" w:rsidRDefault="00BE7819" w:rsidP="00C125AF">
            <w:pPr>
              <w:jc w:val="right"/>
              <w:rPr>
                <w:rFonts w:cs="Arial"/>
                <w:bCs/>
                <w:sz w:val="18"/>
                <w:szCs w:val="18"/>
              </w:rPr>
            </w:pPr>
            <w:r w:rsidRPr="00283C60">
              <w:rPr>
                <w:rFonts w:cs="Arial"/>
                <w:bCs/>
                <w:sz w:val="18"/>
                <w:szCs w:val="18"/>
              </w:rPr>
              <w:t>74 805</w:t>
            </w:r>
          </w:p>
        </w:tc>
      </w:tr>
    </w:tbl>
    <w:p w:rsidR="00274351" w:rsidRPr="00274351" w:rsidRDefault="00BE7819" w:rsidP="003936FE">
      <w:pPr>
        <w:spacing w:line="288" w:lineRule="auto"/>
      </w:pPr>
      <w:r w:rsidRPr="000719C2">
        <w:rPr>
          <w:shd w:val="clear" w:color="auto" w:fill="FFFFFF"/>
        </w:rPr>
        <w:t>W faktoringu krajowym wartość wykupionych wierzytelności zwiększyła się o 28,6%, a w faktoringu zagranicznym wzrosła o 33,5%. Faktoring krajowy stanowił 83,6% ogólnej wartości wykupionych wierzytelności, a faktoring zagraniczny 16,4%. W faktoringu krajowym najczęściej stosowano faktoring bez regresu (51,7%), faktoring z regresem (24,7%), faktoring od-wrotny/odwrócony (20,2%) i faktoring mieszany (3,</w:t>
      </w:r>
      <w:r w:rsidR="008064EC">
        <w:rPr>
          <w:shd w:val="clear" w:color="auto" w:fill="FFFFFF"/>
        </w:rPr>
        <w:t>4</w:t>
      </w:r>
      <w:r w:rsidRPr="000719C2">
        <w:rPr>
          <w:shd w:val="clear" w:color="auto" w:fill="FFFFFF"/>
        </w:rPr>
        <w:t xml:space="preserve">%). </w:t>
      </w:r>
    </w:p>
    <w:p w:rsidR="00283C60" w:rsidRDefault="00274351" w:rsidP="0053069D">
      <w:pPr>
        <w:spacing w:before="240" w:line="240" w:lineRule="auto"/>
        <w:rPr>
          <w:shd w:val="clear" w:color="auto" w:fill="FFFFFF"/>
        </w:rPr>
      </w:pPr>
      <w:r w:rsidRPr="00051B61">
        <w:rPr>
          <w:b/>
        </w:rPr>
        <w:t>Wykres 1.</w:t>
      </w:r>
      <w:r w:rsidRPr="00051B61">
        <w:rPr>
          <w:b/>
          <w:shd w:val="clear" w:color="auto" w:fill="FFFFFF"/>
        </w:rPr>
        <w:t xml:space="preserve"> Wartość </w:t>
      </w:r>
      <w:r>
        <w:rPr>
          <w:b/>
          <w:shd w:val="clear" w:color="auto" w:fill="FFFFFF"/>
        </w:rPr>
        <w:t>wykupionych wierzytelności w faktoringu</w:t>
      </w:r>
      <w:r w:rsidRPr="00051B61">
        <w:rPr>
          <w:b/>
          <w:shd w:val="clear" w:color="auto" w:fill="FFFFFF"/>
        </w:rPr>
        <w:t xml:space="preserve"> </w:t>
      </w:r>
      <w:r>
        <w:rPr>
          <w:b/>
          <w:shd w:val="clear" w:color="auto" w:fill="FFFFFF"/>
        </w:rPr>
        <w:t>krajowym</w:t>
      </w:r>
    </w:p>
    <w:p w:rsidR="00283C60" w:rsidRPr="006A2566" w:rsidRDefault="00283C60" w:rsidP="003936FE">
      <w:pPr>
        <w:spacing w:line="288" w:lineRule="auto"/>
        <w:rPr>
          <w:shd w:val="clear" w:color="auto" w:fill="FFFFFF"/>
        </w:rPr>
      </w:pPr>
      <w:r w:rsidRPr="0005458D">
        <w:rPr>
          <w:rFonts w:ascii="Calibri" w:hAnsi="Calibri"/>
          <w:noProof/>
          <w:szCs w:val="24"/>
          <w:lang w:eastAsia="pl-PL"/>
        </w:rPr>
        <w:drawing>
          <wp:inline distT="0" distB="0" distL="0" distR="0" wp14:anchorId="48828CB1" wp14:editId="535C4129">
            <wp:extent cx="5122545" cy="2689860"/>
            <wp:effectExtent l="0" t="0" r="0" b="0"/>
            <wp:docPr id="15" name="Wykres 15" descr="wykres przedstawia wartość wykupionych wierzytelności w faktoringu krajowym w podziale na faktoring z regresem, bez regresu, odwrócony i mieszany."/>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36A1" w:rsidRPr="00066CAC" w:rsidRDefault="006436A1" w:rsidP="006436A1">
      <w:pPr>
        <w:spacing w:line="288" w:lineRule="auto"/>
      </w:pPr>
      <w:bookmarkStart w:id="4" w:name="_Hlk107579788"/>
      <w:r w:rsidRPr="00066CAC">
        <w:t>W bankach komercyjnych, które prowadziły działalność faktoringową, wartość wykupionych wierzytelności zwiększyła się o 14,2%</w:t>
      </w:r>
      <w:r>
        <w:t xml:space="preserve"> do kwoty 74 805 mln zł.</w:t>
      </w:r>
      <w:r w:rsidRPr="00066CAC">
        <w:t xml:space="preserve"> </w:t>
      </w:r>
      <w:r>
        <w:t>F</w:t>
      </w:r>
      <w:r w:rsidRPr="00066CAC">
        <w:t xml:space="preserve">aktoring krajowy stanowił 85,0% </w:t>
      </w:r>
      <w:r>
        <w:t xml:space="preserve">wykupionych wierzytelności, </w:t>
      </w:r>
      <w:r w:rsidRPr="00066CAC">
        <w:t>a faktoring w handlu zagranicznym 15,0%.</w:t>
      </w:r>
    </w:p>
    <w:bookmarkEnd w:id="4"/>
    <w:p w:rsidR="0067617A" w:rsidRPr="00066CAC" w:rsidRDefault="0067617A" w:rsidP="0067617A">
      <w:pPr>
        <w:spacing w:line="288" w:lineRule="auto"/>
      </w:pPr>
      <w:r w:rsidRPr="00066CAC">
        <w:t xml:space="preserve">W grupie </w:t>
      </w:r>
      <w:proofErr w:type="spellStart"/>
      <w:r w:rsidRPr="00066CAC">
        <w:t>niebankowych</w:t>
      </w:r>
      <w:proofErr w:type="spellEnd"/>
      <w:r w:rsidRPr="00066CAC">
        <w:t xml:space="preserve"> przedsiębiorstw prowadzących działalność faktoringową wartość wykupionych wierzytelności zwiększyła się o 33,5%</w:t>
      </w:r>
      <w:r>
        <w:t xml:space="preserve"> do kwoty 325 017 mln zł.</w:t>
      </w:r>
      <w:r w:rsidRPr="00066CAC">
        <w:t xml:space="preserve"> </w:t>
      </w:r>
      <w:r>
        <w:t>F</w:t>
      </w:r>
      <w:r w:rsidRPr="00066CAC">
        <w:t>aktoring krajowy stanowił 83,2%</w:t>
      </w:r>
      <w:r>
        <w:t xml:space="preserve"> wykupionych wierzytelności</w:t>
      </w:r>
      <w:r w:rsidRPr="00066CAC">
        <w:t>, a faktoring w handlu zagranicznym 16,8%.</w:t>
      </w:r>
    </w:p>
    <w:p w:rsidR="000719C2" w:rsidRPr="00066CAC" w:rsidRDefault="000719C2" w:rsidP="00B258F4">
      <w:pPr>
        <w:spacing w:line="288" w:lineRule="auto"/>
      </w:pPr>
      <w:r w:rsidRPr="00066CAC">
        <w:lastRenderedPageBreak/>
        <w:t>Wartość zaangażowanych środków finansowych</w:t>
      </w:r>
      <w:r w:rsidRPr="00066CAC">
        <w:rPr>
          <w:b/>
        </w:rPr>
        <w:t xml:space="preserve"> </w:t>
      </w:r>
      <w:r w:rsidRPr="00066CAC">
        <w:t>przez przedsiębiorstwa zajmujące się działalnością faktoringową (łącznie) na koniec 202</w:t>
      </w:r>
      <w:r w:rsidR="00FD15F0">
        <w:t>1</w:t>
      </w:r>
      <w:r w:rsidRPr="00066CAC">
        <w:t xml:space="preserve"> r. zwiększyła się o </w:t>
      </w:r>
      <w:r w:rsidR="00FD15F0">
        <w:t>30</w:t>
      </w:r>
      <w:r w:rsidRPr="00066CAC">
        <w:t>,</w:t>
      </w:r>
      <w:r w:rsidR="00FD15F0">
        <w:t>7</w:t>
      </w:r>
      <w:r w:rsidRPr="00066CAC">
        <w:t>%</w:t>
      </w:r>
      <w:r w:rsidR="008336B0">
        <w:t xml:space="preserve"> do kwoty 55 193 mln zł</w:t>
      </w:r>
      <w:r w:rsidRPr="00066CAC">
        <w:t>. Środki finansowe ogółem w 85,8% zaangażowane były w faktoring krajowy, a w 14,2% w faktoring zagraniczny.</w:t>
      </w:r>
    </w:p>
    <w:p w:rsidR="000719C2" w:rsidRPr="00066CAC" w:rsidRDefault="000719C2" w:rsidP="00B258F4">
      <w:pPr>
        <w:spacing w:line="288" w:lineRule="auto"/>
      </w:pPr>
      <w:r w:rsidRPr="00066CAC">
        <w:t xml:space="preserve">Banki do prowadzonej działalności faktoringowej zaangażowały środki w kwocie 18 824 mln zł, z tego 89,4% przypadało na faktoring krajowy, a 10,6% na faktoring zagraniczny. </w:t>
      </w:r>
    </w:p>
    <w:p w:rsidR="000719C2" w:rsidRPr="00066CAC" w:rsidRDefault="000719C2" w:rsidP="00B258F4">
      <w:pPr>
        <w:spacing w:line="288" w:lineRule="auto"/>
      </w:pPr>
      <w:proofErr w:type="spellStart"/>
      <w:r w:rsidRPr="00066CAC">
        <w:t>Niebankowe</w:t>
      </w:r>
      <w:proofErr w:type="spellEnd"/>
      <w:r w:rsidRPr="00066CAC">
        <w:t xml:space="preserve"> przedsiębiorstwa prowadzące działalność faktoringową zaangażowały środki finansowe o wartości 36 369 mln zł, z tego 84,0% w faktoring krajowy, a 16,0% w faktoring zagraniczny. </w:t>
      </w:r>
    </w:p>
    <w:p w:rsidR="000719C2" w:rsidRPr="00066CAC" w:rsidRDefault="000719C2" w:rsidP="00B258F4">
      <w:pPr>
        <w:spacing w:line="288" w:lineRule="auto"/>
      </w:pPr>
      <w:r w:rsidRPr="00066CAC">
        <w:t>Działalność faktoringowa badanych podmiotów ogółem finansowana była z pożyczek (18,</w:t>
      </w:r>
      <w:r w:rsidR="00B125F8">
        <w:t>3</w:t>
      </w:r>
      <w:r w:rsidRPr="00066CAC">
        <w:t xml:space="preserve">%) i kredytów bankowych (46,0%), w 25,5% ze środków własnych oraz w 10,2% z obligacji korporacyjnych i innych źródeł. </w:t>
      </w:r>
    </w:p>
    <w:p w:rsidR="000719C2" w:rsidRPr="00066CAC" w:rsidRDefault="000719C2" w:rsidP="00B258F4">
      <w:pPr>
        <w:spacing w:line="288" w:lineRule="auto"/>
      </w:pPr>
      <w:r w:rsidRPr="00066CAC">
        <w:t>Banki działalność faktoringową finansowały w 87,9% ze środków własnych, a w 12,1% z innych źródeł.</w:t>
      </w:r>
    </w:p>
    <w:p w:rsidR="000719C2" w:rsidRPr="00066CAC" w:rsidRDefault="000719C2" w:rsidP="00B258F4">
      <w:pPr>
        <w:spacing w:line="288" w:lineRule="auto"/>
      </w:pPr>
      <w:r w:rsidRPr="00066CAC">
        <w:t xml:space="preserve">W </w:t>
      </w:r>
      <w:proofErr w:type="spellStart"/>
      <w:r w:rsidRPr="00066CAC">
        <w:t>niebankowych</w:t>
      </w:r>
      <w:proofErr w:type="spellEnd"/>
      <w:r w:rsidRPr="00066CAC">
        <w:t xml:space="preserve"> przedsiębiorstwach działalność faktoringowa była finansowana w 24,8% z pożyczek, 62,2% z kredytów bankowych, 8,9% obligacjami korporacyjnymi, a w 4,0% ze środków własnych i innych źródeł.</w:t>
      </w:r>
    </w:p>
    <w:p w:rsidR="00495A07" w:rsidRPr="00783C22" w:rsidRDefault="00074E34" w:rsidP="00B258F4">
      <w:pPr>
        <w:pStyle w:val="Nagwek1"/>
        <w:spacing w:before="360"/>
        <w:rPr>
          <w:rFonts w:ascii="Fira Sans" w:hAnsi="Fira Sans"/>
          <w:b/>
        </w:rPr>
      </w:pPr>
      <w:r w:rsidRPr="00783C22">
        <w:rPr>
          <w:rFonts w:ascii="Fira Sans" w:hAnsi="Fira Sans"/>
          <w:b/>
          <w:shd w:val="clear" w:color="auto" w:fill="FFFFFF"/>
        </w:rPr>
        <w:t xml:space="preserve">Sytuacja finansowa </w:t>
      </w:r>
      <w:r w:rsidR="001F1047">
        <w:rPr>
          <w:rFonts w:ascii="Fira Sans" w:hAnsi="Fira Sans"/>
          <w:b/>
          <w:shd w:val="clear" w:color="auto" w:fill="FFFFFF"/>
        </w:rPr>
        <w:t xml:space="preserve">badanych </w:t>
      </w:r>
      <w:r w:rsidR="00326658" w:rsidRPr="00783C22">
        <w:rPr>
          <w:rFonts w:ascii="Fira Sans" w:hAnsi="Fira Sans"/>
          <w:b/>
          <w:shd w:val="clear" w:color="auto" w:fill="FFFFFF"/>
        </w:rPr>
        <w:t xml:space="preserve">przedsiębiorstw </w:t>
      </w:r>
      <w:r w:rsidR="000719C2">
        <w:rPr>
          <w:rFonts w:ascii="Fira Sans" w:hAnsi="Fira Sans"/>
          <w:b/>
          <w:shd w:val="clear" w:color="auto" w:fill="FFFFFF"/>
        </w:rPr>
        <w:t>faktor</w:t>
      </w:r>
      <w:r w:rsidR="00326658" w:rsidRPr="00783C22">
        <w:rPr>
          <w:rFonts w:ascii="Fira Sans" w:hAnsi="Fira Sans"/>
          <w:b/>
          <w:shd w:val="clear" w:color="auto" w:fill="FFFFFF"/>
        </w:rPr>
        <w:t>ingowych</w:t>
      </w:r>
      <w:r w:rsidR="00E778AA">
        <w:rPr>
          <w:rFonts w:ascii="Fira Sans" w:hAnsi="Fira Sans"/>
          <w:b/>
          <w:shd w:val="clear" w:color="auto" w:fill="FFFFFF"/>
        </w:rPr>
        <w:t xml:space="preserve"> </w:t>
      </w:r>
      <w:r w:rsidR="003602C5">
        <w:rPr>
          <w:rStyle w:val="Odwoanieprzypisudolnego"/>
        </w:rPr>
        <w:footnoteReference w:id="1"/>
      </w:r>
    </w:p>
    <w:p w:rsidR="006E522A" w:rsidRPr="00066CAC" w:rsidRDefault="0089021B" w:rsidP="00B258F4">
      <w:pPr>
        <w:spacing w:line="288" w:lineRule="auto"/>
      </w:pPr>
      <w:r w:rsidRPr="00066CAC">
        <w:rPr>
          <w:b/>
          <w:noProof/>
          <w:spacing w:val="-2"/>
          <w:szCs w:val="19"/>
          <w:lang w:eastAsia="pl-PL"/>
        </w:rPr>
        <mc:AlternateContent>
          <mc:Choice Requires="wps">
            <w:drawing>
              <wp:anchor distT="45720" distB="45720" distL="114300" distR="114300" simplePos="0" relativeHeight="251653632" behindDoc="1" locked="0" layoutInCell="1" allowOverlap="1" wp14:anchorId="2C7DEE6C" wp14:editId="76306AFD">
                <wp:simplePos x="0" y="0"/>
                <wp:positionH relativeFrom="column">
                  <wp:posOffset>5295265</wp:posOffset>
                </wp:positionH>
                <wp:positionV relativeFrom="paragraph">
                  <wp:posOffset>417195</wp:posOffset>
                </wp:positionV>
                <wp:extent cx="1725295" cy="1221105"/>
                <wp:effectExtent l="0" t="0" r="0" b="0"/>
                <wp:wrapTight wrapText="bothSides">
                  <wp:wrapPolygon edited="0">
                    <wp:start x="715" y="0"/>
                    <wp:lineTo x="715" y="21229"/>
                    <wp:lineTo x="20749" y="21229"/>
                    <wp:lineTo x="20749" y="0"/>
                    <wp:lineTo x="715" y="0"/>
                  </wp:wrapPolygon>
                </wp:wrapTight>
                <wp:docPr id="5" name="Pole tekstowe 5" descr="Wartość aktywów przedsiębiorstw, w których działalność faktoringowa była jedynym lub dominującym rodzajem działalności wzrosła w ciągu roku o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21105"/>
                        </a:xfrm>
                        <a:prstGeom prst="rect">
                          <a:avLst/>
                        </a:prstGeom>
                        <a:noFill/>
                        <a:ln w="9525">
                          <a:noFill/>
                          <a:miter lim="800000"/>
                          <a:headEnd/>
                          <a:tailEnd/>
                        </a:ln>
                      </wps:spPr>
                      <wps:txbx>
                        <w:txbxContent>
                          <w:p w:rsidR="00F15016" w:rsidRPr="00066CAC" w:rsidRDefault="0089021B" w:rsidP="00F15016">
                            <w:pPr>
                              <w:rPr>
                                <w:rFonts w:eastAsia="Times New Roman" w:cs="Times New Roman"/>
                                <w:bCs/>
                                <w:color w:val="002060"/>
                                <w:sz w:val="18"/>
                                <w:szCs w:val="18"/>
                                <w:lang w:eastAsia="pl-PL"/>
                              </w:rPr>
                            </w:pPr>
                            <w:r w:rsidRPr="00066CAC">
                              <w:rPr>
                                <w:rFonts w:eastAsia="Times New Roman" w:cs="Times New Roman"/>
                                <w:bCs/>
                                <w:color w:val="002060"/>
                                <w:sz w:val="18"/>
                                <w:szCs w:val="18"/>
                                <w:lang w:eastAsia="pl-PL"/>
                              </w:rPr>
                              <w:t>Wartość aktywów przedsiębiorstw, w których działalność faktoringowa była jedynym lub dominującym rodzajem działalności wzrosła w ciągu roku o 25,6%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DEE6C" id="Pole tekstowe 5" o:spid="_x0000_s1030" type="#_x0000_t202" alt="Wartość aktywów przedsiębiorstw, w których działalność faktoringowa była jedynym lub dominującym rodzajem działalności wzrosła w ciągu roku o 25,6%" style="position:absolute;margin-left:416.95pt;margin-top:32.85pt;width:135.85pt;height:96.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" filled="f" stroked="f">
                <v:textbox>
                  <w:txbxContent>
                    <w:p w:rsidR="00F15016" w:rsidRPr="00066CAC" w:rsidRDefault="0089021B" w:rsidP="00F15016">
                      <w:pPr>
                        <w:rPr>
                          <w:rFonts w:eastAsia="Times New Roman" w:cs="Times New Roman"/>
                          <w:bCs/>
                          <w:color w:val="002060"/>
                          <w:sz w:val="18"/>
                          <w:szCs w:val="18"/>
                          <w:lang w:eastAsia="pl-PL"/>
                        </w:rPr>
                      </w:pPr>
                      <w:r w:rsidRPr="00066CAC">
                        <w:rPr>
                          <w:rFonts w:eastAsia="Times New Roman" w:cs="Times New Roman"/>
                          <w:bCs/>
                          <w:color w:val="002060"/>
                          <w:sz w:val="18"/>
                          <w:szCs w:val="18"/>
                          <w:lang w:eastAsia="pl-PL"/>
                        </w:rPr>
                        <w:t>Wartość aktywów przedsiębiorstw, w których działalność faktoringowa była jedynym lub dominującym rodzajem działalności wzrosła w ciągu roku o 25,6%</w:t>
                      </w:r>
                    </w:p>
                  </w:txbxContent>
                </v:textbox>
                <w10:wrap type="tight"/>
              </v:shape>
            </w:pict>
          </mc:Fallback>
        </mc:AlternateContent>
      </w:r>
      <w:r w:rsidR="000719C2" w:rsidRPr="00066CAC">
        <w:rPr>
          <w:shd w:val="clear" w:color="auto" w:fill="FFFFFF"/>
        </w:rPr>
        <w:t>Spośród</w:t>
      </w:r>
      <w:r w:rsidR="005D763F" w:rsidRPr="00066CAC">
        <w:rPr>
          <w:shd w:val="clear" w:color="auto" w:fill="FFFFFF"/>
        </w:rPr>
        <w:t xml:space="preserve"> </w:t>
      </w:r>
      <w:r w:rsidR="000719C2" w:rsidRPr="00066CAC">
        <w:t>badanej zbiorowości przedsiębiorstw</w:t>
      </w:r>
      <w:r w:rsidR="00BA5C2D">
        <w:t xml:space="preserve"> </w:t>
      </w:r>
      <w:proofErr w:type="spellStart"/>
      <w:r w:rsidR="00BA5C2D" w:rsidRPr="00066CAC">
        <w:t>niebankowych</w:t>
      </w:r>
      <w:proofErr w:type="spellEnd"/>
      <w:r w:rsidR="000719C2" w:rsidRPr="00066CAC">
        <w:t xml:space="preserve">, których działalność faktoringowa była jedynym lub dominującym rodzajem działalności, 30 firm prowadziło pełną księgowość, a jedna księgi przychodów i rozchodów. </w:t>
      </w:r>
    </w:p>
    <w:p w:rsidR="000719C2" w:rsidRPr="00066CAC" w:rsidRDefault="000719C2" w:rsidP="00B258F4">
      <w:pPr>
        <w:spacing w:line="288" w:lineRule="auto"/>
      </w:pPr>
      <w:r w:rsidRPr="00066CAC">
        <w:t xml:space="preserve">Wartość aktywów </w:t>
      </w:r>
      <w:r w:rsidR="008336B0">
        <w:t xml:space="preserve">30 firm prowadzących pełną księgowość </w:t>
      </w:r>
      <w:r w:rsidRPr="00066CAC">
        <w:t>w ciągu 2021 r. wzrosła o 25,6% do kwoty 35 590 mln zł. Dominującą pozycją majątku były aktywa obrotowe – 34 591 mln zł. Udział należności krótkoterminowych w aktywach obrotowych wyniósł 73,3% i osiągnął wartość 25 368 mln zł. Wartość ta wzrosła o 33,2% w porównaniu z 2020 r. Drugą co do wielkości pozycją aktywów obrotowych były inwestycje krótkoterminowe – 9 199 mln zł (26,6%), które składały się głównie z krótkoterminowych aktywów finansowych (63,4%).</w:t>
      </w:r>
    </w:p>
    <w:p w:rsidR="000719C2" w:rsidRPr="00066CAC" w:rsidRDefault="000719C2" w:rsidP="00B258F4">
      <w:pPr>
        <w:spacing w:line="288" w:lineRule="auto"/>
      </w:pPr>
      <w:r w:rsidRPr="00066CAC">
        <w:t xml:space="preserve">W pasywach ogółem 30 </w:t>
      </w:r>
      <w:proofErr w:type="spellStart"/>
      <w:r w:rsidRPr="00066CAC">
        <w:t>niebankowych</w:t>
      </w:r>
      <w:proofErr w:type="spellEnd"/>
      <w:r w:rsidRPr="00066CAC">
        <w:t xml:space="preserve"> przedsiębiorstw prowadzących działalność faktoringową 97,5% wartości stanowiły zobowiązania i rezerwy na zobowiązania, a 2,5% kapitały własne.</w:t>
      </w:r>
    </w:p>
    <w:p w:rsidR="000719C2" w:rsidRPr="00066CAC" w:rsidRDefault="000719C2" w:rsidP="00B258F4">
      <w:pPr>
        <w:spacing w:line="288" w:lineRule="auto"/>
      </w:pPr>
      <w:r w:rsidRPr="00066CAC">
        <w:t xml:space="preserve">Przychody z całokształtu działalności tych 30 firm wyniosły 1 111 mln zł i w stosunku do grudnia 2020 r. zwiększyły się o 10,2%, w tym przychody ze sprzedaży stanowiły 91,8%. Koszty z całokształtu działalności zmniejszyły się o 5,7% i wyniosły 798 mln zł. </w:t>
      </w:r>
    </w:p>
    <w:p w:rsidR="000719C2" w:rsidRPr="00066CAC" w:rsidRDefault="000719C2" w:rsidP="00B258F4">
      <w:pPr>
        <w:spacing w:line="288" w:lineRule="auto"/>
      </w:pPr>
      <w:r w:rsidRPr="00066CAC">
        <w:t xml:space="preserve">Wynik finansowy netto 30 </w:t>
      </w:r>
      <w:proofErr w:type="spellStart"/>
      <w:r w:rsidRPr="00066CAC">
        <w:t>niebankowych</w:t>
      </w:r>
      <w:proofErr w:type="spellEnd"/>
      <w:r w:rsidRPr="00066CAC">
        <w:t xml:space="preserve"> przedsiębiorstw prowadzących pełną księgowość, </w:t>
      </w:r>
      <w:r w:rsidR="008336B0">
        <w:t xml:space="preserve">dla </w:t>
      </w:r>
      <w:r w:rsidRPr="00066CAC">
        <w:t xml:space="preserve">których działalność faktoringowa była jedynym lub dominującym rodzajem działalności, wyniósł 246 mln zł. Spośród tej grupy przedsiębiorstw </w:t>
      </w:r>
      <w:r w:rsidR="006E522A" w:rsidRPr="00066CAC">
        <w:t xml:space="preserve">12 </w:t>
      </w:r>
      <w:r w:rsidRPr="00066CAC">
        <w:t xml:space="preserve">poniosło straty, pozostałe </w:t>
      </w:r>
      <w:r w:rsidR="006E522A" w:rsidRPr="00066CAC">
        <w:t xml:space="preserve">18 </w:t>
      </w:r>
      <w:r w:rsidRPr="00066CAC">
        <w:t>firm wy</w:t>
      </w:r>
      <w:r w:rsidR="008064EC" w:rsidRPr="00066CAC">
        <w:t>pracowało dodatni wynik finansowy netto</w:t>
      </w:r>
      <w:r w:rsidRPr="00066CAC">
        <w:t>.</w:t>
      </w:r>
    </w:p>
    <w:p w:rsidR="00A52EFF" w:rsidRDefault="00A52EFF" w:rsidP="001739F8">
      <w:pPr>
        <w:rPr>
          <w:rFonts w:ascii="Calibri" w:hAnsi="Calibri"/>
          <w:b/>
          <w:bCs/>
          <w:sz w:val="22"/>
        </w:rPr>
      </w:pPr>
    </w:p>
    <w:p w:rsidR="00694AF0" w:rsidRPr="00987586" w:rsidRDefault="00A52EFF" w:rsidP="00FA5E2A">
      <w:pPr>
        <w:spacing w:line="288" w:lineRule="auto"/>
        <w:rPr>
          <w:sz w:val="18"/>
        </w:rPr>
      </w:pPr>
      <w:r>
        <w:rPr>
          <w:color w:val="000000"/>
        </w:rPr>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rsidR="00694AF0" w:rsidRPr="00987586" w:rsidRDefault="00694AF0" w:rsidP="00E76D26">
      <w:pPr>
        <w:rPr>
          <w:sz w:val="18"/>
        </w:rPr>
        <w:sectPr w:rsidR="00694AF0" w:rsidRPr="00987586" w:rsidSect="00E556D9">
          <w:headerReference w:type="default" r:id="rId12"/>
          <w:footerReference w:type="default" r:id="rId13"/>
          <w:headerReference w:type="first" r:id="rId14"/>
          <w:footerReference w:type="first" r:id="rId15"/>
          <w:type w:val="continuous"/>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D0106" w:rsidTr="00E33A0B">
        <w:trPr>
          <w:trHeight w:val="1626"/>
        </w:trPr>
        <w:tc>
          <w:tcPr>
            <w:tcW w:w="4926" w:type="dxa"/>
          </w:tcPr>
          <w:p w:rsidR="00BD0106" w:rsidRPr="004A1D19" w:rsidRDefault="00BD0106" w:rsidP="00E33A0B">
            <w:pPr>
              <w:spacing w:before="0" w:after="0" w:line="276" w:lineRule="auto"/>
              <w:rPr>
                <w:rFonts w:cs="Arial"/>
                <w:sz w:val="20"/>
              </w:rPr>
            </w:pPr>
            <w:r w:rsidRPr="004A1D19">
              <w:rPr>
                <w:rFonts w:cs="Arial"/>
                <w:sz w:val="20"/>
              </w:rPr>
              <w:lastRenderedPageBreak/>
              <w:t>Opracowanie merytoryczne:</w:t>
            </w:r>
          </w:p>
          <w:p w:rsidR="00BD0106" w:rsidRPr="008925F0" w:rsidRDefault="00BD0106" w:rsidP="00E33A0B">
            <w:pPr>
              <w:spacing w:before="0" w:line="276" w:lineRule="auto"/>
              <w:rPr>
                <w:rFonts w:cs="Arial"/>
                <w:b/>
                <w:color w:val="000000" w:themeColor="text1"/>
                <w:sz w:val="20"/>
              </w:rPr>
            </w:pPr>
            <w:r w:rsidRPr="008925F0">
              <w:rPr>
                <w:rFonts w:cs="Arial"/>
                <w:b/>
                <w:color w:val="000000" w:themeColor="text1"/>
                <w:sz w:val="20"/>
              </w:rPr>
              <w:t xml:space="preserve">Departament </w:t>
            </w:r>
            <w:r>
              <w:rPr>
                <w:rFonts w:cs="Arial"/>
                <w:b/>
                <w:color w:val="000000" w:themeColor="text1"/>
                <w:sz w:val="20"/>
              </w:rPr>
              <w:t>Studiów Makroekonomicznych</w:t>
            </w:r>
            <w:r>
              <w:rPr>
                <w:rFonts w:cs="Arial"/>
                <w:b/>
                <w:color w:val="000000" w:themeColor="text1"/>
                <w:sz w:val="20"/>
              </w:rPr>
              <w:br/>
              <w:t>i Finansów</w:t>
            </w:r>
          </w:p>
          <w:p w:rsidR="00BD0106" w:rsidRPr="00AB1F20" w:rsidRDefault="00BD0106" w:rsidP="00E33A0B">
            <w:pPr>
              <w:spacing w:before="0" w:after="0" w:line="276" w:lineRule="auto"/>
              <w:rPr>
                <w:b/>
                <w:sz w:val="20"/>
                <w:szCs w:val="20"/>
                <w:lang w:val="fi-FI"/>
              </w:rPr>
            </w:pPr>
            <w:r w:rsidRPr="00AB1F20">
              <w:rPr>
                <w:b/>
                <w:sz w:val="20"/>
                <w:szCs w:val="20"/>
                <w:lang w:val="fi-FI"/>
              </w:rPr>
              <w:t xml:space="preserve">Dyrektor </w:t>
            </w:r>
            <w:r>
              <w:rPr>
                <w:b/>
                <w:sz w:val="20"/>
                <w:szCs w:val="20"/>
                <w:lang w:val="fi-FI"/>
              </w:rPr>
              <w:t>Mirosław Błażej</w:t>
            </w:r>
          </w:p>
          <w:p w:rsidR="00BD0106" w:rsidRPr="00AB24E4" w:rsidRDefault="00BD0106" w:rsidP="00E33A0B">
            <w:pPr>
              <w:pStyle w:val="Nagwek3"/>
              <w:spacing w:before="0" w:after="120" w:line="276"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Pr>
                <w:rFonts w:ascii="Fira Sans" w:hAnsi="Fira Sans" w:cs="Arial"/>
                <w:color w:val="000000" w:themeColor="text1"/>
                <w:sz w:val="20"/>
                <w:lang w:val="fi-FI"/>
              </w:rPr>
              <w:t>608 37 73</w:t>
            </w:r>
          </w:p>
        </w:tc>
        <w:tc>
          <w:tcPr>
            <w:tcW w:w="4927" w:type="dxa"/>
          </w:tcPr>
          <w:p w:rsidR="00BD0106" w:rsidRPr="004A1D19" w:rsidRDefault="00BD0106" w:rsidP="00E33A0B">
            <w:pPr>
              <w:spacing w:before="0" w:line="276" w:lineRule="auto"/>
              <w:rPr>
                <w:rFonts w:cs="Arial"/>
                <w:b/>
                <w:sz w:val="20"/>
              </w:rPr>
            </w:pPr>
            <w:r w:rsidRPr="004A1D19">
              <w:rPr>
                <w:rFonts w:cs="Arial"/>
                <w:sz w:val="20"/>
              </w:rPr>
              <w:t>Rozpowszechnianie:</w:t>
            </w:r>
            <w:r w:rsidRPr="004A1D19">
              <w:rPr>
                <w:rFonts w:cs="Arial"/>
                <w:sz w:val="20"/>
              </w:rPr>
              <w:br/>
            </w:r>
            <w:r w:rsidRPr="005F7611">
              <w:rPr>
                <w:rFonts w:cs="Arial"/>
                <w:b/>
                <w:color w:val="000000" w:themeColor="text1"/>
                <w:sz w:val="20"/>
              </w:rPr>
              <w:t>Rzecznik Prasowy Prezesa GUS</w:t>
            </w:r>
          </w:p>
          <w:p w:rsidR="00BD0106" w:rsidRPr="00F03D62" w:rsidRDefault="00BD0106" w:rsidP="00E33A0B">
            <w:pPr>
              <w:spacing w:before="0" w:after="0" w:line="276" w:lineRule="auto"/>
              <w:rPr>
                <w:b/>
                <w:sz w:val="20"/>
                <w:szCs w:val="20"/>
                <w:lang w:val="fi-FI"/>
              </w:rPr>
            </w:pPr>
            <w:r w:rsidRPr="00F03D62">
              <w:rPr>
                <w:b/>
                <w:sz w:val="20"/>
                <w:szCs w:val="20"/>
                <w:lang w:val="fi-FI"/>
              </w:rPr>
              <w:t>Karolina Banaszek</w:t>
            </w:r>
          </w:p>
          <w:p w:rsidR="00BD0106" w:rsidRPr="00331135" w:rsidRDefault="00BD0106" w:rsidP="00E33A0B">
            <w:pPr>
              <w:pStyle w:val="Nagwek3"/>
              <w:spacing w:before="0" w:after="120" w:line="276" w:lineRule="auto"/>
              <w:outlineLvl w:val="2"/>
              <w:rPr>
                <w:rFonts w:ascii="Fira Sans" w:hAnsi="Fira Sans" w:cs="Arial"/>
                <w:color w:val="000000" w:themeColor="text1"/>
                <w:sz w:val="20"/>
                <w:lang w:val="fi-FI"/>
              </w:rPr>
            </w:pPr>
            <w:r w:rsidRPr="00331135">
              <w:rPr>
                <w:rFonts w:ascii="Fira Sans" w:hAnsi="Fira Sans" w:cs="Arial"/>
                <w:color w:val="000000" w:themeColor="text1"/>
                <w:sz w:val="20"/>
                <w:lang w:val="fi-FI"/>
              </w:rPr>
              <w:t>Tel: 695 255 011</w:t>
            </w:r>
          </w:p>
          <w:p w:rsidR="00BD0106" w:rsidRDefault="00BD0106" w:rsidP="00E33A0B">
            <w:pPr>
              <w:rPr>
                <w:sz w:val="18"/>
              </w:rPr>
            </w:pPr>
          </w:p>
        </w:tc>
      </w:tr>
      <w:tr w:rsidR="00BD0106" w:rsidTr="00E33A0B">
        <w:trPr>
          <w:trHeight w:val="418"/>
        </w:trPr>
        <w:tc>
          <w:tcPr>
            <w:tcW w:w="4926" w:type="dxa"/>
            <w:vMerge w:val="restart"/>
          </w:tcPr>
          <w:p w:rsidR="00BD0106" w:rsidRPr="00C91687" w:rsidRDefault="00BD0106" w:rsidP="00E33A0B">
            <w:pPr>
              <w:rPr>
                <w:b/>
                <w:sz w:val="20"/>
              </w:rPr>
            </w:pPr>
            <w:r w:rsidRPr="00C91687">
              <w:rPr>
                <w:b/>
                <w:sz w:val="20"/>
              </w:rPr>
              <w:t xml:space="preserve">Wydział Współpracy z Mediami </w:t>
            </w:r>
          </w:p>
          <w:p w:rsidR="00BD0106" w:rsidRPr="00C91687" w:rsidRDefault="00BD0106" w:rsidP="00E33A0B">
            <w:pPr>
              <w:spacing w:before="0" w:after="0"/>
              <w:rPr>
                <w:sz w:val="20"/>
              </w:rPr>
            </w:pPr>
            <w:r w:rsidRPr="00674DE5">
              <w:rPr>
                <w:sz w:val="20"/>
              </w:rPr>
              <w:t>T</w:t>
            </w:r>
            <w:r>
              <w:rPr>
                <w:sz w:val="20"/>
              </w:rPr>
              <w:t>el</w:t>
            </w:r>
            <w:r w:rsidRPr="00674DE5">
              <w:rPr>
                <w:sz w:val="20"/>
              </w:rPr>
              <w:t xml:space="preserve">: </w:t>
            </w:r>
            <w:r>
              <w:rPr>
                <w:sz w:val="20"/>
              </w:rPr>
              <w:t>22 608 38 04</w:t>
            </w:r>
            <w:r w:rsidRPr="00C91687">
              <w:rPr>
                <w:sz w:val="20"/>
              </w:rPr>
              <w:t xml:space="preserve"> </w:t>
            </w:r>
          </w:p>
          <w:p w:rsidR="00BD0106" w:rsidRPr="00F05FC7" w:rsidRDefault="00BD0106" w:rsidP="00E33A0B">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27" w:type="dxa"/>
            <w:vAlign w:val="center"/>
          </w:tcPr>
          <w:p w:rsidR="00BD0106" w:rsidRDefault="00BD0106" w:rsidP="00E33A0B">
            <w:pPr>
              <w:ind w:firstLine="680"/>
              <w:rPr>
                <w:sz w:val="18"/>
              </w:rPr>
            </w:pPr>
            <w:r>
              <w:rPr>
                <w:noProof/>
                <w:sz w:val="20"/>
                <w:lang w:eastAsia="pl-PL"/>
              </w:rPr>
              <w:drawing>
                <wp:anchor distT="0" distB="0" distL="114300" distR="114300" simplePos="0" relativeHeight="251665920" behindDoc="0" locked="0" layoutInCell="1" allowOverlap="1" wp14:anchorId="0D7A0EFB" wp14:editId="1E9D6C48">
                  <wp:simplePos x="0" y="0"/>
                  <wp:positionH relativeFrom="column">
                    <wp:posOffset>78740</wp:posOffset>
                  </wp:positionH>
                  <wp:positionV relativeFrom="paragraph">
                    <wp:posOffset>21590</wp:posOffset>
                  </wp:positionV>
                  <wp:extent cx="251460" cy="251460"/>
                  <wp:effectExtent l="0" t="0" r="0" b="0"/>
                  <wp:wrapNone/>
                  <wp:docPr id="29" name="Obraz 29"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18"/>
              </w:rPr>
              <w:t xml:space="preserve">      </w:t>
            </w:r>
          </w:p>
        </w:tc>
      </w:tr>
      <w:tr w:rsidR="00BD0106" w:rsidTr="00E33A0B">
        <w:trPr>
          <w:trHeight w:val="418"/>
        </w:trPr>
        <w:tc>
          <w:tcPr>
            <w:tcW w:w="4926" w:type="dxa"/>
            <w:vMerge/>
          </w:tcPr>
          <w:p w:rsidR="00BD0106" w:rsidRPr="00C91687" w:rsidRDefault="00BD0106" w:rsidP="00E33A0B">
            <w:pPr>
              <w:rPr>
                <w:b/>
                <w:sz w:val="20"/>
              </w:rPr>
            </w:pPr>
          </w:p>
        </w:tc>
        <w:tc>
          <w:tcPr>
            <w:tcW w:w="4927" w:type="dxa"/>
            <w:vAlign w:val="center"/>
          </w:tcPr>
          <w:p w:rsidR="00BD0106" w:rsidRDefault="00BD0106" w:rsidP="00E33A0B">
            <w:pPr>
              <w:ind w:firstLine="680"/>
              <w:rPr>
                <w:sz w:val="18"/>
              </w:rPr>
            </w:pPr>
            <w:r>
              <w:rPr>
                <w:noProof/>
                <w:sz w:val="20"/>
                <w:lang w:eastAsia="pl-PL"/>
              </w:rPr>
              <w:drawing>
                <wp:anchor distT="0" distB="0" distL="114300" distR="114300" simplePos="0" relativeHeight="251666944" behindDoc="0" locked="0" layoutInCell="1" allowOverlap="1" wp14:anchorId="324BB572" wp14:editId="1D7CAA56">
                  <wp:simplePos x="0" y="0"/>
                  <wp:positionH relativeFrom="column">
                    <wp:posOffset>78740</wp:posOffset>
                  </wp:positionH>
                  <wp:positionV relativeFrom="paragraph">
                    <wp:posOffset>21590</wp:posOffset>
                  </wp:positionV>
                  <wp:extent cx="251460" cy="251460"/>
                  <wp:effectExtent l="0" t="0" r="0" b="0"/>
                  <wp:wrapNone/>
                  <wp:docPr id="30" name="Obraz 30"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@GUS_STAT</w:t>
            </w:r>
            <w:r>
              <w:rPr>
                <w:noProof/>
                <w:sz w:val="20"/>
                <w:lang w:eastAsia="pl-PL"/>
              </w:rPr>
              <w:t xml:space="preserve"> </w:t>
            </w:r>
          </w:p>
        </w:tc>
      </w:tr>
      <w:tr w:rsidR="00BD0106" w:rsidTr="00E33A0B">
        <w:trPr>
          <w:trHeight w:val="476"/>
        </w:trPr>
        <w:tc>
          <w:tcPr>
            <w:tcW w:w="4926" w:type="dxa"/>
            <w:vMerge/>
          </w:tcPr>
          <w:p w:rsidR="00BD0106" w:rsidRPr="00C91687" w:rsidRDefault="00BD0106" w:rsidP="00E33A0B">
            <w:pPr>
              <w:rPr>
                <w:b/>
                <w:sz w:val="20"/>
              </w:rPr>
            </w:pPr>
          </w:p>
        </w:tc>
        <w:tc>
          <w:tcPr>
            <w:tcW w:w="4927" w:type="dxa"/>
          </w:tcPr>
          <w:p w:rsidR="00BD0106" w:rsidRDefault="00BD0106" w:rsidP="00E33A0B">
            <w:pPr>
              <w:ind w:firstLine="680"/>
              <w:rPr>
                <w:sz w:val="18"/>
              </w:rPr>
            </w:pPr>
            <w:r>
              <w:rPr>
                <w:noProof/>
                <w:sz w:val="20"/>
                <w:lang w:eastAsia="pl-PL"/>
              </w:rPr>
              <w:drawing>
                <wp:anchor distT="0" distB="0" distL="114300" distR="114300" simplePos="0" relativeHeight="251667968" behindDoc="0" locked="0" layoutInCell="1" allowOverlap="1" wp14:anchorId="30DA3793" wp14:editId="3E92C264">
                  <wp:simplePos x="0" y="0"/>
                  <wp:positionH relativeFrom="column">
                    <wp:posOffset>80645</wp:posOffset>
                  </wp:positionH>
                  <wp:positionV relativeFrom="paragraph">
                    <wp:posOffset>13970</wp:posOffset>
                  </wp:positionV>
                  <wp:extent cx="251460" cy="251460"/>
                  <wp:effectExtent l="0" t="0" r="0" b="0"/>
                  <wp:wrapNone/>
                  <wp:docPr id="31" name="Obraz 31"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BD0106" w:rsidTr="00E33A0B">
        <w:trPr>
          <w:trHeight w:val="426"/>
        </w:trPr>
        <w:tc>
          <w:tcPr>
            <w:tcW w:w="4926" w:type="dxa"/>
          </w:tcPr>
          <w:p w:rsidR="00BD0106" w:rsidRPr="00C91687" w:rsidRDefault="00BD0106" w:rsidP="00E33A0B">
            <w:pPr>
              <w:rPr>
                <w:b/>
                <w:sz w:val="20"/>
              </w:rPr>
            </w:pPr>
          </w:p>
        </w:tc>
        <w:tc>
          <w:tcPr>
            <w:tcW w:w="4927" w:type="dxa"/>
          </w:tcPr>
          <w:p w:rsidR="00BD0106" w:rsidRDefault="00BD0106" w:rsidP="00E33A0B">
            <w:pPr>
              <w:ind w:firstLine="680"/>
              <w:rPr>
                <w:noProof/>
                <w:sz w:val="20"/>
                <w:lang w:eastAsia="pl-PL"/>
              </w:rPr>
            </w:pPr>
            <w:r>
              <w:rPr>
                <w:noProof/>
                <w:sz w:val="20"/>
                <w:lang w:eastAsia="pl-PL"/>
              </w:rPr>
              <w:drawing>
                <wp:anchor distT="0" distB="0" distL="114300" distR="114300" simplePos="0" relativeHeight="251668992" behindDoc="0" locked="0" layoutInCell="1" allowOverlap="1" wp14:anchorId="036337AF" wp14:editId="105BF504">
                  <wp:simplePos x="0" y="0"/>
                  <wp:positionH relativeFrom="column">
                    <wp:posOffset>82550</wp:posOffset>
                  </wp:positionH>
                  <wp:positionV relativeFrom="paragraph">
                    <wp:posOffset>12700</wp:posOffset>
                  </wp:positionV>
                  <wp:extent cx="251460" cy="251460"/>
                  <wp:effectExtent l="0" t="0" r="0" b="0"/>
                  <wp:wrapNone/>
                  <wp:docPr id="32" name="Obraz 32"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BD0106" w:rsidTr="00E33A0B">
        <w:trPr>
          <w:trHeight w:val="504"/>
        </w:trPr>
        <w:tc>
          <w:tcPr>
            <w:tcW w:w="4926" w:type="dxa"/>
          </w:tcPr>
          <w:p w:rsidR="00BD0106" w:rsidRPr="00C91687" w:rsidRDefault="00BD0106" w:rsidP="00E33A0B">
            <w:pPr>
              <w:rPr>
                <w:b/>
                <w:sz w:val="20"/>
              </w:rPr>
            </w:pPr>
          </w:p>
        </w:tc>
        <w:tc>
          <w:tcPr>
            <w:tcW w:w="4927" w:type="dxa"/>
          </w:tcPr>
          <w:p w:rsidR="00BD0106" w:rsidRDefault="00BD0106" w:rsidP="00E33A0B">
            <w:pPr>
              <w:ind w:firstLine="680"/>
              <w:rPr>
                <w:noProof/>
                <w:sz w:val="20"/>
                <w:lang w:eastAsia="pl-PL"/>
              </w:rPr>
            </w:pPr>
            <w:r>
              <w:rPr>
                <w:noProof/>
                <w:sz w:val="20"/>
                <w:lang w:eastAsia="pl-PL"/>
              </w:rPr>
              <w:drawing>
                <wp:anchor distT="0" distB="0" distL="114300" distR="114300" simplePos="0" relativeHeight="251670016" behindDoc="0" locked="0" layoutInCell="1" allowOverlap="1" wp14:anchorId="73CF6BB9" wp14:editId="77648620">
                  <wp:simplePos x="0" y="0"/>
                  <wp:positionH relativeFrom="column">
                    <wp:posOffset>82550</wp:posOffset>
                  </wp:positionH>
                  <wp:positionV relativeFrom="paragraph">
                    <wp:posOffset>13970</wp:posOffset>
                  </wp:positionV>
                  <wp:extent cx="251460" cy="251460"/>
                  <wp:effectExtent l="0" t="0" r="0" b="0"/>
                  <wp:wrapNone/>
                  <wp:docPr id="33" name="Obraz 33"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BD0106" w:rsidTr="00E33A0B">
        <w:trPr>
          <w:trHeight w:val="1546"/>
        </w:trPr>
        <w:tc>
          <w:tcPr>
            <w:tcW w:w="4926" w:type="dxa"/>
          </w:tcPr>
          <w:p w:rsidR="00BD0106" w:rsidRPr="00C91687" w:rsidRDefault="00BD0106" w:rsidP="00E33A0B">
            <w:pPr>
              <w:rPr>
                <w:b/>
                <w:sz w:val="20"/>
              </w:rPr>
            </w:pPr>
          </w:p>
        </w:tc>
        <w:tc>
          <w:tcPr>
            <w:tcW w:w="4927" w:type="dxa"/>
          </w:tcPr>
          <w:p w:rsidR="00BD0106" w:rsidRDefault="00BD0106" w:rsidP="00E33A0B">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671040" behindDoc="0" locked="0" layoutInCell="1" allowOverlap="1" wp14:anchorId="0E3D981E" wp14:editId="6C016B32">
                  <wp:simplePos x="0" y="0"/>
                  <wp:positionH relativeFrom="column">
                    <wp:posOffset>82550</wp:posOffset>
                  </wp:positionH>
                  <wp:positionV relativeFrom="paragraph">
                    <wp:posOffset>15240</wp:posOffset>
                  </wp:positionV>
                  <wp:extent cx="251460" cy="251460"/>
                  <wp:effectExtent l="0" t="0" r="0" b="0"/>
                  <wp:wrapNone/>
                  <wp:docPr id="34" name="Obraz 3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D0106" w:rsidRPr="00876479" w:rsidTr="00E33A0B">
        <w:trPr>
          <w:trHeight w:val="4114"/>
        </w:trPr>
        <w:tc>
          <w:tcPr>
            <w:tcW w:w="9853" w:type="dxa"/>
            <w:gridSpan w:val="2"/>
            <w:shd w:val="clear" w:color="auto" w:fill="D9D9D9" w:themeFill="background1" w:themeFillShade="D9"/>
          </w:tcPr>
          <w:p w:rsidR="00BD0106" w:rsidRPr="00876479" w:rsidRDefault="00BD0106" w:rsidP="00E33A0B">
            <w:pPr>
              <w:shd w:val="clear" w:color="auto" w:fill="D9D9D9" w:themeFill="background1" w:themeFillShade="D9"/>
              <w:rPr>
                <w:b/>
              </w:rPr>
            </w:pPr>
            <w:r w:rsidRPr="00210B1C">
              <w:rPr>
                <w:b/>
              </w:rPr>
              <w:t>Powiązane opracowania</w:t>
            </w:r>
          </w:p>
          <w:p w:rsidR="00BD0106" w:rsidRPr="00CF18EE" w:rsidRDefault="00BD0106" w:rsidP="00E33A0B">
            <w:pPr>
              <w:rPr>
                <w:rStyle w:val="Hipercze"/>
              </w:rPr>
            </w:pPr>
            <w:r>
              <w:rPr>
                <w:rFonts w:cs="Times New Roman"/>
              </w:rPr>
              <w:fldChar w:fldCharType="begin"/>
            </w:r>
            <w:r w:rsidR="008220F0">
              <w:rPr>
                <w:rFonts w:cs="Times New Roman"/>
              </w:rPr>
              <w:instrText>HYPERLINK "https://stat.gov.pl/obszary-tematyczne/podmioty-gospodarcze-wyniki-finansowe/przedsiebiorstwa-finansowe/wyspecjalizowane-segmenty-rynku-finansowego-2020,18,6.html" \o "Linko do opracowania pt. Wyspecjalizowane segmenty rynku finansowego 2020..."</w:instrText>
            </w:r>
            <w:r>
              <w:rPr>
                <w:rFonts w:cs="Times New Roman"/>
              </w:rPr>
              <w:fldChar w:fldCharType="separate"/>
            </w:r>
            <w:r w:rsidRPr="006C47D1">
              <w:rPr>
                <w:rStyle w:val="Hipercze"/>
              </w:rPr>
              <w:t>Wyspecjalizowane segmenty rynku finansowego 20</w:t>
            </w:r>
            <w:r w:rsidR="00E9732B">
              <w:rPr>
                <w:rStyle w:val="Hipercze"/>
              </w:rPr>
              <w:t>20</w:t>
            </w:r>
            <w:r w:rsidRPr="006C47D1">
              <w:rPr>
                <w:rStyle w:val="Hipercze"/>
              </w:rPr>
              <w:t xml:space="preserve"> </w:t>
            </w:r>
            <w:r w:rsidRPr="00CF18EE">
              <w:rPr>
                <w:rStyle w:val="Hipercze"/>
              </w:rPr>
              <w:t xml:space="preserve">  </w:t>
            </w:r>
          </w:p>
          <w:p w:rsidR="00BD0106" w:rsidRDefault="00BD0106" w:rsidP="00BD0106">
            <w:pPr>
              <w:rPr>
                <w:b/>
                <w:color w:val="000000" w:themeColor="text1"/>
                <w:szCs w:val="24"/>
              </w:rPr>
            </w:pPr>
            <w:r>
              <w:rPr>
                <w:rFonts w:cs="Times New Roman"/>
              </w:rPr>
              <w:fldChar w:fldCharType="end"/>
            </w:r>
            <w:r>
              <w:rPr>
                <w:b/>
                <w:color w:val="000000" w:themeColor="text1"/>
                <w:szCs w:val="24"/>
              </w:rPr>
              <w:t xml:space="preserve"> </w:t>
            </w:r>
          </w:p>
          <w:p w:rsidR="00BD0106" w:rsidRPr="00694D63" w:rsidRDefault="00BD0106" w:rsidP="00E33A0B">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rsidR="00BD0106" w:rsidRPr="008220F0" w:rsidRDefault="008220F0" w:rsidP="00BD0106">
            <w:pPr>
              <w:shd w:val="clear" w:color="auto" w:fill="D9D9D9" w:themeFill="background1" w:themeFillShade="D9"/>
              <w:rPr>
                <w:rStyle w:val="Hipercze"/>
                <w:rFonts w:cstheme="minorBidi"/>
              </w:rPr>
            </w:pPr>
            <w:r>
              <w:rPr>
                <w:rFonts w:cs="Times New Roman"/>
              </w:rPr>
              <w:fldChar w:fldCharType="begin"/>
            </w:r>
            <w:r>
              <w:rPr>
                <w:rFonts w:cs="Times New Roman"/>
              </w:rPr>
              <w:instrText xml:space="preserve"> HYPERLINK "https://stat.gov.pl/metainformacje/slownik-pojec/pojecia-stosowane-w-statystyce-publicznej/1597,pojecie.html" \o "link do hasła \"faktoring\" </w:instrText>
            </w:r>
            <w:r>
              <w:rPr>
                <w:rFonts w:cs="Times New Roman"/>
              </w:rPr>
              <w:fldChar w:fldCharType="separate"/>
            </w:r>
            <w:r w:rsidR="00066CAC" w:rsidRPr="008220F0">
              <w:rPr>
                <w:rStyle w:val="Hipercze"/>
              </w:rPr>
              <w:t>Faktor</w:t>
            </w:r>
            <w:r w:rsidR="00BD0106" w:rsidRPr="008220F0">
              <w:rPr>
                <w:rStyle w:val="Hipercze"/>
                <w:rFonts w:cstheme="minorBidi"/>
              </w:rPr>
              <w:t>ing</w:t>
            </w:r>
          </w:p>
          <w:p w:rsidR="00BD0106" w:rsidRPr="008220F0" w:rsidRDefault="008220F0" w:rsidP="00BD0106">
            <w:pPr>
              <w:shd w:val="clear" w:color="auto" w:fill="D9D9D9" w:themeFill="background1" w:themeFillShade="D9"/>
              <w:rPr>
                <w:rStyle w:val="Hipercze"/>
                <w:rFonts w:cstheme="minorBidi"/>
              </w:rPr>
            </w:pPr>
            <w:r>
              <w:rPr>
                <w:rFonts w:cs="Times New Roman"/>
              </w:rPr>
              <w:fldChar w:fldCharType="end"/>
            </w:r>
            <w:r>
              <w:fldChar w:fldCharType="begin"/>
            </w:r>
            <w:r>
              <w:instrText xml:space="preserve"> HYPERLINK "https://stat.gov.pl/metainformacje/slownik-pojec/pojecia-stosowane-w-statystyce-publicznej/1605,pojecie.html" \o "link do hasła \"faktoring z regresem\" </w:instrText>
            </w:r>
            <w:r>
              <w:fldChar w:fldCharType="separate"/>
            </w:r>
            <w:r w:rsidR="00066CAC" w:rsidRPr="008220F0">
              <w:rPr>
                <w:rStyle w:val="Hipercze"/>
                <w:rFonts w:cstheme="minorBidi"/>
              </w:rPr>
              <w:t>F</w:t>
            </w:r>
            <w:r w:rsidR="00066CAC" w:rsidRPr="008220F0">
              <w:rPr>
                <w:rStyle w:val="Hipercze"/>
              </w:rPr>
              <w:t>aktoring z regresem</w:t>
            </w:r>
          </w:p>
          <w:p w:rsidR="00BD0106" w:rsidRPr="008220F0" w:rsidRDefault="008220F0" w:rsidP="00BD0106">
            <w:pPr>
              <w:rPr>
                <w:rStyle w:val="Hipercze"/>
                <w:rFonts w:cstheme="minorBidi"/>
              </w:rPr>
            </w:pPr>
            <w:r>
              <w:fldChar w:fldCharType="end"/>
            </w:r>
            <w:r>
              <w:fldChar w:fldCharType="begin"/>
            </w:r>
            <w:r>
              <w:instrText xml:space="preserve"> HYPERLINK "https://stat.gov.pl/metainformacje/slownik-pojec/pojecia-stosowane-w-statystyce-publicznej/1604,pojecie.html" \o "link do hasłą \"faktoring bez regresu\" </w:instrText>
            </w:r>
            <w:r>
              <w:fldChar w:fldCharType="separate"/>
            </w:r>
            <w:r w:rsidR="00066CAC" w:rsidRPr="008220F0">
              <w:rPr>
                <w:rStyle w:val="Hipercze"/>
                <w:rFonts w:cstheme="minorBidi"/>
              </w:rPr>
              <w:t>Faktoring bez regresu</w:t>
            </w:r>
          </w:p>
          <w:p w:rsidR="00BD0106" w:rsidRPr="009B2A4A" w:rsidRDefault="008220F0" w:rsidP="00E33A0B">
            <w:pPr>
              <w:rPr>
                <w:rStyle w:val="Hipercze"/>
                <w:lang w:val="en-GB"/>
              </w:rPr>
            </w:pPr>
            <w:r>
              <w:fldChar w:fldCharType="end"/>
            </w: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Default="00BD0106" w:rsidP="00E33A0B">
            <w:pPr>
              <w:rPr>
                <w:b/>
                <w:color w:val="000000" w:themeColor="text1"/>
                <w:szCs w:val="24"/>
                <w:lang w:val="en-GB"/>
              </w:rPr>
            </w:pPr>
          </w:p>
          <w:p w:rsidR="00BD0106" w:rsidRPr="00876479" w:rsidRDefault="00BD0106" w:rsidP="00E33A0B">
            <w:pPr>
              <w:rPr>
                <w:b/>
                <w:color w:val="000000" w:themeColor="text1"/>
                <w:szCs w:val="24"/>
                <w:lang w:val="en-GB"/>
              </w:rPr>
            </w:pPr>
          </w:p>
        </w:tc>
      </w:tr>
    </w:tbl>
    <w:p w:rsidR="00BD0106" w:rsidRDefault="00BD0106" w:rsidP="00743186">
      <w:pPr>
        <w:rPr>
          <w:sz w:val="18"/>
        </w:rPr>
      </w:pPr>
    </w:p>
    <w:p w:rsidR="00BD0106" w:rsidRDefault="00BD0106">
      <w:pPr>
        <w:spacing w:before="0" w:after="160" w:line="259" w:lineRule="auto"/>
        <w:rPr>
          <w:sz w:val="18"/>
        </w:rPr>
      </w:pPr>
    </w:p>
    <w:sectPr w:rsidR="00BD0106" w:rsidSect="003B18B6">
      <w:headerReference w:type="default" r:id="rId23"/>
      <w:footerReference w:type="default" r:id="rId2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C0" w:rsidRDefault="006064C0" w:rsidP="000662E2">
      <w:pPr>
        <w:spacing w:after="0" w:line="240" w:lineRule="auto"/>
      </w:pPr>
      <w:r>
        <w:separator/>
      </w:r>
    </w:p>
  </w:endnote>
  <w:endnote w:type="continuationSeparator" w:id="0">
    <w:p w:rsidR="006064C0" w:rsidRDefault="006064C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40244F">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40244F">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B18B6" w:rsidRDefault="003B18B6" w:rsidP="003B18B6">
        <w:pPr>
          <w:pStyle w:val="Stopka"/>
          <w:jc w:val="center"/>
        </w:pPr>
        <w:r>
          <w:fldChar w:fldCharType="begin"/>
        </w:r>
        <w:r>
          <w:instrText>PAGE   \* MERGEFORMAT</w:instrText>
        </w:r>
        <w:r>
          <w:fldChar w:fldCharType="separate"/>
        </w:r>
        <w:r w:rsidR="0040244F">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C0" w:rsidRDefault="006064C0" w:rsidP="000662E2">
      <w:pPr>
        <w:spacing w:after="0" w:line="240" w:lineRule="auto"/>
      </w:pPr>
      <w:r>
        <w:separator/>
      </w:r>
    </w:p>
  </w:footnote>
  <w:footnote w:type="continuationSeparator" w:id="0">
    <w:p w:rsidR="006064C0" w:rsidRDefault="006064C0" w:rsidP="000662E2">
      <w:pPr>
        <w:spacing w:after="0" w:line="240" w:lineRule="auto"/>
      </w:pPr>
      <w:r>
        <w:continuationSeparator/>
      </w:r>
    </w:p>
  </w:footnote>
  <w:footnote w:id="1">
    <w:p w:rsidR="00BE1DE0" w:rsidRPr="00BE1DE0" w:rsidRDefault="003602C5" w:rsidP="003602C5">
      <w:pPr>
        <w:pStyle w:val="Tekstprzypisudolnego"/>
        <w:rPr>
          <w:sz w:val="19"/>
          <w:szCs w:val="19"/>
        </w:rPr>
      </w:pPr>
      <w:r>
        <w:rPr>
          <w:rStyle w:val="Odwoanieprzypisudolnego"/>
        </w:rPr>
        <w:footnoteRef/>
      </w:r>
      <w:r>
        <w:t xml:space="preserve"> </w:t>
      </w:r>
      <w:r w:rsidR="00BE1DE0" w:rsidRPr="00BE1DE0">
        <w:rPr>
          <w:color w:val="000000"/>
          <w:sz w:val="19"/>
          <w:szCs w:val="19"/>
        </w:rPr>
        <w:t>Powiązanie sytuacji finansowej z działalnością przedsiębiorstwa jest możliwe tylko dla podmiotów, dla których działalność faktoringowa ma charakter jedyny lub dominujący oraz dla podmiotów, które jednocześnie prowadzą pełną rachunkowość. Wymóg prowadzanie przez badane przedsiębiorstwa pełnej rachunkowości wynika z koni</w:t>
      </w:r>
      <w:r w:rsidR="00E778AA">
        <w:rPr>
          <w:color w:val="000000"/>
          <w:sz w:val="19"/>
          <w:szCs w:val="19"/>
        </w:rPr>
        <w:t>e</w:t>
      </w:r>
      <w:r w:rsidR="00BE1DE0" w:rsidRPr="00BE1DE0">
        <w:rPr>
          <w:color w:val="000000"/>
          <w:sz w:val="19"/>
          <w:szCs w:val="19"/>
        </w:rPr>
        <w:t>czności operowania jednolitymi i porównywalnymi kategoriami rachunkowymi.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78932DC0" wp14:editId="414F281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293FE"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4A4D70" w:rsidP="00E13CBA">
    <w:pPr>
      <w:pStyle w:val="Nagwek"/>
      <w:tabs>
        <w:tab w:val="left" w:pos="6237"/>
      </w:tabs>
      <w:rPr>
        <w:noProof/>
        <w:lang w:eastAsia="pl-PL"/>
      </w:rPr>
    </w:pPr>
    <w:r>
      <w:rPr>
        <w:noProof/>
        <w:lang w:eastAsia="pl-PL"/>
      </w:rPr>
      <mc:AlternateContent>
        <mc:Choice Requires="wps">
          <w:drawing>
            <wp:anchor distT="0" distB="0" distL="114300" distR="114300" simplePos="0" relativeHeight="251653632" behindDoc="1" locked="0" layoutInCell="1" allowOverlap="1" wp14:anchorId="14C1F89D" wp14:editId="706B54FB">
              <wp:simplePos x="0" y="0"/>
              <wp:positionH relativeFrom="column">
                <wp:posOffset>5181600</wp:posOffset>
              </wp:positionH>
              <wp:positionV relativeFrom="paragraph">
                <wp:posOffset>438785</wp:posOffset>
              </wp:positionV>
              <wp:extent cx="1924050" cy="16249650"/>
              <wp:effectExtent l="0" t="0" r="0" b="0"/>
              <wp:wrapNone/>
              <wp:docPr id="10" name="Prostokąt 10"/>
              <wp:cNvGraphicFramePr/>
              <a:graphic xmlns:a="http://schemas.openxmlformats.org/drawingml/2006/main">
                <a:graphicData uri="http://schemas.microsoft.com/office/word/2010/wordprocessingShape">
                  <wps:wsp>
                    <wps:cNvSpPr/>
                    <wps:spPr>
                      <a:xfrm>
                        <a:off x="0" y="0"/>
                        <a:ext cx="1924050" cy="162496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5E82F8" id="Prostokąt 10" o:spid="_x0000_s1026" style="position:absolute;margin-left:408pt;margin-top:34.55pt;width:151.5pt;height:12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" fillcolor="#f2f2f2" stroked="f" strokeweight="1pt"/>
          </w:pict>
        </mc:Fallback>
      </mc:AlternateContent>
    </w:r>
    <w:r w:rsidR="00743186">
      <w:rPr>
        <w:noProof/>
        <w:lang w:eastAsia="pl-PL"/>
      </w:rPr>
      <w:drawing>
        <wp:inline distT="0" distB="0" distL="0" distR="0" wp14:anchorId="60A818FE" wp14:editId="2BD3B333">
          <wp:extent cx="1153274" cy="720000"/>
          <wp:effectExtent l="0" t="0" r="0" b="4445"/>
          <wp:docPr id="14" name="Obraz 14"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274" cy="720000"/>
                  </a:xfrm>
                  <a:prstGeom prst="rect">
                    <a:avLst/>
                  </a:prstGeom>
                  <a:noFill/>
                  <a:ln>
                    <a:noFill/>
                  </a:ln>
                </pic:spPr>
              </pic:pic>
            </a:graphicData>
          </a:graphic>
        </wp:inline>
      </w:drawing>
    </w:r>
    <w:r w:rsidR="00AE2D4B" w:rsidRPr="00F37172">
      <w:rPr>
        <w:noProof/>
        <w:lang w:eastAsia="pl-PL"/>
      </w:rPr>
      <mc:AlternateContent>
        <mc:Choice Requires="wps">
          <w:drawing>
            <wp:anchor distT="0" distB="0" distL="114300" distR="114300" simplePos="0" relativeHeight="251655680" behindDoc="0" locked="0" layoutInCell="1" allowOverlap="1" wp14:anchorId="738E66B8" wp14:editId="39078DB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formacja sygnalna"/>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8E66B8" id="Schemat blokowy: opóźnienie 6" o:spid="_x0000_s1031" alt="Informacja sygnalna" style="position:absolute;margin-left:396.6pt;margin-top:15.65pt;width:162.25pt;height:28.1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57728" behindDoc="0" locked="0" layoutInCell="1" allowOverlap="1" wp14:anchorId="71D47C78" wp14:editId="7FB8035F">
              <wp:simplePos x="0" y="0"/>
              <wp:positionH relativeFrom="column">
                <wp:posOffset>5219700</wp:posOffset>
              </wp:positionH>
              <wp:positionV relativeFrom="paragraph">
                <wp:posOffset>266065</wp:posOffset>
              </wp:positionV>
              <wp:extent cx="1432293" cy="336589"/>
              <wp:effectExtent l="0" t="0" r="0" b="6350"/>
              <wp:wrapNone/>
              <wp:docPr id="8" name="Pole tekstowe 2" descr="Data publikacji Informacji sygnalnej 5.07.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F37172" w:rsidRPr="00C97596" w:rsidRDefault="008F3F59" w:rsidP="00F37172">
                          <w:pPr>
                            <w:jc w:val="both"/>
                            <w:rPr>
                              <w:rFonts w:ascii="Fira Sans SemiBold" w:hAnsi="Fira Sans SemiBold"/>
                              <w:color w:val="001D77"/>
                            </w:rPr>
                          </w:pPr>
                          <w:r>
                            <w:rPr>
                              <w:rFonts w:ascii="Fira Sans SemiBold" w:hAnsi="Fira Sans SemiBold"/>
                              <w:color w:val="001D77"/>
                            </w:rPr>
                            <w:t>5</w:t>
                          </w:r>
                          <w:r w:rsidR="00A810F9">
                            <w:rPr>
                              <w:rFonts w:ascii="Fira Sans SemiBold" w:hAnsi="Fira Sans SemiBold"/>
                              <w:color w:val="001D77"/>
                            </w:rPr>
                            <w:t>.</w:t>
                          </w:r>
                          <w:r w:rsidR="002D0E17">
                            <w:rPr>
                              <w:rFonts w:ascii="Fira Sans SemiBold" w:hAnsi="Fira Sans SemiBold"/>
                              <w:color w:val="001D77"/>
                            </w:rPr>
                            <w:t>0</w:t>
                          </w:r>
                          <w:r>
                            <w:rPr>
                              <w:rFonts w:ascii="Fira Sans SemiBold" w:hAnsi="Fira Sans SemiBold"/>
                              <w:color w:val="001D77"/>
                            </w:rPr>
                            <w:t>7</w:t>
                          </w:r>
                          <w:r w:rsidR="00A810F9">
                            <w:rPr>
                              <w:rFonts w:ascii="Fira Sans SemiBold" w:hAnsi="Fira Sans SemiBold"/>
                              <w:color w:val="001D77"/>
                            </w:rPr>
                            <w:t>.</w:t>
                          </w:r>
                          <w:r w:rsidR="00743186">
                            <w:rPr>
                              <w:rFonts w:ascii="Fira Sans SemiBold" w:hAnsi="Fira Sans SemiBold"/>
                              <w:color w:val="001D77"/>
                            </w:rPr>
                            <w:t>20</w:t>
                          </w:r>
                          <w:r w:rsidR="00E13CBA">
                            <w:rPr>
                              <w:rFonts w:ascii="Fira Sans SemiBold" w:hAnsi="Fira Sans SemiBold"/>
                              <w:color w:val="001D77"/>
                            </w:rPr>
                            <w:t>2</w:t>
                          </w:r>
                          <w:r w:rsidR="00FA5E2A">
                            <w:rPr>
                              <w:rFonts w:ascii="Fira Sans SemiBold" w:hAnsi="Fira Sans SemiBold"/>
                              <w:color w:val="001D77"/>
                            </w:rPr>
                            <w:t>2</w:t>
                          </w:r>
                          <w:r w:rsidR="00F37172"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D47C78" id="_x0000_t202" coordsize="21600,21600" o:spt="202" path="m,l,21600r21600,l21600,xe">
              <v:stroke joinstyle="miter"/>
              <v:path gradientshapeok="t" o:connecttype="rect"/>
            </v:shapetype>
            <v:shape id="_x0000_s1032" type="#_x0000_t202" alt="Data publikacji Informacji sygnalnej 5.07.2022 r." style="position:absolute;margin-left:411pt;margin-top:20.95pt;width:112.8pt;height:2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" filled="f" stroked="f">
              <v:textbox>
                <w:txbxContent>
                  <w:p w:rsidR="00F37172" w:rsidRPr="00C97596" w:rsidRDefault="008F3F59" w:rsidP="00F37172">
                    <w:pPr>
                      <w:jc w:val="both"/>
                      <w:rPr>
                        <w:rFonts w:ascii="Fira Sans SemiBold" w:hAnsi="Fira Sans SemiBold"/>
                        <w:color w:val="001D77"/>
                      </w:rPr>
                    </w:pPr>
                    <w:r>
                      <w:rPr>
                        <w:rFonts w:ascii="Fira Sans SemiBold" w:hAnsi="Fira Sans SemiBold"/>
                        <w:color w:val="001D77"/>
                      </w:rPr>
                      <w:t>5</w:t>
                    </w:r>
                    <w:r w:rsidR="00A810F9">
                      <w:rPr>
                        <w:rFonts w:ascii="Fira Sans SemiBold" w:hAnsi="Fira Sans SemiBold"/>
                        <w:color w:val="001D77"/>
                      </w:rPr>
                      <w:t>.</w:t>
                    </w:r>
                    <w:r w:rsidR="002D0E17">
                      <w:rPr>
                        <w:rFonts w:ascii="Fira Sans SemiBold" w:hAnsi="Fira Sans SemiBold"/>
                        <w:color w:val="001D77"/>
                      </w:rPr>
                      <w:t>0</w:t>
                    </w:r>
                    <w:r>
                      <w:rPr>
                        <w:rFonts w:ascii="Fira Sans SemiBold" w:hAnsi="Fira Sans SemiBold"/>
                        <w:color w:val="001D77"/>
                      </w:rPr>
                      <w:t>7</w:t>
                    </w:r>
                    <w:r w:rsidR="00A810F9">
                      <w:rPr>
                        <w:rFonts w:ascii="Fira Sans SemiBold" w:hAnsi="Fira Sans SemiBold"/>
                        <w:color w:val="001D77"/>
                      </w:rPr>
                      <w:t>.</w:t>
                    </w:r>
                    <w:r w:rsidR="00743186">
                      <w:rPr>
                        <w:rFonts w:ascii="Fira Sans SemiBold" w:hAnsi="Fira Sans SemiBold"/>
                        <w:color w:val="001D77"/>
                      </w:rPr>
                      <w:t>20</w:t>
                    </w:r>
                    <w:r w:rsidR="00E13CBA">
                      <w:rPr>
                        <w:rFonts w:ascii="Fira Sans SemiBold" w:hAnsi="Fira Sans SemiBold"/>
                        <w:color w:val="001D77"/>
                      </w:rPr>
                      <w:t>2</w:t>
                    </w:r>
                    <w:r w:rsidR="00FA5E2A">
                      <w:rPr>
                        <w:rFonts w:ascii="Fira Sans SemiBold" w:hAnsi="Fira Sans SemiBold"/>
                        <w:color w:val="001D77"/>
                      </w:rPr>
                      <w:t>2</w:t>
                    </w:r>
                    <w:r w:rsidR="00F37172"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 o:bullet="t">
        <v:imagedata r:id="rId1" o:title=""/>
      </v:shape>
    </w:pict>
  </w:numPicBullet>
  <w:numPicBullet w:numPicBulletId="1">
    <w:pict>
      <v:shape id="_x0000_i1029"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5C1"/>
    <w:rsid w:val="00003437"/>
    <w:rsid w:val="00006635"/>
    <w:rsid w:val="0000709F"/>
    <w:rsid w:val="000108B8"/>
    <w:rsid w:val="000152F5"/>
    <w:rsid w:val="00021484"/>
    <w:rsid w:val="000275B2"/>
    <w:rsid w:val="000362CB"/>
    <w:rsid w:val="00041012"/>
    <w:rsid w:val="000431D3"/>
    <w:rsid w:val="0004582E"/>
    <w:rsid w:val="000470AA"/>
    <w:rsid w:val="00051B61"/>
    <w:rsid w:val="00051D3A"/>
    <w:rsid w:val="00057CA1"/>
    <w:rsid w:val="0006312F"/>
    <w:rsid w:val="000662E2"/>
    <w:rsid w:val="0006659B"/>
    <w:rsid w:val="00066883"/>
    <w:rsid w:val="00066CAC"/>
    <w:rsid w:val="00066F0F"/>
    <w:rsid w:val="0006735D"/>
    <w:rsid w:val="00067BDE"/>
    <w:rsid w:val="000719C2"/>
    <w:rsid w:val="00071E95"/>
    <w:rsid w:val="00074DD8"/>
    <w:rsid w:val="00074E34"/>
    <w:rsid w:val="00077C86"/>
    <w:rsid w:val="000806F7"/>
    <w:rsid w:val="00084656"/>
    <w:rsid w:val="00097840"/>
    <w:rsid w:val="000A0E02"/>
    <w:rsid w:val="000A393D"/>
    <w:rsid w:val="000B05B7"/>
    <w:rsid w:val="000B0727"/>
    <w:rsid w:val="000B07DB"/>
    <w:rsid w:val="000B0A84"/>
    <w:rsid w:val="000B7BB0"/>
    <w:rsid w:val="000C135D"/>
    <w:rsid w:val="000C5DF0"/>
    <w:rsid w:val="000C7194"/>
    <w:rsid w:val="000D1D43"/>
    <w:rsid w:val="000D225C"/>
    <w:rsid w:val="000D2A5C"/>
    <w:rsid w:val="000D3B12"/>
    <w:rsid w:val="000D5C7B"/>
    <w:rsid w:val="000E0918"/>
    <w:rsid w:val="000E1C23"/>
    <w:rsid w:val="000F2697"/>
    <w:rsid w:val="000F26AD"/>
    <w:rsid w:val="000F5433"/>
    <w:rsid w:val="000F69AA"/>
    <w:rsid w:val="001011C3"/>
    <w:rsid w:val="00101A48"/>
    <w:rsid w:val="00106EB7"/>
    <w:rsid w:val="00110D87"/>
    <w:rsid w:val="00110E07"/>
    <w:rsid w:val="00111C91"/>
    <w:rsid w:val="00114DB9"/>
    <w:rsid w:val="00116087"/>
    <w:rsid w:val="00121EE8"/>
    <w:rsid w:val="00126EB2"/>
    <w:rsid w:val="001279FC"/>
    <w:rsid w:val="00130296"/>
    <w:rsid w:val="00133F4A"/>
    <w:rsid w:val="001375D8"/>
    <w:rsid w:val="001416D9"/>
    <w:rsid w:val="001423B6"/>
    <w:rsid w:val="001438E6"/>
    <w:rsid w:val="001448A7"/>
    <w:rsid w:val="001450E5"/>
    <w:rsid w:val="00146621"/>
    <w:rsid w:val="0014698C"/>
    <w:rsid w:val="00151187"/>
    <w:rsid w:val="001551D7"/>
    <w:rsid w:val="00160753"/>
    <w:rsid w:val="00162325"/>
    <w:rsid w:val="00170FCD"/>
    <w:rsid w:val="0017387D"/>
    <w:rsid w:val="001739F8"/>
    <w:rsid w:val="001745BE"/>
    <w:rsid w:val="001750F5"/>
    <w:rsid w:val="00175D85"/>
    <w:rsid w:val="00176646"/>
    <w:rsid w:val="00177132"/>
    <w:rsid w:val="00181421"/>
    <w:rsid w:val="00186A33"/>
    <w:rsid w:val="00192BA1"/>
    <w:rsid w:val="001951DA"/>
    <w:rsid w:val="001954FF"/>
    <w:rsid w:val="001A0406"/>
    <w:rsid w:val="001A35B4"/>
    <w:rsid w:val="001B3EEA"/>
    <w:rsid w:val="001B510D"/>
    <w:rsid w:val="001B7904"/>
    <w:rsid w:val="001C1261"/>
    <w:rsid w:val="001C3269"/>
    <w:rsid w:val="001C5EE7"/>
    <w:rsid w:val="001D127F"/>
    <w:rsid w:val="001D1DB4"/>
    <w:rsid w:val="001D5E8F"/>
    <w:rsid w:val="001E7CA6"/>
    <w:rsid w:val="001F1047"/>
    <w:rsid w:val="001F363F"/>
    <w:rsid w:val="001F472A"/>
    <w:rsid w:val="001F6E7A"/>
    <w:rsid w:val="00200EBD"/>
    <w:rsid w:val="002032F0"/>
    <w:rsid w:val="00203597"/>
    <w:rsid w:val="002067D4"/>
    <w:rsid w:val="002200CB"/>
    <w:rsid w:val="00222FFE"/>
    <w:rsid w:val="00232036"/>
    <w:rsid w:val="00233E28"/>
    <w:rsid w:val="00235BA6"/>
    <w:rsid w:val="00242BAB"/>
    <w:rsid w:val="00247057"/>
    <w:rsid w:val="00253DD6"/>
    <w:rsid w:val="002574F9"/>
    <w:rsid w:val="00262B61"/>
    <w:rsid w:val="0026387B"/>
    <w:rsid w:val="00265955"/>
    <w:rsid w:val="00274351"/>
    <w:rsid w:val="00275D12"/>
    <w:rsid w:val="00276811"/>
    <w:rsid w:val="0027706C"/>
    <w:rsid w:val="00281B38"/>
    <w:rsid w:val="00282699"/>
    <w:rsid w:val="002832D8"/>
    <w:rsid w:val="00283C60"/>
    <w:rsid w:val="002926DF"/>
    <w:rsid w:val="00295736"/>
    <w:rsid w:val="00296697"/>
    <w:rsid w:val="002969D1"/>
    <w:rsid w:val="002B0472"/>
    <w:rsid w:val="002B4A53"/>
    <w:rsid w:val="002B6B12"/>
    <w:rsid w:val="002C4D14"/>
    <w:rsid w:val="002C4E08"/>
    <w:rsid w:val="002C67BF"/>
    <w:rsid w:val="002D0E17"/>
    <w:rsid w:val="002E53D1"/>
    <w:rsid w:val="002E6140"/>
    <w:rsid w:val="002E6985"/>
    <w:rsid w:val="002E71B6"/>
    <w:rsid w:val="002F0B30"/>
    <w:rsid w:val="002F2039"/>
    <w:rsid w:val="002F689B"/>
    <w:rsid w:val="002F77C8"/>
    <w:rsid w:val="00304F22"/>
    <w:rsid w:val="00306028"/>
    <w:rsid w:val="00306C7C"/>
    <w:rsid w:val="00311092"/>
    <w:rsid w:val="003155DA"/>
    <w:rsid w:val="00322A28"/>
    <w:rsid w:val="00322EDD"/>
    <w:rsid w:val="003240A9"/>
    <w:rsid w:val="00326658"/>
    <w:rsid w:val="00332320"/>
    <w:rsid w:val="00333AD1"/>
    <w:rsid w:val="00335077"/>
    <w:rsid w:val="00336B32"/>
    <w:rsid w:val="0034217F"/>
    <w:rsid w:val="00347D72"/>
    <w:rsid w:val="00351961"/>
    <w:rsid w:val="0035374F"/>
    <w:rsid w:val="0035424E"/>
    <w:rsid w:val="00356DDB"/>
    <w:rsid w:val="00357611"/>
    <w:rsid w:val="003602C5"/>
    <w:rsid w:val="00367237"/>
    <w:rsid w:val="0037056E"/>
    <w:rsid w:val="0037077F"/>
    <w:rsid w:val="00372411"/>
    <w:rsid w:val="00373882"/>
    <w:rsid w:val="00374254"/>
    <w:rsid w:val="00374D07"/>
    <w:rsid w:val="00377712"/>
    <w:rsid w:val="00381E7B"/>
    <w:rsid w:val="003843DB"/>
    <w:rsid w:val="0038579E"/>
    <w:rsid w:val="003936FE"/>
    <w:rsid w:val="00393761"/>
    <w:rsid w:val="00397D18"/>
    <w:rsid w:val="003A1B36"/>
    <w:rsid w:val="003A73F2"/>
    <w:rsid w:val="003B1454"/>
    <w:rsid w:val="003B18B6"/>
    <w:rsid w:val="003B4CB0"/>
    <w:rsid w:val="003B78B9"/>
    <w:rsid w:val="003C59E0"/>
    <w:rsid w:val="003C6C8D"/>
    <w:rsid w:val="003D4F95"/>
    <w:rsid w:val="003D5F42"/>
    <w:rsid w:val="003D60A9"/>
    <w:rsid w:val="003D7CE1"/>
    <w:rsid w:val="003F4C97"/>
    <w:rsid w:val="003F5778"/>
    <w:rsid w:val="003F7FE6"/>
    <w:rsid w:val="00400193"/>
    <w:rsid w:val="0040244F"/>
    <w:rsid w:val="00402954"/>
    <w:rsid w:val="00405848"/>
    <w:rsid w:val="00406F34"/>
    <w:rsid w:val="00412FF2"/>
    <w:rsid w:val="0041690C"/>
    <w:rsid w:val="004212E7"/>
    <w:rsid w:val="0042446D"/>
    <w:rsid w:val="00424A79"/>
    <w:rsid w:val="00427BF8"/>
    <w:rsid w:val="00431C02"/>
    <w:rsid w:val="0043553D"/>
    <w:rsid w:val="00437395"/>
    <w:rsid w:val="00445047"/>
    <w:rsid w:val="00453027"/>
    <w:rsid w:val="00453B02"/>
    <w:rsid w:val="00457A2D"/>
    <w:rsid w:val="00463E39"/>
    <w:rsid w:val="004657FC"/>
    <w:rsid w:val="00471212"/>
    <w:rsid w:val="004733F6"/>
    <w:rsid w:val="00474E69"/>
    <w:rsid w:val="00475FFA"/>
    <w:rsid w:val="004765E6"/>
    <w:rsid w:val="00485544"/>
    <w:rsid w:val="00491C68"/>
    <w:rsid w:val="004953B0"/>
    <w:rsid w:val="00495A07"/>
    <w:rsid w:val="0049621B"/>
    <w:rsid w:val="00496481"/>
    <w:rsid w:val="0049685A"/>
    <w:rsid w:val="004A18A5"/>
    <w:rsid w:val="004A4D70"/>
    <w:rsid w:val="004A5E8D"/>
    <w:rsid w:val="004B0259"/>
    <w:rsid w:val="004B0E6F"/>
    <w:rsid w:val="004B3266"/>
    <w:rsid w:val="004B467D"/>
    <w:rsid w:val="004B5E99"/>
    <w:rsid w:val="004B645B"/>
    <w:rsid w:val="004B7CDB"/>
    <w:rsid w:val="004B7F53"/>
    <w:rsid w:val="004C0721"/>
    <w:rsid w:val="004C1895"/>
    <w:rsid w:val="004C4822"/>
    <w:rsid w:val="004C4DDB"/>
    <w:rsid w:val="004C52B0"/>
    <w:rsid w:val="004C615F"/>
    <w:rsid w:val="004C6D40"/>
    <w:rsid w:val="004D1202"/>
    <w:rsid w:val="004E2945"/>
    <w:rsid w:val="004F071D"/>
    <w:rsid w:val="004F0C3C"/>
    <w:rsid w:val="004F1036"/>
    <w:rsid w:val="004F38D4"/>
    <w:rsid w:val="004F63FC"/>
    <w:rsid w:val="0050171B"/>
    <w:rsid w:val="00501DAA"/>
    <w:rsid w:val="00505A92"/>
    <w:rsid w:val="005116F3"/>
    <w:rsid w:val="00514C7A"/>
    <w:rsid w:val="00517085"/>
    <w:rsid w:val="005203F1"/>
    <w:rsid w:val="00521499"/>
    <w:rsid w:val="00521BC3"/>
    <w:rsid w:val="00522A11"/>
    <w:rsid w:val="005232C3"/>
    <w:rsid w:val="005238EC"/>
    <w:rsid w:val="0053069D"/>
    <w:rsid w:val="00533632"/>
    <w:rsid w:val="00537336"/>
    <w:rsid w:val="00541E6E"/>
    <w:rsid w:val="0054251F"/>
    <w:rsid w:val="00544C4D"/>
    <w:rsid w:val="005520D8"/>
    <w:rsid w:val="00552667"/>
    <w:rsid w:val="00554390"/>
    <w:rsid w:val="00556CF1"/>
    <w:rsid w:val="005634D4"/>
    <w:rsid w:val="00567167"/>
    <w:rsid w:val="00572B9B"/>
    <w:rsid w:val="005762A7"/>
    <w:rsid w:val="00581996"/>
    <w:rsid w:val="0058334E"/>
    <w:rsid w:val="0058372E"/>
    <w:rsid w:val="00585CA7"/>
    <w:rsid w:val="005916D7"/>
    <w:rsid w:val="00592443"/>
    <w:rsid w:val="005954D8"/>
    <w:rsid w:val="005A03D6"/>
    <w:rsid w:val="005A698C"/>
    <w:rsid w:val="005B5C68"/>
    <w:rsid w:val="005C0252"/>
    <w:rsid w:val="005C5B0D"/>
    <w:rsid w:val="005D0705"/>
    <w:rsid w:val="005D370A"/>
    <w:rsid w:val="005D391D"/>
    <w:rsid w:val="005D3B73"/>
    <w:rsid w:val="005D51A7"/>
    <w:rsid w:val="005D53B2"/>
    <w:rsid w:val="005D763F"/>
    <w:rsid w:val="005E0799"/>
    <w:rsid w:val="005E6CFB"/>
    <w:rsid w:val="005E7160"/>
    <w:rsid w:val="005F5A80"/>
    <w:rsid w:val="005F7823"/>
    <w:rsid w:val="006044FF"/>
    <w:rsid w:val="006064C0"/>
    <w:rsid w:val="00607CC5"/>
    <w:rsid w:val="00607E39"/>
    <w:rsid w:val="0061021B"/>
    <w:rsid w:val="00621246"/>
    <w:rsid w:val="00624880"/>
    <w:rsid w:val="0062701D"/>
    <w:rsid w:val="00627D96"/>
    <w:rsid w:val="00627E5A"/>
    <w:rsid w:val="00633014"/>
    <w:rsid w:val="0063437B"/>
    <w:rsid w:val="00636AC3"/>
    <w:rsid w:val="00641B13"/>
    <w:rsid w:val="006436A1"/>
    <w:rsid w:val="00661421"/>
    <w:rsid w:val="006673CA"/>
    <w:rsid w:val="0066785E"/>
    <w:rsid w:val="006727D3"/>
    <w:rsid w:val="00673C26"/>
    <w:rsid w:val="006758F7"/>
    <w:rsid w:val="0067617A"/>
    <w:rsid w:val="006812AF"/>
    <w:rsid w:val="0068327D"/>
    <w:rsid w:val="00686E01"/>
    <w:rsid w:val="00691D21"/>
    <w:rsid w:val="00694AF0"/>
    <w:rsid w:val="006A2566"/>
    <w:rsid w:val="006A4686"/>
    <w:rsid w:val="006A63FB"/>
    <w:rsid w:val="006A7574"/>
    <w:rsid w:val="006B0E9E"/>
    <w:rsid w:val="006B3F66"/>
    <w:rsid w:val="006B5AE4"/>
    <w:rsid w:val="006C31C0"/>
    <w:rsid w:val="006D1507"/>
    <w:rsid w:val="006D4054"/>
    <w:rsid w:val="006E02EC"/>
    <w:rsid w:val="006E3FA6"/>
    <w:rsid w:val="006E522A"/>
    <w:rsid w:val="006F2688"/>
    <w:rsid w:val="00705189"/>
    <w:rsid w:val="00705B6A"/>
    <w:rsid w:val="00716AA6"/>
    <w:rsid w:val="0072105E"/>
    <w:rsid w:val="007211B1"/>
    <w:rsid w:val="00723C71"/>
    <w:rsid w:val="0073033F"/>
    <w:rsid w:val="00743186"/>
    <w:rsid w:val="00744B57"/>
    <w:rsid w:val="00746187"/>
    <w:rsid w:val="00746922"/>
    <w:rsid w:val="00751F21"/>
    <w:rsid w:val="0075252C"/>
    <w:rsid w:val="0076174C"/>
    <w:rsid w:val="0076254F"/>
    <w:rsid w:val="00775617"/>
    <w:rsid w:val="00777430"/>
    <w:rsid w:val="0077748A"/>
    <w:rsid w:val="007801F5"/>
    <w:rsid w:val="007835F2"/>
    <w:rsid w:val="00783C22"/>
    <w:rsid w:val="00783CA4"/>
    <w:rsid w:val="007842FB"/>
    <w:rsid w:val="00784552"/>
    <w:rsid w:val="00786124"/>
    <w:rsid w:val="00790A4B"/>
    <w:rsid w:val="0079439B"/>
    <w:rsid w:val="0079514B"/>
    <w:rsid w:val="007955AD"/>
    <w:rsid w:val="007A2DC1"/>
    <w:rsid w:val="007A3C43"/>
    <w:rsid w:val="007C3478"/>
    <w:rsid w:val="007D3319"/>
    <w:rsid w:val="007D335D"/>
    <w:rsid w:val="007D541D"/>
    <w:rsid w:val="007E3314"/>
    <w:rsid w:val="007E4B03"/>
    <w:rsid w:val="007E5CD1"/>
    <w:rsid w:val="007F0F16"/>
    <w:rsid w:val="007F2981"/>
    <w:rsid w:val="007F324B"/>
    <w:rsid w:val="0080476E"/>
    <w:rsid w:val="0080553C"/>
    <w:rsid w:val="00805B46"/>
    <w:rsid w:val="008064EC"/>
    <w:rsid w:val="00815F1C"/>
    <w:rsid w:val="0082066D"/>
    <w:rsid w:val="008220F0"/>
    <w:rsid w:val="00825DC2"/>
    <w:rsid w:val="0083098B"/>
    <w:rsid w:val="008336B0"/>
    <w:rsid w:val="00834AD3"/>
    <w:rsid w:val="00840265"/>
    <w:rsid w:val="00843795"/>
    <w:rsid w:val="00847645"/>
    <w:rsid w:val="00847F0F"/>
    <w:rsid w:val="00852448"/>
    <w:rsid w:val="008543AD"/>
    <w:rsid w:val="00854710"/>
    <w:rsid w:val="0087158E"/>
    <w:rsid w:val="00877D50"/>
    <w:rsid w:val="0088258A"/>
    <w:rsid w:val="00886332"/>
    <w:rsid w:val="00886FEE"/>
    <w:rsid w:val="0089021B"/>
    <w:rsid w:val="008908AF"/>
    <w:rsid w:val="008913BD"/>
    <w:rsid w:val="00894F92"/>
    <w:rsid w:val="008A26D9"/>
    <w:rsid w:val="008A5DCA"/>
    <w:rsid w:val="008B7E17"/>
    <w:rsid w:val="008C0C29"/>
    <w:rsid w:val="008C1F04"/>
    <w:rsid w:val="008C1FC6"/>
    <w:rsid w:val="008C5398"/>
    <w:rsid w:val="008D1005"/>
    <w:rsid w:val="008D73D1"/>
    <w:rsid w:val="008F3638"/>
    <w:rsid w:val="008F3F59"/>
    <w:rsid w:val="008F4441"/>
    <w:rsid w:val="008F6F31"/>
    <w:rsid w:val="008F74DF"/>
    <w:rsid w:val="008F7953"/>
    <w:rsid w:val="009002B1"/>
    <w:rsid w:val="009010C5"/>
    <w:rsid w:val="009127BA"/>
    <w:rsid w:val="00915A6A"/>
    <w:rsid w:val="009227A6"/>
    <w:rsid w:val="00924305"/>
    <w:rsid w:val="00933EC1"/>
    <w:rsid w:val="009530DB"/>
    <w:rsid w:val="00953676"/>
    <w:rsid w:val="00953DCB"/>
    <w:rsid w:val="00955187"/>
    <w:rsid w:val="00955CC6"/>
    <w:rsid w:val="009700B8"/>
    <w:rsid w:val="009705EE"/>
    <w:rsid w:val="00971B18"/>
    <w:rsid w:val="00973628"/>
    <w:rsid w:val="00977927"/>
    <w:rsid w:val="0098135C"/>
    <w:rsid w:val="0098156A"/>
    <w:rsid w:val="0098172F"/>
    <w:rsid w:val="00985298"/>
    <w:rsid w:val="00985843"/>
    <w:rsid w:val="00987586"/>
    <w:rsid w:val="00987ACA"/>
    <w:rsid w:val="00991BAC"/>
    <w:rsid w:val="00993675"/>
    <w:rsid w:val="00997C1B"/>
    <w:rsid w:val="009A25AB"/>
    <w:rsid w:val="009A3365"/>
    <w:rsid w:val="009A6EA0"/>
    <w:rsid w:val="009B150B"/>
    <w:rsid w:val="009B4347"/>
    <w:rsid w:val="009B461A"/>
    <w:rsid w:val="009C1335"/>
    <w:rsid w:val="009C1AB2"/>
    <w:rsid w:val="009C370F"/>
    <w:rsid w:val="009C7251"/>
    <w:rsid w:val="009D2E69"/>
    <w:rsid w:val="009D676D"/>
    <w:rsid w:val="009E24A3"/>
    <w:rsid w:val="009E2733"/>
    <w:rsid w:val="009E2E91"/>
    <w:rsid w:val="009E5094"/>
    <w:rsid w:val="009E7BE1"/>
    <w:rsid w:val="009F14AC"/>
    <w:rsid w:val="00A01AE0"/>
    <w:rsid w:val="00A12E15"/>
    <w:rsid w:val="00A139F5"/>
    <w:rsid w:val="00A15C18"/>
    <w:rsid w:val="00A16B89"/>
    <w:rsid w:val="00A25E1D"/>
    <w:rsid w:val="00A35286"/>
    <w:rsid w:val="00A365F4"/>
    <w:rsid w:val="00A41716"/>
    <w:rsid w:val="00A425A1"/>
    <w:rsid w:val="00A45264"/>
    <w:rsid w:val="00A47D80"/>
    <w:rsid w:val="00A52EFF"/>
    <w:rsid w:val="00A53132"/>
    <w:rsid w:val="00A563F2"/>
    <w:rsid w:val="00A566E8"/>
    <w:rsid w:val="00A5723A"/>
    <w:rsid w:val="00A61A3F"/>
    <w:rsid w:val="00A64D87"/>
    <w:rsid w:val="00A728C3"/>
    <w:rsid w:val="00A76CF4"/>
    <w:rsid w:val="00A810F9"/>
    <w:rsid w:val="00A848A0"/>
    <w:rsid w:val="00A86ECC"/>
    <w:rsid w:val="00A86FCC"/>
    <w:rsid w:val="00A90B06"/>
    <w:rsid w:val="00A91837"/>
    <w:rsid w:val="00A96570"/>
    <w:rsid w:val="00AA07B8"/>
    <w:rsid w:val="00AA32D1"/>
    <w:rsid w:val="00AA710D"/>
    <w:rsid w:val="00AB6D25"/>
    <w:rsid w:val="00AC5AD6"/>
    <w:rsid w:val="00AE2285"/>
    <w:rsid w:val="00AE235C"/>
    <w:rsid w:val="00AE2D4B"/>
    <w:rsid w:val="00AE4F99"/>
    <w:rsid w:val="00AE60A6"/>
    <w:rsid w:val="00AF02A1"/>
    <w:rsid w:val="00AF6BEB"/>
    <w:rsid w:val="00AF7C75"/>
    <w:rsid w:val="00B04B8C"/>
    <w:rsid w:val="00B062DE"/>
    <w:rsid w:val="00B11B69"/>
    <w:rsid w:val="00B125F8"/>
    <w:rsid w:val="00B14952"/>
    <w:rsid w:val="00B2196A"/>
    <w:rsid w:val="00B23007"/>
    <w:rsid w:val="00B258F4"/>
    <w:rsid w:val="00B301FC"/>
    <w:rsid w:val="00B3093E"/>
    <w:rsid w:val="00B31E5A"/>
    <w:rsid w:val="00B33654"/>
    <w:rsid w:val="00B33F72"/>
    <w:rsid w:val="00B3485A"/>
    <w:rsid w:val="00B40557"/>
    <w:rsid w:val="00B43822"/>
    <w:rsid w:val="00B450E3"/>
    <w:rsid w:val="00B508BB"/>
    <w:rsid w:val="00B50A9F"/>
    <w:rsid w:val="00B572EC"/>
    <w:rsid w:val="00B57E4A"/>
    <w:rsid w:val="00B636CE"/>
    <w:rsid w:val="00B653AB"/>
    <w:rsid w:val="00B65F9E"/>
    <w:rsid w:val="00B66B19"/>
    <w:rsid w:val="00B67910"/>
    <w:rsid w:val="00B700C7"/>
    <w:rsid w:val="00B82DEA"/>
    <w:rsid w:val="00B85465"/>
    <w:rsid w:val="00B9046A"/>
    <w:rsid w:val="00B914E9"/>
    <w:rsid w:val="00B926DB"/>
    <w:rsid w:val="00B955F9"/>
    <w:rsid w:val="00B956EE"/>
    <w:rsid w:val="00B96ECF"/>
    <w:rsid w:val="00BA275D"/>
    <w:rsid w:val="00BA2BA1"/>
    <w:rsid w:val="00BA3562"/>
    <w:rsid w:val="00BA3C4A"/>
    <w:rsid w:val="00BA5C2D"/>
    <w:rsid w:val="00BA5EF7"/>
    <w:rsid w:val="00BA6287"/>
    <w:rsid w:val="00BA7266"/>
    <w:rsid w:val="00BB4F09"/>
    <w:rsid w:val="00BB51A5"/>
    <w:rsid w:val="00BB7190"/>
    <w:rsid w:val="00BC419E"/>
    <w:rsid w:val="00BC6F56"/>
    <w:rsid w:val="00BC7A42"/>
    <w:rsid w:val="00BD0106"/>
    <w:rsid w:val="00BD0A36"/>
    <w:rsid w:val="00BD4E33"/>
    <w:rsid w:val="00BE1DE0"/>
    <w:rsid w:val="00BE4C0F"/>
    <w:rsid w:val="00BE7819"/>
    <w:rsid w:val="00BF2DA4"/>
    <w:rsid w:val="00BF7D72"/>
    <w:rsid w:val="00C009BD"/>
    <w:rsid w:val="00C030DE"/>
    <w:rsid w:val="00C10643"/>
    <w:rsid w:val="00C147FB"/>
    <w:rsid w:val="00C14DE5"/>
    <w:rsid w:val="00C1609F"/>
    <w:rsid w:val="00C17386"/>
    <w:rsid w:val="00C22105"/>
    <w:rsid w:val="00C244B6"/>
    <w:rsid w:val="00C333C1"/>
    <w:rsid w:val="00C340A5"/>
    <w:rsid w:val="00C35922"/>
    <w:rsid w:val="00C3702F"/>
    <w:rsid w:val="00C40BDB"/>
    <w:rsid w:val="00C44429"/>
    <w:rsid w:val="00C4500A"/>
    <w:rsid w:val="00C54DA6"/>
    <w:rsid w:val="00C64A37"/>
    <w:rsid w:val="00C7158E"/>
    <w:rsid w:val="00C71719"/>
    <w:rsid w:val="00C7250B"/>
    <w:rsid w:val="00C7346B"/>
    <w:rsid w:val="00C77C0E"/>
    <w:rsid w:val="00C84316"/>
    <w:rsid w:val="00C868B7"/>
    <w:rsid w:val="00C91687"/>
    <w:rsid w:val="00C924A8"/>
    <w:rsid w:val="00C92E9C"/>
    <w:rsid w:val="00C945FE"/>
    <w:rsid w:val="00C96FAA"/>
    <w:rsid w:val="00C97A04"/>
    <w:rsid w:val="00CA02B3"/>
    <w:rsid w:val="00CA107B"/>
    <w:rsid w:val="00CA1409"/>
    <w:rsid w:val="00CA484D"/>
    <w:rsid w:val="00CA4FB6"/>
    <w:rsid w:val="00CB15F5"/>
    <w:rsid w:val="00CB3F4D"/>
    <w:rsid w:val="00CB4A01"/>
    <w:rsid w:val="00CC739E"/>
    <w:rsid w:val="00CD3988"/>
    <w:rsid w:val="00CD3F68"/>
    <w:rsid w:val="00CD58B7"/>
    <w:rsid w:val="00CE420A"/>
    <w:rsid w:val="00CE50D1"/>
    <w:rsid w:val="00CE7BD2"/>
    <w:rsid w:val="00CF3BAB"/>
    <w:rsid w:val="00CF4099"/>
    <w:rsid w:val="00D00796"/>
    <w:rsid w:val="00D01C19"/>
    <w:rsid w:val="00D03A73"/>
    <w:rsid w:val="00D053AB"/>
    <w:rsid w:val="00D07F7D"/>
    <w:rsid w:val="00D103C0"/>
    <w:rsid w:val="00D10900"/>
    <w:rsid w:val="00D13AA2"/>
    <w:rsid w:val="00D144C2"/>
    <w:rsid w:val="00D261A2"/>
    <w:rsid w:val="00D364C8"/>
    <w:rsid w:val="00D46DD5"/>
    <w:rsid w:val="00D616D2"/>
    <w:rsid w:val="00D624BE"/>
    <w:rsid w:val="00D637D5"/>
    <w:rsid w:val="00D63B5F"/>
    <w:rsid w:val="00D663CA"/>
    <w:rsid w:val="00D70916"/>
    <w:rsid w:val="00D70B50"/>
    <w:rsid w:val="00D70D2E"/>
    <w:rsid w:val="00D70EF7"/>
    <w:rsid w:val="00D7328D"/>
    <w:rsid w:val="00D76653"/>
    <w:rsid w:val="00D766E0"/>
    <w:rsid w:val="00D824A7"/>
    <w:rsid w:val="00D83373"/>
    <w:rsid w:val="00D8397C"/>
    <w:rsid w:val="00D83AB4"/>
    <w:rsid w:val="00D84611"/>
    <w:rsid w:val="00D87DF6"/>
    <w:rsid w:val="00D910DC"/>
    <w:rsid w:val="00D94B67"/>
    <w:rsid w:val="00D94EED"/>
    <w:rsid w:val="00D96026"/>
    <w:rsid w:val="00DA361E"/>
    <w:rsid w:val="00DA6968"/>
    <w:rsid w:val="00DA7C1C"/>
    <w:rsid w:val="00DB147A"/>
    <w:rsid w:val="00DB1B7A"/>
    <w:rsid w:val="00DB43A4"/>
    <w:rsid w:val="00DB4AB3"/>
    <w:rsid w:val="00DB7F99"/>
    <w:rsid w:val="00DC1AF2"/>
    <w:rsid w:val="00DC6708"/>
    <w:rsid w:val="00DD335F"/>
    <w:rsid w:val="00DD41D1"/>
    <w:rsid w:val="00DD5287"/>
    <w:rsid w:val="00DE00DB"/>
    <w:rsid w:val="00DE6013"/>
    <w:rsid w:val="00DE7EDE"/>
    <w:rsid w:val="00DF466F"/>
    <w:rsid w:val="00E01436"/>
    <w:rsid w:val="00E045BD"/>
    <w:rsid w:val="00E077F6"/>
    <w:rsid w:val="00E078AA"/>
    <w:rsid w:val="00E13CBA"/>
    <w:rsid w:val="00E17B77"/>
    <w:rsid w:val="00E23337"/>
    <w:rsid w:val="00E259EA"/>
    <w:rsid w:val="00E268DC"/>
    <w:rsid w:val="00E30716"/>
    <w:rsid w:val="00E31DCF"/>
    <w:rsid w:val="00E32061"/>
    <w:rsid w:val="00E34B25"/>
    <w:rsid w:val="00E42DEB"/>
    <w:rsid w:val="00E42FF9"/>
    <w:rsid w:val="00E4714C"/>
    <w:rsid w:val="00E51AEB"/>
    <w:rsid w:val="00E522A7"/>
    <w:rsid w:val="00E54452"/>
    <w:rsid w:val="00E556D9"/>
    <w:rsid w:val="00E607E5"/>
    <w:rsid w:val="00E618B5"/>
    <w:rsid w:val="00E664C5"/>
    <w:rsid w:val="00E671A2"/>
    <w:rsid w:val="00E735E0"/>
    <w:rsid w:val="00E76225"/>
    <w:rsid w:val="00E76D26"/>
    <w:rsid w:val="00E778AA"/>
    <w:rsid w:val="00E77FD2"/>
    <w:rsid w:val="00E8286B"/>
    <w:rsid w:val="00E83CFE"/>
    <w:rsid w:val="00E93E65"/>
    <w:rsid w:val="00E942C9"/>
    <w:rsid w:val="00E9732B"/>
    <w:rsid w:val="00EB1390"/>
    <w:rsid w:val="00EB2C71"/>
    <w:rsid w:val="00EB4340"/>
    <w:rsid w:val="00EB556D"/>
    <w:rsid w:val="00EB5A7D"/>
    <w:rsid w:val="00EB6F62"/>
    <w:rsid w:val="00EC0634"/>
    <w:rsid w:val="00EC2CF7"/>
    <w:rsid w:val="00ED1618"/>
    <w:rsid w:val="00ED1AAF"/>
    <w:rsid w:val="00ED1EA3"/>
    <w:rsid w:val="00ED36FB"/>
    <w:rsid w:val="00ED4AB3"/>
    <w:rsid w:val="00ED55C0"/>
    <w:rsid w:val="00ED682B"/>
    <w:rsid w:val="00EE4130"/>
    <w:rsid w:val="00EE41D5"/>
    <w:rsid w:val="00EF5270"/>
    <w:rsid w:val="00EF573D"/>
    <w:rsid w:val="00EF6253"/>
    <w:rsid w:val="00F01EDF"/>
    <w:rsid w:val="00F037A4"/>
    <w:rsid w:val="00F107B6"/>
    <w:rsid w:val="00F15016"/>
    <w:rsid w:val="00F27C8F"/>
    <w:rsid w:val="00F30159"/>
    <w:rsid w:val="00F301ED"/>
    <w:rsid w:val="00F32749"/>
    <w:rsid w:val="00F33408"/>
    <w:rsid w:val="00F33E8E"/>
    <w:rsid w:val="00F370BF"/>
    <w:rsid w:val="00F37172"/>
    <w:rsid w:val="00F378D1"/>
    <w:rsid w:val="00F4477E"/>
    <w:rsid w:val="00F65280"/>
    <w:rsid w:val="00F67D8F"/>
    <w:rsid w:val="00F74247"/>
    <w:rsid w:val="00F802BE"/>
    <w:rsid w:val="00F80E93"/>
    <w:rsid w:val="00F86024"/>
    <w:rsid w:val="00F8611A"/>
    <w:rsid w:val="00F877CD"/>
    <w:rsid w:val="00F90314"/>
    <w:rsid w:val="00F915F2"/>
    <w:rsid w:val="00F95A99"/>
    <w:rsid w:val="00F97103"/>
    <w:rsid w:val="00FA1567"/>
    <w:rsid w:val="00FA2AB1"/>
    <w:rsid w:val="00FA5128"/>
    <w:rsid w:val="00FA5E2A"/>
    <w:rsid w:val="00FA5F66"/>
    <w:rsid w:val="00FB34B5"/>
    <w:rsid w:val="00FB42D4"/>
    <w:rsid w:val="00FB5906"/>
    <w:rsid w:val="00FB762F"/>
    <w:rsid w:val="00FC2AED"/>
    <w:rsid w:val="00FC2E47"/>
    <w:rsid w:val="00FC5BB6"/>
    <w:rsid w:val="00FC7E0A"/>
    <w:rsid w:val="00FD15F0"/>
    <w:rsid w:val="00FD4E66"/>
    <w:rsid w:val="00FD5EA7"/>
    <w:rsid w:val="00FD6A06"/>
    <w:rsid w:val="00FE0F05"/>
    <w:rsid w:val="00FE4E37"/>
    <w:rsid w:val="00FF23E1"/>
    <w:rsid w:val="00FF6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79B62A-2895-4DEB-B682-79A5D31B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537336"/>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
    <w:name w:val="Body Text Indent"/>
    <w:basedOn w:val="Normalny"/>
    <w:link w:val="TekstpodstawowywcityZnak"/>
    <w:rsid w:val="00C147FB"/>
    <w:pPr>
      <w:spacing w:before="0" w:after="0" w:line="360" w:lineRule="auto"/>
      <w:ind w:firstLine="360"/>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C147FB"/>
    <w:rPr>
      <w:rFonts w:ascii="Times New Roman" w:eastAsia="Times New Roman" w:hAnsi="Times New Roman" w:cs="Times New Roman"/>
      <w:sz w:val="24"/>
      <w:szCs w:val="20"/>
      <w:lang w:eastAsia="pl-PL"/>
    </w:rPr>
  </w:style>
  <w:style w:type="paragraph" w:styleId="Legenda">
    <w:name w:val="caption"/>
    <w:basedOn w:val="Normalny"/>
    <w:next w:val="Normalny"/>
    <w:uiPriority w:val="35"/>
    <w:semiHidden/>
    <w:unhideWhenUsed/>
    <w:qFormat/>
    <w:rsid w:val="00C44429"/>
    <w:pPr>
      <w:spacing w:before="0" w:after="200" w:line="240" w:lineRule="auto"/>
    </w:pPr>
    <w:rPr>
      <w:i/>
      <w:iCs/>
      <w:color w:val="44546A" w:themeColor="text2"/>
      <w:sz w:val="18"/>
      <w:szCs w:val="18"/>
    </w:rPr>
  </w:style>
  <w:style w:type="character" w:styleId="UyteHipercze">
    <w:name w:val="FollowedHyperlink"/>
    <w:basedOn w:val="Domylnaczcionkaakapitu"/>
    <w:uiPriority w:val="99"/>
    <w:semiHidden/>
    <w:unhideWhenUsed/>
    <w:rsid w:val="001450E5"/>
    <w:rPr>
      <w:color w:val="954F72" w:themeColor="followedHyperlink"/>
      <w:u w:val="single"/>
    </w:rPr>
  </w:style>
  <w:style w:type="character" w:styleId="Odwoaniedokomentarza">
    <w:name w:val="annotation reference"/>
    <w:basedOn w:val="Domylnaczcionkaakapitu"/>
    <w:uiPriority w:val="99"/>
    <w:semiHidden/>
    <w:unhideWhenUsed/>
    <w:rsid w:val="0006735D"/>
    <w:rPr>
      <w:sz w:val="16"/>
      <w:szCs w:val="16"/>
    </w:rPr>
  </w:style>
  <w:style w:type="paragraph" w:styleId="Tekstkomentarza">
    <w:name w:val="annotation text"/>
    <w:basedOn w:val="Normalny"/>
    <w:link w:val="TekstkomentarzaZnak"/>
    <w:uiPriority w:val="99"/>
    <w:semiHidden/>
    <w:unhideWhenUsed/>
    <w:rsid w:val="000673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35D"/>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06735D"/>
    <w:rPr>
      <w:b/>
      <w:bCs/>
    </w:rPr>
  </w:style>
  <w:style w:type="character" w:customStyle="1" w:styleId="TematkomentarzaZnak">
    <w:name w:val="Temat komentarza Znak"/>
    <w:basedOn w:val="TekstkomentarzaZnak"/>
    <w:link w:val="Tematkomentarza"/>
    <w:uiPriority w:val="99"/>
    <w:semiHidden/>
    <w:rsid w:val="0006735D"/>
    <w:rPr>
      <w:rFonts w:ascii="Fira Sans" w:hAnsi="Fira Sans"/>
      <w:b/>
      <w:bCs/>
      <w:sz w:val="20"/>
      <w:szCs w:val="20"/>
    </w:rPr>
  </w:style>
  <w:style w:type="paragraph" w:styleId="HTML-wstpniesformatowany">
    <w:name w:val="HTML Preformatted"/>
    <w:basedOn w:val="Normalny"/>
    <w:link w:val="HTML-wstpniesformatowanyZnak"/>
    <w:uiPriority w:val="99"/>
    <w:semiHidden/>
    <w:unhideWhenUsed/>
    <w:rsid w:val="00E7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735E0"/>
    <w:rPr>
      <w:rFonts w:ascii="Courier New" w:eastAsia="Times New Roman" w:hAnsi="Courier New" w:cs="Courier New"/>
      <w:sz w:val="20"/>
      <w:szCs w:val="20"/>
      <w:lang w:eastAsia="pl-PL"/>
    </w:rPr>
  </w:style>
  <w:style w:type="paragraph" w:customStyle="1" w:styleId="Ikonawskanika">
    <w:name w:val="Ikona wskaźnika"/>
    <w:basedOn w:val="Normalny"/>
    <w:link w:val="IkonawskanikaZnak"/>
    <w:qFormat/>
    <w:rsid w:val="00FA5E2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FA5E2A"/>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A5E2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A5E2A"/>
    <w:rPr>
      <w:color w:val="FFFFFF" w:themeColor="background1"/>
    </w:rPr>
  </w:style>
  <w:style w:type="character" w:customStyle="1" w:styleId="WartowskanikaZnak">
    <w:name w:val="Wartość wskaźnika Znak"/>
    <w:basedOn w:val="Domylnaczcionkaakapitu"/>
    <w:link w:val="Wartowskanika"/>
    <w:rsid w:val="00FA5E2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FA5E2A"/>
    <w:rPr>
      <w:rFonts w:ascii="Fira Sans" w:hAnsi="Fira Sans"/>
      <w:color w:val="FFFFFF" w:themeColor="background1"/>
      <w:sz w:val="20"/>
    </w:rPr>
  </w:style>
  <w:style w:type="paragraph" w:customStyle="1" w:styleId="Tytuinfomacjisygnalnej">
    <w:name w:val="Tytuł infomacji sygnalnej"/>
    <w:basedOn w:val="tytuinformacji"/>
    <w:link w:val="TytuinfomacjisygnalnejZnak"/>
    <w:qFormat/>
    <w:rsid w:val="005D51A7"/>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5D51A7"/>
    <w:rPr>
      <w:rFonts w:ascii="Fira Sans Extra Condensed SemiB" w:hAnsi="Fira Sans Extra Condensed SemiB"/>
      <w:color w:val="000000" w:themeColor="text1"/>
      <w:sz w:val="40"/>
      <w:szCs w:val="26"/>
    </w:rPr>
  </w:style>
  <w:style w:type="paragraph" w:customStyle="1" w:styleId="Lead">
    <w:name w:val="Lead"/>
    <w:basedOn w:val="LID"/>
    <w:link w:val="LeadZnak"/>
    <w:qFormat/>
    <w:rsid w:val="005D51A7"/>
    <w:pPr>
      <w:spacing w:before="360"/>
    </w:pPr>
  </w:style>
  <w:style w:type="character" w:customStyle="1" w:styleId="LeadZnak">
    <w:name w:val="Lead Znak"/>
    <w:basedOn w:val="Domylnaczcionkaakapitu"/>
    <w:link w:val="Lead"/>
    <w:rsid w:val="005D51A7"/>
    <w:rPr>
      <w:rFonts w:ascii="Fira Sans" w:hAnsi="Fira Sans"/>
      <w:b/>
      <w:noProof/>
      <w:sz w:val="19"/>
      <w:szCs w:val="19"/>
      <w:lang w:eastAsia="pl-PL"/>
    </w:rPr>
  </w:style>
  <w:style w:type="table" w:customStyle="1" w:styleId="Siatkatabelijasna11">
    <w:name w:val="Siatka tabeli — jasna11"/>
    <w:basedOn w:val="Standardowy"/>
    <w:uiPriority w:val="40"/>
    <w:rsid w:val="008F3F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omylnaczcionkaakapitu"/>
    <w:uiPriority w:val="99"/>
    <w:semiHidden/>
    <w:unhideWhenUsed/>
    <w:rsid w:val="0082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9748881">
      <w:bodyDiv w:val="1"/>
      <w:marLeft w:val="0"/>
      <w:marRight w:val="0"/>
      <w:marTop w:val="0"/>
      <w:marBottom w:val="0"/>
      <w:divBdr>
        <w:top w:val="none" w:sz="0" w:space="0" w:color="auto"/>
        <w:left w:val="none" w:sz="0" w:space="0" w:color="auto"/>
        <w:bottom w:val="none" w:sz="0" w:space="0" w:color="auto"/>
        <w:right w:val="none" w:sz="0" w:space="0" w:color="auto"/>
      </w:divBdr>
      <w:divsChild>
        <w:div w:id="2124685589">
          <w:marLeft w:val="0"/>
          <w:marRight w:val="0"/>
          <w:marTop w:val="0"/>
          <w:marBottom w:val="0"/>
          <w:divBdr>
            <w:top w:val="none" w:sz="0" w:space="0" w:color="auto"/>
            <w:left w:val="none" w:sz="0" w:space="0" w:color="auto"/>
            <w:bottom w:val="none" w:sz="0" w:space="0" w:color="auto"/>
            <w:right w:val="none" w:sz="0" w:space="0" w:color="auto"/>
          </w:divBdr>
          <w:divsChild>
            <w:div w:id="399057826">
              <w:marLeft w:val="0"/>
              <w:marRight w:val="0"/>
              <w:marTop w:val="0"/>
              <w:marBottom w:val="0"/>
              <w:divBdr>
                <w:top w:val="none" w:sz="0" w:space="0" w:color="auto"/>
                <w:left w:val="none" w:sz="0" w:space="0" w:color="auto"/>
                <w:bottom w:val="none" w:sz="0" w:space="0" w:color="auto"/>
                <w:right w:val="none" w:sz="0" w:space="0" w:color="auto"/>
              </w:divBdr>
              <w:divsChild>
                <w:div w:id="945961014">
                  <w:marLeft w:val="0"/>
                  <w:marRight w:val="0"/>
                  <w:marTop w:val="0"/>
                  <w:marBottom w:val="0"/>
                  <w:divBdr>
                    <w:top w:val="none" w:sz="0" w:space="0" w:color="auto"/>
                    <w:left w:val="none" w:sz="0" w:space="0" w:color="auto"/>
                    <w:bottom w:val="none" w:sz="0" w:space="0" w:color="auto"/>
                    <w:right w:val="none" w:sz="0" w:space="0" w:color="auto"/>
                  </w:divBdr>
                  <w:divsChild>
                    <w:div w:id="19526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51184">
      <w:bodyDiv w:val="1"/>
      <w:marLeft w:val="0"/>
      <w:marRight w:val="0"/>
      <w:marTop w:val="0"/>
      <w:marBottom w:val="0"/>
      <w:divBdr>
        <w:top w:val="none" w:sz="0" w:space="0" w:color="auto"/>
        <w:left w:val="none" w:sz="0" w:space="0" w:color="auto"/>
        <w:bottom w:val="none" w:sz="0" w:space="0" w:color="auto"/>
        <w:right w:val="none" w:sz="0" w:space="0" w:color="auto"/>
      </w:divBdr>
    </w:div>
    <w:div w:id="11923764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45174038">
      <w:bodyDiv w:val="1"/>
      <w:marLeft w:val="0"/>
      <w:marRight w:val="0"/>
      <w:marTop w:val="0"/>
      <w:marBottom w:val="0"/>
      <w:divBdr>
        <w:top w:val="none" w:sz="0" w:space="0" w:color="auto"/>
        <w:left w:val="none" w:sz="0" w:space="0" w:color="auto"/>
        <w:bottom w:val="none" w:sz="0" w:space="0" w:color="auto"/>
        <w:right w:val="none" w:sz="0" w:space="0" w:color="auto"/>
      </w:divBdr>
    </w:div>
    <w:div w:id="1663972286">
      <w:bodyDiv w:val="1"/>
      <w:marLeft w:val="0"/>
      <w:marRight w:val="0"/>
      <w:marTop w:val="0"/>
      <w:marBottom w:val="0"/>
      <w:divBdr>
        <w:top w:val="none" w:sz="0" w:space="0" w:color="auto"/>
        <w:left w:val="none" w:sz="0" w:space="0" w:color="auto"/>
        <w:bottom w:val="none" w:sz="0" w:space="0" w:color="auto"/>
        <w:right w:val="none" w:sz="0" w:space="0" w:color="auto"/>
      </w:divBdr>
    </w:div>
    <w:div w:id="186517394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05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92203752308746E-2"/>
          <c:y val="0.10917106334359088"/>
          <c:w val="0.85014361473524136"/>
          <c:h val="0.74018304246454636"/>
        </c:manualLayout>
      </c:layout>
      <c:barChart>
        <c:barDir val="col"/>
        <c:grouping val="clustered"/>
        <c:varyColors val="0"/>
        <c:ser>
          <c:idx val="0"/>
          <c:order val="0"/>
          <c:tx>
            <c:strRef>
              <c:f>Sheet1!$A$2</c:f>
              <c:strCache>
                <c:ptCount val="1"/>
                <c:pt idx="0">
                  <c:v>2020</c:v>
                </c:pt>
              </c:strCache>
            </c:strRef>
          </c:tx>
          <c:spPr>
            <a:solidFill>
              <a:srgbClr val="99A5C9"/>
            </a:solidFill>
            <a:ln w="12717">
              <a:noFill/>
              <a:prstDash val="solid"/>
            </a:ln>
          </c:spPr>
          <c:invertIfNegative val="0"/>
          <c:dPt>
            <c:idx val="0"/>
            <c:invertIfNegative val="0"/>
            <c:bubble3D val="0"/>
            <c:extLst xmlns:c16r2="http://schemas.microsoft.com/office/drawing/2015/06/chart">
              <c:ext xmlns:c16="http://schemas.microsoft.com/office/drawing/2014/chart" uri="{C3380CC4-5D6E-409C-BE32-E72D297353CC}">
                <c16:uniqueId val="{00000000-AE95-43F5-BFFE-C1EF577D047B}"/>
              </c:ext>
            </c:extLst>
          </c:dPt>
          <c:dPt>
            <c:idx val="1"/>
            <c:invertIfNegative val="0"/>
            <c:bubble3D val="0"/>
            <c:extLst xmlns:c16r2="http://schemas.microsoft.com/office/drawing/2015/06/chart">
              <c:ext xmlns:c16="http://schemas.microsoft.com/office/drawing/2014/chart" uri="{C3380CC4-5D6E-409C-BE32-E72D297353CC}">
                <c16:uniqueId val="{00000001-AE95-43F5-BFFE-C1EF577D047B}"/>
              </c:ext>
            </c:extLst>
          </c:dPt>
          <c:dPt>
            <c:idx val="2"/>
            <c:invertIfNegative val="0"/>
            <c:bubble3D val="0"/>
            <c:extLst xmlns:c16r2="http://schemas.microsoft.com/office/drawing/2015/06/chart">
              <c:ext xmlns:c16="http://schemas.microsoft.com/office/drawing/2014/chart" uri="{C3380CC4-5D6E-409C-BE32-E72D297353CC}">
                <c16:uniqueId val="{00000002-AE95-43F5-BFFE-C1EF577D047B}"/>
              </c:ext>
            </c:extLst>
          </c:dPt>
          <c:dPt>
            <c:idx val="3"/>
            <c:invertIfNegative val="0"/>
            <c:bubble3D val="0"/>
            <c:extLst xmlns:c16r2="http://schemas.microsoft.com/office/drawing/2015/06/chart">
              <c:ext xmlns:c16="http://schemas.microsoft.com/office/drawing/2014/chart" uri="{C3380CC4-5D6E-409C-BE32-E72D297353CC}">
                <c16:uniqueId val="{00000003-AE95-43F5-BFFE-C1EF577D047B}"/>
              </c:ext>
            </c:extLst>
          </c:dPt>
          <c:dLbls>
            <c:dLbl>
              <c:idx val="0"/>
              <c:layout>
                <c:manualLayout>
                  <c:x val="0"/>
                  <c:y val="1.6937669376693765E-2"/>
                </c:manualLayout>
              </c:layout>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AE95-43F5-BFFE-C1EF577D047B}"/>
                </c:ext>
                <c:ext xmlns:c15="http://schemas.microsoft.com/office/drawing/2012/chart" uri="{CE6537A1-D6FC-4f65-9D91-7224C49458BB}"/>
              </c:extLst>
            </c:dLbl>
            <c:dLbl>
              <c:idx val="1"/>
              <c:layout>
                <c:manualLayout>
                  <c:x val="0"/>
                  <c:y val="1.2703252032520325E-2"/>
                </c:manualLayout>
              </c:layout>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AE95-43F5-BFFE-C1EF577D047B}"/>
                </c:ext>
                <c:ext xmlns:c15="http://schemas.microsoft.com/office/drawing/2012/chart" uri="{CE6537A1-D6FC-4f65-9D91-7224C49458BB}"/>
              </c:extLst>
            </c:dLbl>
            <c:dLbl>
              <c:idx val="2"/>
              <c:layout>
                <c:manualLayout>
                  <c:x val="0"/>
                  <c:y val="2.1172086720867209E-2"/>
                </c:manualLayout>
              </c:layout>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AE95-43F5-BFFE-C1EF577D047B}"/>
                </c:ext>
                <c:ext xmlns:c15="http://schemas.microsoft.com/office/drawing/2012/chart" uri="{CE6537A1-D6FC-4f65-9D91-7224C49458BB}"/>
              </c:extLst>
            </c:dLbl>
            <c:dLbl>
              <c:idx val="3"/>
              <c:layout>
                <c:manualLayout>
                  <c:x val="2.469575126128202E-3"/>
                  <c:y val="2.1172086720867209E-2"/>
                </c:manualLayout>
              </c:layout>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AE95-43F5-BFFE-C1EF577D047B}"/>
                </c:ext>
                <c:ext xmlns:c15="http://schemas.microsoft.com/office/drawing/2012/chart" uri="{CE6537A1-D6FC-4f65-9D91-7224C49458BB}"/>
              </c:extLst>
            </c:dLbl>
            <c:spPr>
              <a:noFill/>
              <a:ln>
                <a:noFill/>
              </a:ln>
              <a:effectLst/>
            </c:spPr>
            <c:txPr>
              <a:bodyPr/>
              <a:lstStyle/>
              <a:p>
                <a:pPr>
                  <a:defRPr sz="700"/>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Faktoring z regresem</c:v>
                </c:pt>
                <c:pt idx="1">
                  <c:v>Faktoring bez regresu</c:v>
                </c:pt>
                <c:pt idx="2">
                  <c:v>Faktoring odwrócony</c:v>
                </c:pt>
                <c:pt idx="3">
                  <c:v>Faktoring mieszany</c:v>
                </c:pt>
              </c:strCache>
            </c:strRef>
          </c:cat>
          <c:val>
            <c:numRef>
              <c:f>Sheet1!$B$2:$E$2</c:f>
              <c:numCache>
                <c:formatCode>#,##0</c:formatCode>
                <c:ptCount val="4"/>
                <c:pt idx="0">
                  <c:v>67762.297999999995</c:v>
                </c:pt>
                <c:pt idx="1">
                  <c:v>125069.925</c:v>
                </c:pt>
                <c:pt idx="2">
                  <c:v>60012.035000000003</c:v>
                </c:pt>
                <c:pt idx="3">
                  <c:v>6957.625</c:v>
                </c:pt>
              </c:numCache>
            </c:numRef>
          </c:val>
          <c:extLst xmlns:c16r2="http://schemas.microsoft.com/office/drawing/2015/06/chart">
            <c:ext xmlns:c16="http://schemas.microsoft.com/office/drawing/2014/chart" uri="{C3380CC4-5D6E-409C-BE32-E72D297353CC}">
              <c16:uniqueId val="{00000004-AE95-43F5-BFFE-C1EF577D047B}"/>
            </c:ext>
          </c:extLst>
        </c:ser>
        <c:ser>
          <c:idx val="1"/>
          <c:order val="1"/>
          <c:tx>
            <c:strRef>
              <c:f>Sheet1!$A$3</c:f>
              <c:strCache>
                <c:ptCount val="1"/>
                <c:pt idx="0">
                  <c:v>2021</c:v>
                </c:pt>
              </c:strCache>
            </c:strRef>
          </c:tx>
          <c:spPr>
            <a:solidFill>
              <a:srgbClr val="334A92"/>
            </a:solidFill>
            <a:ln w="12717">
              <a:noFill/>
              <a:prstDash val="solid"/>
            </a:ln>
          </c:spPr>
          <c:invertIfNegative val="0"/>
          <c:dLbls>
            <c:dLbl>
              <c:idx val="0"/>
              <c:layout>
                <c:manualLayout>
                  <c:x val="0"/>
                  <c:y val="1.69376693766937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E95-43F5-BFFE-C1EF577D047B}"/>
                </c:ext>
                <c:ext xmlns:c15="http://schemas.microsoft.com/office/drawing/2012/chart" uri="{CE6537A1-D6FC-4f65-9D91-7224C49458BB}"/>
              </c:extLst>
            </c:dLbl>
            <c:dLbl>
              <c:idx val="1"/>
              <c:layout>
                <c:manualLayout>
                  <c:x val="2.469575126128202E-3"/>
                  <c:y val="1.69376693766937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E95-43F5-BFFE-C1EF577D047B}"/>
                </c:ext>
                <c:ext xmlns:c15="http://schemas.microsoft.com/office/drawing/2012/chart" uri="{CE6537A1-D6FC-4f65-9D91-7224C49458BB}"/>
              </c:extLst>
            </c:dLbl>
            <c:dLbl>
              <c:idx val="2"/>
              <c:layout>
                <c:manualLayout>
                  <c:x val="0"/>
                  <c:y val="1.69376693766937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E95-43F5-BFFE-C1EF577D047B}"/>
                </c:ext>
                <c:ext xmlns:c15="http://schemas.microsoft.com/office/drawing/2012/chart" uri="{CE6537A1-D6FC-4f65-9D91-7224C49458BB}"/>
              </c:extLst>
            </c:dLbl>
            <c:dLbl>
              <c:idx val="3"/>
              <c:layout>
                <c:manualLayout>
                  <c:x val="0"/>
                  <c:y val="8.468834688346882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E95-43F5-BFFE-C1EF577D047B}"/>
                </c:ext>
                <c:ext xmlns:c15="http://schemas.microsoft.com/office/drawing/2012/chart" uri="{CE6537A1-D6FC-4f65-9D91-7224C49458BB}"/>
              </c:extLst>
            </c:dLbl>
            <c:spPr>
              <a:noFill/>
              <a:ln>
                <a:noFill/>
              </a:ln>
              <a:effectLst/>
            </c:spPr>
            <c:txPr>
              <a:bodyPr/>
              <a:lstStyle/>
              <a:p>
                <a:pPr>
                  <a:defRPr sz="7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Faktoring z regresem</c:v>
                </c:pt>
                <c:pt idx="1">
                  <c:v>Faktoring bez regresu</c:v>
                </c:pt>
                <c:pt idx="2">
                  <c:v>Faktoring odwrócony</c:v>
                </c:pt>
                <c:pt idx="3">
                  <c:v>Faktoring mieszany</c:v>
                </c:pt>
              </c:strCache>
            </c:strRef>
          </c:cat>
          <c:val>
            <c:numRef>
              <c:f>Sheet1!$B$3:$E$3</c:f>
              <c:numCache>
                <c:formatCode>#,##0</c:formatCode>
                <c:ptCount val="4"/>
                <c:pt idx="0">
                  <c:v>82504.994999999995</c:v>
                </c:pt>
                <c:pt idx="1">
                  <c:v>172679.641</c:v>
                </c:pt>
                <c:pt idx="2">
                  <c:v>67557.982000000004</c:v>
                </c:pt>
                <c:pt idx="3">
                  <c:v>11399.346</c:v>
                </c:pt>
              </c:numCache>
            </c:numRef>
          </c:val>
          <c:extLst xmlns:c16r2="http://schemas.microsoft.com/office/drawing/2015/06/chart">
            <c:ext xmlns:c16="http://schemas.microsoft.com/office/drawing/2014/chart" uri="{C3380CC4-5D6E-409C-BE32-E72D297353CC}">
              <c16:uniqueId val="{00000009-AE95-43F5-BFFE-C1EF577D047B}"/>
            </c:ext>
          </c:extLst>
        </c:ser>
        <c:dLbls>
          <c:showLegendKey val="0"/>
          <c:showVal val="0"/>
          <c:showCatName val="0"/>
          <c:showSerName val="0"/>
          <c:showPercent val="0"/>
          <c:showBubbleSize val="0"/>
        </c:dLbls>
        <c:gapWidth val="150"/>
        <c:overlap val="-17"/>
        <c:axId val="-517952208"/>
        <c:axId val="-517956016"/>
      </c:barChart>
      <c:catAx>
        <c:axId val="-517952208"/>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700" baseline="0"/>
            </a:pPr>
            <a:endParaRPr lang="pl-PL"/>
          </a:p>
        </c:txPr>
        <c:crossAx val="-517956016"/>
        <c:crosses val="autoZero"/>
        <c:auto val="1"/>
        <c:lblAlgn val="ctr"/>
        <c:lblOffset val="100"/>
        <c:tickLblSkip val="1"/>
        <c:tickMarkSkip val="1"/>
        <c:noMultiLvlLbl val="0"/>
      </c:catAx>
      <c:valAx>
        <c:axId val="-517956016"/>
        <c:scaling>
          <c:orientation val="minMax"/>
        </c:scaling>
        <c:delete val="1"/>
        <c:axPos val="l"/>
        <c:majorGridlines>
          <c:spPr>
            <a:ln w="3179">
              <a:solidFill>
                <a:srgbClr val="000000">
                  <a:alpha val="31000"/>
                </a:srgbClr>
              </a:solidFill>
              <a:prstDash val="solid"/>
            </a:ln>
          </c:spPr>
        </c:majorGridlines>
        <c:title>
          <c:tx>
            <c:rich>
              <a:bodyPr rot="0" vert="horz"/>
              <a:lstStyle/>
              <a:p>
                <a:pPr>
                  <a:defRPr sz="700"/>
                </a:pPr>
                <a:r>
                  <a:rPr lang="pl-PL" sz="700"/>
                  <a:t>w mln</a:t>
                </a:r>
                <a:r>
                  <a:rPr lang="pl-PL" sz="700" baseline="0"/>
                  <a:t> zł</a:t>
                </a:r>
                <a:endParaRPr lang="pl-PL" sz="700"/>
              </a:p>
            </c:rich>
          </c:tx>
          <c:layout>
            <c:manualLayout>
              <c:xMode val="edge"/>
              <c:yMode val="edge"/>
              <c:x val="7.851624534289102E-2"/>
              <c:y val="3.94748767914802E-2"/>
            </c:manualLayout>
          </c:layout>
          <c:overlay val="0"/>
        </c:title>
        <c:numFmt formatCode="#,##0" sourceLinked="0"/>
        <c:majorTickMark val="out"/>
        <c:minorTickMark val="none"/>
        <c:tickLblPos val="nextTo"/>
        <c:crossAx val="-517952208"/>
        <c:crosses val="autoZero"/>
        <c:crossBetween val="between"/>
        <c:majorUnit val="20000"/>
      </c:valAx>
      <c:spPr>
        <a:ln>
          <a:noFill/>
        </a:ln>
      </c:spPr>
    </c:plotArea>
    <c:legend>
      <c:legendPos val="b"/>
      <c:layout>
        <c:manualLayout>
          <c:xMode val="edge"/>
          <c:yMode val="edge"/>
          <c:x val="0.4085330295773334"/>
          <c:y val="0.91788868321001671"/>
          <c:w val="0.26470588235294118"/>
          <c:h val="6.3490860567910271E-2"/>
        </c:manualLayout>
      </c:layout>
      <c:overlay val="0"/>
      <c:spPr>
        <a:noFill/>
        <a:ln w="3179">
          <a:solidFill>
            <a:srgbClr val="000000"/>
          </a:solidFill>
          <a:prstDash val="solid"/>
        </a:ln>
      </c:spPr>
      <c:txPr>
        <a:bodyPr/>
        <a:lstStyle/>
        <a:p>
          <a:pPr>
            <a:defRPr sz="700"/>
          </a:pPr>
          <a:endParaRPr lang="pl-PL"/>
        </a:p>
      </c:txPr>
    </c:legend>
    <c:plotVisOnly val="1"/>
    <c:dispBlanksAs val="gap"/>
    <c:showDLblsOverMax val="0"/>
  </c:chart>
  <c:spPr>
    <a:noFill/>
    <a:ln>
      <a:noFill/>
    </a:ln>
  </c:spPr>
  <c:txPr>
    <a:bodyPr/>
    <a:lstStyle/>
    <a:p>
      <a:pPr>
        <a:defRPr sz="800" b="0" i="0" u="none" strike="noStrike" baseline="0">
          <a:solidFill>
            <a:srgbClr val="000000"/>
          </a:solidFill>
          <a:latin typeface="Fira Sans" panose="020B0503050000020004" pitchFamily="34" charset="0"/>
          <a:ea typeface="Calibri"/>
          <a:cs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28D7B869-FB8B-40B9-95FA-BE8CACE1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1219</Words>
  <Characters>7319</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Działalność faktoringowa przedsiębiorstw finansowych w 2017 roku</vt:lpstr>
    </vt:vector>
  </TitlesOfParts>
  <Company>Główny Urząd Statystyczny</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Działalność faktoringowa przedsiębiorstw finansowych w 2017 roku</dc:title>
  <dc:subject>Działalność faktoringowa przedsiębiorstw finansowych w 2017 roku</dc:subject>
  <dc:creator>GUS</dc:creator>
  <dc:description>Działalność faktoringowa przedsiębiorstw finansowych w 2017 roku</dc:description>
  <cp:lastModifiedBy>Putkowska Beata</cp:lastModifiedBy>
  <cp:revision>3</cp:revision>
  <cp:lastPrinted>2019-08-27T10:24:00Z</cp:lastPrinted>
  <dcterms:created xsi:type="dcterms:W3CDTF">2022-07-01T15:11:00Z</dcterms:created>
  <dcterms:modified xsi:type="dcterms:W3CDTF">2022-07-05T07:39:00Z</dcterms:modified>
  <cp:category>Działalność faktoringowa przedsiębiorstw finansowych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