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A8A0" w14:textId="77777777" w:rsidR="00393761" w:rsidRPr="007D605C" w:rsidRDefault="00AC17FD" w:rsidP="00AC17FD">
      <w:pPr>
        <w:pStyle w:val="Tytuinfomacjisygnalnej"/>
        <w:spacing w:after="480"/>
      </w:pPr>
      <w:r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B6ADEA6" wp14:editId="7DEC67DC">
                <wp:simplePos x="0" y="0"/>
                <wp:positionH relativeFrom="margin">
                  <wp:posOffset>3810</wp:posOffset>
                </wp:positionH>
                <wp:positionV relativeFrom="paragraph">
                  <wp:posOffset>778454</wp:posOffset>
                </wp:positionV>
                <wp:extent cx="2671445" cy="1271905"/>
                <wp:effectExtent l="0" t="0" r="0" b="4445"/>
                <wp:wrapSquare wrapText="bothSides"/>
                <wp:docPr id="6" name="Pole tekstowe 2" descr="1,6% Wzrost liczby pracujących w 2021 r. (stan w dniu 31 grudnia) w gospodarce narodowej w stosunku do roku poprzedni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27190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CD148" w14:textId="77777777" w:rsidR="005C0CAC" w:rsidRPr="00AC17FD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C4800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96D40" w:rsidRPr="00AC17F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1,6%</w:t>
                            </w:r>
                          </w:p>
                          <w:p w14:paraId="00C5866F" w14:textId="77777777" w:rsidR="005C0CAC" w:rsidRPr="00AC17FD" w:rsidRDefault="00A96D40" w:rsidP="00AC17FD">
                            <w:pPr>
                              <w:pStyle w:val="tekstnaniebieskimtle"/>
                              <w:ind w:left="57" w:right="-113"/>
                              <w:rPr>
                                <w:szCs w:val="20"/>
                              </w:rPr>
                            </w:pPr>
                            <w:r w:rsidRPr="00AC17FD">
                              <w:rPr>
                                <w:szCs w:val="20"/>
                              </w:rPr>
                              <w:t>Wzrost liczby pracujących w 2021 r. (</w:t>
                            </w:r>
                            <w:r w:rsidR="00E71C5F">
                              <w:rPr>
                                <w:szCs w:val="20"/>
                              </w:rPr>
                              <w:t>s</w:t>
                            </w:r>
                            <w:r w:rsidR="00E71C5F" w:rsidRPr="00AC17FD">
                              <w:rPr>
                                <w:szCs w:val="20"/>
                              </w:rPr>
                              <w:t xml:space="preserve">tan </w:t>
                            </w:r>
                            <w:r w:rsidR="00B64034">
                              <w:rPr>
                                <w:szCs w:val="20"/>
                              </w:rPr>
                              <w:t>na</w:t>
                            </w:r>
                            <w:r w:rsidRPr="000135E0">
                              <w:rPr>
                                <w:szCs w:val="20"/>
                              </w:rPr>
                              <w:t xml:space="preserve"> 31 grudnia) </w:t>
                            </w:r>
                            <w:r w:rsidRPr="00AC17FD">
                              <w:rPr>
                                <w:szCs w:val="20"/>
                              </w:rPr>
                              <w:t>w gospodarce narodowej w stosunku do roku poprzedniego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ADEA6" id="Pole tekstowe 2" o:spid="_x0000_s1026" alt="1,6% Wzrost liczby pracujących w 2021 r. (stan w dniu 31 grudnia) w gospodarce narodowej w stosunku do roku poprzedniego" style="position:absolute;margin-left:.3pt;margin-top:61.3pt;width:210.35pt;height:100.1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" fillcolor="#001d77" stroked="f">
                <v:stroke joinstyle="miter"/>
                <v:textbox>
                  <w:txbxContent>
                    <w:p w14:paraId="420CD148" w14:textId="77777777" w:rsidR="005C0CAC" w:rsidRPr="00AC17FD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C4800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A96D40" w:rsidRPr="00AC17FD">
                        <w:rPr>
                          <w:rStyle w:val="WartowskanikaZnak"/>
                          <w:sz w:val="72"/>
                          <w:szCs w:val="72"/>
                        </w:rPr>
                        <w:t>1,6%</w:t>
                      </w:r>
                    </w:p>
                    <w:p w14:paraId="00C5866F" w14:textId="77777777" w:rsidR="005C0CAC" w:rsidRPr="00AC17FD" w:rsidRDefault="00A96D40" w:rsidP="00AC17FD">
                      <w:pPr>
                        <w:pStyle w:val="tekstnaniebieskimtle"/>
                        <w:ind w:left="57" w:right="-113"/>
                        <w:rPr>
                          <w:szCs w:val="20"/>
                        </w:rPr>
                      </w:pPr>
                      <w:r w:rsidRPr="00AC17FD">
                        <w:rPr>
                          <w:szCs w:val="20"/>
                        </w:rPr>
                        <w:t>Wzrost liczby pracujących w 2021 r. (</w:t>
                      </w:r>
                      <w:r w:rsidR="00E71C5F">
                        <w:rPr>
                          <w:szCs w:val="20"/>
                        </w:rPr>
                        <w:t>s</w:t>
                      </w:r>
                      <w:r w:rsidR="00E71C5F" w:rsidRPr="00AC17FD">
                        <w:rPr>
                          <w:szCs w:val="20"/>
                        </w:rPr>
                        <w:t xml:space="preserve">tan </w:t>
                      </w:r>
                      <w:r w:rsidR="00B64034">
                        <w:rPr>
                          <w:szCs w:val="20"/>
                        </w:rPr>
                        <w:t>na</w:t>
                      </w:r>
                      <w:r w:rsidRPr="000135E0">
                        <w:rPr>
                          <w:szCs w:val="20"/>
                        </w:rPr>
                        <w:t xml:space="preserve"> 31 grudnia) </w:t>
                      </w:r>
                      <w:r w:rsidRPr="00AC17FD">
                        <w:rPr>
                          <w:szCs w:val="20"/>
                        </w:rPr>
                        <w:t>w gospodarce narodowej w stosunku do roku poprzedniego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96D40" w:rsidRPr="004E0166">
        <w:t>Pracujący i wynagrodzenia w gospodarce narodowej w 20</w:t>
      </w:r>
      <w:r w:rsidR="00A96D40">
        <w:t>21</w:t>
      </w:r>
      <w:r w:rsidR="00A96D40" w:rsidRPr="004E0166">
        <w:t xml:space="preserve"> r. – dane wstępne</w:t>
      </w:r>
    </w:p>
    <w:p w14:paraId="1388B1B5" w14:textId="77777777" w:rsidR="00DE58F1" w:rsidRPr="007D0869" w:rsidRDefault="00A96D40" w:rsidP="00AC17FD">
      <w:pPr>
        <w:pStyle w:val="Lead"/>
        <w:spacing w:before="240" w:after="720"/>
        <w:rPr>
          <w:rFonts w:eastAsia="Times New Roman" w:cs="Times New Roman"/>
          <w:bCs/>
          <w:noProof w:val="0"/>
        </w:rPr>
      </w:pPr>
      <w:r>
        <w:t>Według</w:t>
      </w:r>
      <w:r w:rsidR="00DE6B58" w:rsidRPr="00D8143C">
        <w:t xml:space="preserve"> </w:t>
      </w:r>
      <w:r>
        <w:t>danych wstępnych</w:t>
      </w:r>
      <w:r w:rsidRPr="004E0166">
        <w:t xml:space="preserve"> na koniec 202</w:t>
      </w:r>
      <w:r>
        <w:t>1</w:t>
      </w:r>
      <w:r w:rsidR="00AC17FD">
        <w:t> </w:t>
      </w:r>
      <w:r w:rsidRPr="004E0166">
        <w:t>r. liczba pracujących w gospodarce narodowej</w:t>
      </w:r>
      <w:r>
        <w:rPr>
          <w:rStyle w:val="Odwoanieprzypisudolnego"/>
        </w:rPr>
        <w:footnoteReference w:id="1"/>
      </w:r>
      <w:r w:rsidRPr="004E0166">
        <w:t xml:space="preserve"> wynosiła </w:t>
      </w:r>
      <w:r>
        <w:t>15,0</w:t>
      </w:r>
      <w:r w:rsidRPr="004E0166">
        <w:t xml:space="preserve"> mln osób.</w:t>
      </w:r>
      <w:r w:rsidR="00AC17FD">
        <w:t xml:space="preserve"> </w:t>
      </w:r>
      <w:r w:rsidRPr="004E0166">
        <w:t>W</w:t>
      </w:r>
      <w:r w:rsidR="00AC17FD">
        <w:t> </w:t>
      </w:r>
      <w:r w:rsidRPr="004E0166">
        <w:t xml:space="preserve">stosunku do ostatniego dnia </w:t>
      </w:r>
      <w:r>
        <w:t>2020</w:t>
      </w:r>
      <w:r w:rsidRPr="004E0166">
        <w:t xml:space="preserve"> r. było to </w:t>
      </w:r>
      <w:r>
        <w:t>więcej</w:t>
      </w:r>
      <w:r w:rsidRPr="004E0166">
        <w:t xml:space="preserve"> o 1,</w:t>
      </w:r>
      <w:r>
        <w:t>6</w:t>
      </w:r>
      <w:r w:rsidRPr="004E0166">
        <w:t>%.</w:t>
      </w:r>
    </w:p>
    <w:p w14:paraId="7E162D57" w14:textId="77777777" w:rsidR="00E95B8E" w:rsidRPr="00B73D52" w:rsidRDefault="003D564E" w:rsidP="00A96D40">
      <w:pPr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</w:pPr>
      <w:r w:rsidRPr="00B73D52">
        <w:rPr>
          <w:b/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71594FF1" wp14:editId="0A5CB57C">
                <wp:simplePos x="0" y="0"/>
                <wp:positionH relativeFrom="column">
                  <wp:posOffset>5217795</wp:posOffset>
                </wp:positionH>
                <wp:positionV relativeFrom="paragraph">
                  <wp:posOffset>188595</wp:posOffset>
                </wp:positionV>
                <wp:extent cx="1760855" cy="1363345"/>
                <wp:effectExtent l="0" t="0" r="0" b="0"/>
                <wp:wrapTight wrapText="bothSides">
                  <wp:wrapPolygon edited="0">
                    <wp:start x="701" y="0"/>
                    <wp:lineTo x="701" y="21127"/>
                    <wp:lineTo x="20798" y="21127"/>
                    <wp:lineTo x="20798" y="0"/>
                    <wp:lineTo x="701" y="0"/>
                  </wp:wrapPolygon>
                </wp:wrapTight>
                <wp:docPr id="26" name="Pole tekstowe 2" descr="W ostatnim dniu 2021 r. największy wzrost liczby pracujących w stosunku do ostatniego dnia 2020 r. zanotowano w sekcji informacja i komunik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363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85582" w14:textId="77777777" w:rsidR="00A96D40" w:rsidRPr="00003161" w:rsidRDefault="00A96D40" w:rsidP="00A96D40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4E0166">
                              <w:rPr>
                                <w:spacing w:val="-3"/>
                              </w:rPr>
                              <w:t>W ostatnim dniu 202</w:t>
                            </w:r>
                            <w:r>
                              <w:rPr>
                                <w:spacing w:val="-3"/>
                              </w:rPr>
                              <w:t>1</w:t>
                            </w:r>
                            <w:r w:rsidRPr="004E0166">
                              <w:rPr>
                                <w:spacing w:val="-3"/>
                              </w:rPr>
                              <w:t xml:space="preserve"> r. największy </w:t>
                            </w:r>
                            <w:r>
                              <w:rPr>
                                <w:spacing w:val="-3"/>
                              </w:rPr>
                              <w:t>wzrost</w:t>
                            </w:r>
                            <w:r w:rsidRPr="004E0166">
                              <w:rPr>
                                <w:spacing w:val="-3"/>
                              </w:rPr>
                              <w:t xml:space="preserve"> liczby pracujących w stosunku do ostatniego dnia 20</w:t>
                            </w:r>
                            <w:r>
                              <w:rPr>
                                <w:spacing w:val="-3"/>
                              </w:rPr>
                              <w:t>20</w:t>
                            </w:r>
                            <w:r w:rsidRPr="004E0166">
                              <w:rPr>
                                <w:spacing w:val="-3"/>
                              </w:rPr>
                              <w:t xml:space="preserve"> r. zanotowano </w:t>
                            </w:r>
                            <w:r w:rsidR="00606E66">
                              <w:rPr>
                                <w:spacing w:val="-3"/>
                              </w:rPr>
                              <w:br/>
                            </w:r>
                            <w:r w:rsidRPr="004E0166">
                              <w:rPr>
                                <w:spacing w:val="-3"/>
                              </w:rPr>
                              <w:t xml:space="preserve">w </w:t>
                            </w:r>
                            <w:r w:rsidRPr="00D52CD6">
                              <w:rPr>
                                <w:spacing w:val="-3"/>
                              </w:rPr>
                              <w:t>sekcji informacja</w:t>
                            </w:r>
                            <w:r w:rsidR="00606E66">
                              <w:rPr>
                                <w:spacing w:val="-3"/>
                              </w:rPr>
                              <w:t xml:space="preserve"> i komunikacja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94F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ostatnim dniu 2021 r. największy wzrost liczby pracujących w stosunku do ostatniego dnia 2020 r. zanotowano w sekcji informacja i komunikacja" style="position:absolute;margin-left:410.85pt;margin-top:14.85pt;width:138.65pt;height:107.3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" filled="f" stroked="f">
                <v:textbox>
                  <w:txbxContent>
                    <w:p w14:paraId="39785582" w14:textId="77777777" w:rsidR="00A96D40" w:rsidRPr="00003161" w:rsidRDefault="00A96D40" w:rsidP="00A96D40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4E0166">
                        <w:rPr>
                          <w:spacing w:val="-3"/>
                        </w:rPr>
                        <w:t>W ostatnim dniu 202</w:t>
                      </w:r>
                      <w:r>
                        <w:rPr>
                          <w:spacing w:val="-3"/>
                        </w:rPr>
                        <w:t>1</w:t>
                      </w:r>
                      <w:r w:rsidRPr="004E0166">
                        <w:rPr>
                          <w:spacing w:val="-3"/>
                        </w:rPr>
                        <w:t xml:space="preserve"> r. największy </w:t>
                      </w:r>
                      <w:r>
                        <w:rPr>
                          <w:spacing w:val="-3"/>
                        </w:rPr>
                        <w:t>wzrost</w:t>
                      </w:r>
                      <w:r w:rsidRPr="004E0166">
                        <w:rPr>
                          <w:spacing w:val="-3"/>
                        </w:rPr>
                        <w:t xml:space="preserve"> liczby pracujących w stosunku do ostatniego dnia 20</w:t>
                      </w:r>
                      <w:r>
                        <w:rPr>
                          <w:spacing w:val="-3"/>
                        </w:rPr>
                        <w:t>20</w:t>
                      </w:r>
                      <w:r w:rsidRPr="004E0166">
                        <w:rPr>
                          <w:spacing w:val="-3"/>
                        </w:rPr>
                        <w:t xml:space="preserve"> r. zanotowano </w:t>
                      </w:r>
                      <w:r w:rsidR="00606E66">
                        <w:rPr>
                          <w:spacing w:val="-3"/>
                        </w:rPr>
                        <w:br/>
                      </w:r>
                      <w:r w:rsidRPr="004E0166">
                        <w:rPr>
                          <w:spacing w:val="-3"/>
                        </w:rPr>
                        <w:t xml:space="preserve">w </w:t>
                      </w:r>
                      <w:r w:rsidRPr="00D52CD6">
                        <w:rPr>
                          <w:spacing w:val="-3"/>
                        </w:rPr>
                        <w:t>sekcji informacja</w:t>
                      </w:r>
                      <w:r w:rsidR="00606E66">
                        <w:rPr>
                          <w:spacing w:val="-3"/>
                        </w:rPr>
                        <w:t xml:space="preserve"> i komunikacja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6D40" w:rsidRPr="00B73D5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w:t>Pracujący w gospodarce narodowej</w:t>
      </w:r>
    </w:p>
    <w:p w14:paraId="33D65279" w14:textId="033DF666" w:rsidR="00A96D40" w:rsidRPr="00AC17FD" w:rsidRDefault="00A6371F" w:rsidP="00A96D40">
      <w:pPr>
        <w:rPr>
          <w:color w:val="000000"/>
          <w:spacing w:val="-4"/>
        </w:rPr>
      </w:pPr>
      <w:r w:rsidRPr="00AC17FD">
        <w:rPr>
          <w:color w:val="000000"/>
          <w:spacing w:val="-4"/>
        </w:rPr>
        <w:t>Wed</w:t>
      </w:r>
      <w:r w:rsidRPr="00AC17FD">
        <w:rPr>
          <w:rFonts w:hint="eastAsia"/>
          <w:color w:val="000000"/>
          <w:spacing w:val="-4"/>
        </w:rPr>
        <w:t>ł</w:t>
      </w:r>
      <w:r w:rsidRPr="00AC17FD">
        <w:rPr>
          <w:color w:val="000000"/>
          <w:spacing w:val="-4"/>
        </w:rPr>
        <w:t>ug danych wstępnych</w:t>
      </w:r>
      <w:r w:rsidRPr="00AC17FD">
        <w:rPr>
          <w:noProof/>
          <w:spacing w:val="-4"/>
          <w:lang w:eastAsia="pl-PL"/>
        </w:rPr>
        <w:t xml:space="preserve"> </w:t>
      </w:r>
      <w:r>
        <w:rPr>
          <w:noProof/>
          <w:spacing w:val="-4"/>
          <w:lang w:eastAsia="pl-PL"/>
        </w:rPr>
        <w:t>w</w:t>
      </w:r>
      <w:r w:rsidR="00A96D40" w:rsidRPr="00AC17FD">
        <w:rPr>
          <w:noProof/>
          <w:spacing w:val="-4"/>
          <w:lang w:eastAsia="pl-PL"/>
        </w:rPr>
        <w:t xml:space="preserve"> końcu</w:t>
      </w:r>
      <w:r w:rsidR="00A96D40" w:rsidRPr="00AC17FD">
        <w:rPr>
          <w:spacing w:val="-4"/>
        </w:rPr>
        <w:t xml:space="preserve"> </w:t>
      </w:r>
      <w:r w:rsidR="00A96D40" w:rsidRPr="00AC17FD">
        <w:rPr>
          <w:color w:val="000000"/>
          <w:spacing w:val="-4"/>
        </w:rPr>
        <w:t>2021 r. liczba pracujących w gospodarce narodowej w porównaniu do stanu z 31 grudnia 2020 r. zwiększyła się w większości sekcji</w:t>
      </w:r>
      <w:r w:rsidR="00616CFA" w:rsidRPr="00AC17FD">
        <w:rPr>
          <w:color w:val="000000"/>
          <w:spacing w:val="-4"/>
        </w:rPr>
        <w:t xml:space="preserve"> PKD</w:t>
      </w:r>
      <w:r w:rsidR="00A96D40" w:rsidRPr="00AC17FD">
        <w:rPr>
          <w:color w:val="000000"/>
          <w:spacing w:val="-4"/>
        </w:rPr>
        <w:t xml:space="preserve">. </w:t>
      </w:r>
      <w:r>
        <w:rPr>
          <w:color w:val="000000"/>
          <w:spacing w:val="-4"/>
        </w:rPr>
        <w:t>D</w:t>
      </w:r>
      <w:r w:rsidR="00A96D40" w:rsidRPr="00AC17FD">
        <w:rPr>
          <w:color w:val="000000"/>
          <w:spacing w:val="-4"/>
        </w:rPr>
        <w:t>o sekcji o najwi</w:t>
      </w:r>
      <w:r w:rsidR="00A96D40" w:rsidRPr="00AC17FD">
        <w:rPr>
          <w:rFonts w:hint="eastAsia"/>
          <w:color w:val="000000"/>
          <w:spacing w:val="-4"/>
        </w:rPr>
        <w:t>ę</w:t>
      </w:r>
      <w:r w:rsidR="00A96D40" w:rsidRPr="00AC17FD">
        <w:rPr>
          <w:color w:val="000000"/>
          <w:spacing w:val="-4"/>
        </w:rPr>
        <w:t>kszym wzroście liczby pracuj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>cych nale</w:t>
      </w:r>
      <w:r w:rsidR="00A96D40" w:rsidRPr="00AC17FD">
        <w:rPr>
          <w:rFonts w:hint="eastAsia"/>
          <w:color w:val="000000"/>
          <w:spacing w:val="-4"/>
        </w:rPr>
        <w:t>ż</w:t>
      </w:r>
      <w:r w:rsidR="00A96D40" w:rsidRPr="00AC17FD">
        <w:rPr>
          <w:color w:val="000000"/>
          <w:spacing w:val="-4"/>
        </w:rPr>
        <w:t>a</w:t>
      </w:r>
      <w:r w:rsidR="00A96D40" w:rsidRPr="00AC17FD">
        <w:rPr>
          <w:rFonts w:hint="eastAsia"/>
          <w:color w:val="000000"/>
          <w:spacing w:val="-4"/>
        </w:rPr>
        <w:t>ł</w:t>
      </w:r>
      <w:r w:rsidR="00A96D40" w:rsidRPr="00AC17FD">
        <w:rPr>
          <w:color w:val="000000"/>
          <w:spacing w:val="-4"/>
        </w:rPr>
        <w:t>y</w:t>
      </w:r>
      <w:r w:rsidR="00A96D40" w:rsidRPr="00EC35F4">
        <w:rPr>
          <w:color w:val="000000"/>
          <w:spacing w:val="-4"/>
        </w:rPr>
        <w:t xml:space="preserve"> </w:t>
      </w:r>
      <w:r w:rsidR="00A96D40" w:rsidRPr="00AC17FD">
        <w:rPr>
          <w:color w:val="000000"/>
          <w:spacing w:val="-4"/>
        </w:rPr>
        <w:t>informacja i komunikacja (o 7,2%) oraz działalność profesjonalna, naukowa i techniczna (o 3,9%). Względem ostatniego dnia 2020 r. liczba pracuj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>cych zmniejszyła się w czterech sekcjach</w:t>
      </w:r>
      <w:r w:rsidR="00616CFA" w:rsidRPr="00AC17FD">
        <w:rPr>
          <w:color w:val="000000"/>
          <w:spacing w:val="-4"/>
        </w:rPr>
        <w:t>.</w:t>
      </w:r>
      <w:r w:rsidR="00A96D40" w:rsidRPr="00AC17FD">
        <w:rPr>
          <w:color w:val="000000"/>
          <w:spacing w:val="-4"/>
        </w:rPr>
        <w:t xml:space="preserve"> </w:t>
      </w:r>
      <w:r w:rsidR="00616CFA" w:rsidRPr="00AC17FD">
        <w:rPr>
          <w:color w:val="000000"/>
          <w:spacing w:val="-4"/>
        </w:rPr>
        <w:t>N</w:t>
      </w:r>
      <w:r w:rsidR="00A96D40" w:rsidRPr="00AC17FD">
        <w:rPr>
          <w:color w:val="000000"/>
          <w:spacing w:val="-4"/>
        </w:rPr>
        <w:t>ajwi</w:t>
      </w:r>
      <w:r w:rsidR="00A96D40" w:rsidRPr="00AC17FD">
        <w:rPr>
          <w:rFonts w:hint="eastAsia"/>
          <w:color w:val="000000"/>
          <w:spacing w:val="-4"/>
        </w:rPr>
        <w:t>ę</w:t>
      </w:r>
      <w:r w:rsidR="00A96D40" w:rsidRPr="00AC17FD">
        <w:rPr>
          <w:color w:val="000000"/>
          <w:spacing w:val="-4"/>
        </w:rPr>
        <w:t>kszy spadek liczby pracuj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>cych mia</w:t>
      </w:r>
      <w:r w:rsidR="00A96D40" w:rsidRPr="00AC17FD">
        <w:rPr>
          <w:rFonts w:hint="eastAsia"/>
          <w:color w:val="000000"/>
          <w:spacing w:val="-4"/>
        </w:rPr>
        <w:t>ł</w:t>
      </w:r>
      <w:r w:rsidR="00A96D40" w:rsidRPr="00AC17FD">
        <w:rPr>
          <w:color w:val="000000"/>
          <w:spacing w:val="-4"/>
        </w:rPr>
        <w:t xml:space="preserve"> miejsce w sekcji górnictwo i wydobywanie (o 2,6%)</w:t>
      </w:r>
      <w:r w:rsidR="0047009F" w:rsidRPr="00AC17FD">
        <w:rPr>
          <w:color w:val="000000"/>
          <w:spacing w:val="-4"/>
        </w:rPr>
        <w:t xml:space="preserve"> oraz </w:t>
      </w:r>
      <w:r w:rsidR="005D2E4D" w:rsidRPr="00AC17FD">
        <w:rPr>
          <w:color w:val="000000"/>
          <w:spacing w:val="-4"/>
        </w:rPr>
        <w:t xml:space="preserve">w sekcji </w:t>
      </w:r>
      <w:r w:rsidR="0047009F" w:rsidRPr="00AC17FD">
        <w:rPr>
          <w:color w:val="000000"/>
          <w:spacing w:val="-4"/>
        </w:rPr>
        <w:t>działalność finansowa i ubezpieczeniowa (o</w:t>
      </w:r>
      <w:r>
        <w:rPr>
          <w:color w:val="000000"/>
          <w:spacing w:val="-4"/>
        </w:rPr>
        <w:t> </w:t>
      </w:r>
      <w:r w:rsidR="0047009F" w:rsidRPr="00AC17FD">
        <w:rPr>
          <w:color w:val="000000"/>
          <w:spacing w:val="-4"/>
        </w:rPr>
        <w:t>1,8%)</w:t>
      </w:r>
      <w:r w:rsidR="00A96D40" w:rsidRPr="00AC17FD">
        <w:rPr>
          <w:color w:val="000000"/>
          <w:spacing w:val="-4"/>
        </w:rPr>
        <w:t>. W ostatnim dniu 2021 r. najwi</w:t>
      </w:r>
      <w:r w:rsidR="00A96D40" w:rsidRPr="00AC17FD">
        <w:rPr>
          <w:rFonts w:hint="eastAsia"/>
          <w:color w:val="000000"/>
          <w:spacing w:val="-4"/>
        </w:rPr>
        <w:t>ę</w:t>
      </w:r>
      <w:r w:rsidR="00A96D40" w:rsidRPr="00AC17FD">
        <w:rPr>
          <w:color w:val="000000"/>
          <w:spacing w:val="-4"/>
        </w:rPr>
        <w:t>ksz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 xml:space="preserve"> liczb</w:t>
      </w:r>
      <w:r w:rsidR="00A96D40" w:rsidRPr="00AC17FD">
        <w:rPr>
          <w:rFonts w:hint="eastAsia"/>
          <w:color w:val="000000"/>
          <w:spacing w:val="-4"/>
        </w:rPr>
        <w:t>ę</w:t>
      </w:r>
      <w:r w:rsidR="00A96D40" w:rsidRPr="00AC17FD">
        <w:rPr>
          <w:color w:val="000000"/>
          <w:spacing w:val="-4"/>
        </w:rPr>
        <w:t xml:space="preserve"> pracuj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>cych skupia</w:t>
      </w:r>
      <w:r w:rsidR="00A96D40" w:rsidRPr="00AC17FD">
        <w:rPr>
          <w:rFonts w:hint="eastAsia"/>
          <w:color w:val="000000"/>
          <w:spacing w:val="-4"/>
        </w:rPr>
        <w:t>ł</w:t>
      </w:r>
      <w:r w:rsidR="00A96D40" w:rsidRPr="00AC17FD">
        <w:rPr>
          <w:color w:val="000000"/>
          <w:spacing w:val="-4"/>
        </w:rPr>
        <w:t>o nadal przetw</w:t>
      </w:r>
      <w:r w:rsidR="00A96D40" w:rsidRPr="00AC17FD">
        <w:rPr>
          <w:rFonts w:hint="eastAsia"/>
          <w:color w:val="000000"/>
          <w:spacing w:val="-4"/>
        </w:rPr>
        <w:t>ó</w:t>
      </w:r>
      <w:r w:rsidR="00A96D40" w:rsidRPr="00AC17FD">
        <w:rPr>
          <w:color w:val="000000"/>
          <w:spacing w:val="-4"/>
        </w:rPr>
        <w:t>rstwo przemys</w:t>
      </w:r>
      <w:r w:rsidR="00A96D40" w:rsidRPr="00AC17FD">
        <w:rPr>
          <w:rFonts w:hint="eastAsia"/>
          <w:color w:val="000000"/>
          <w:spacing w:val="-4"/>
        </w:rPr>
        <w:t>ł</w:t>
      </w:r>
      <w:r w:rsidR="00A96D40" w:rsidRPr="00AC17FD">
        <w:rPr>
          <w:color w:val="000000"/>
          <w:spacing w:val="-4"/>
        </w:rPr>
        <w:t>owe. Pracuj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>cy w tej sekcji stanowili 18,9% og</w:t>
      </w:r>
      <w:r w:rsidR="00A96D40" w:rsidRPr="00AC17FD">
        <w:rPr>
          <w:rFonts w:hint="eastAsia"/>
          <w:color w:val="000000"/>
          <w:spacing w:val="-4"/>
        </w:rPr>
        <w:t>ół</w:t>
      </w:r>
      <w:r w:rsidR="00A96D40" w:rsidRPr="00AC17FD">
        <w:rPr>
          <w:color w:val="000000"/>
          <w:spacing w:val="-4"/>
        </w:rPr>
        <w:t>u pracuj</w:t>
      </w:r>
      <w:r w:rsidR="00A96D40" w:rsidRPr="00AC17FD">
        <w:rPr>
          <w:rFonts w:hint="eastAsia"/>
          <w:color w:val="000000"/>
          <w:spacing w:val="-4"/>
        </w:rPr>
        <w:t>ą</w:t>
      </w:r>
      <w:r w:rsidR="00A96D40" w:rsidRPr="00AC17FD">
        <w:rPr>
          <w:color w:val="000000"/>
          <w:spacing w:val="-4"/>
        </w:rPr>
        <w:t>cych w gospodarce narodowej.</w:t>
      </w:r>
    </w:p>
    <w:p w14:paraId="4026CD24" w14:textId="77777777" w:rsidR="00A96D40" w:rsidRDefault="00AC17FD" w:rsidP="00A96D40">
      <w:pPr>
        <w:spacing w:before="240"/>
        <w:ind w:left="794" w:hanging="794"/>
        <w:rPr>
          <w:spacing w:val="-2"/>
          <w:sz w:val="18"/>
          <w:szCs w:val="18"/>
        </w:rPr>
      </w:pPr>
      <w:r w:rsidRPr="00AC17FD">
        <w:rPr>
          <w:noProof/>
          <w:color w:val="000000"/>
          <w:spacing w:val="-4"/>
          <w:lang w:eastAsia="pl-PL"/>
        </w:rPr>
        <w:drawing>
          <wp:anchor distT="0" distB="0" distL="114300" distR="114300" simplePos="0" relativeHeight="251780096" behindDoc="0" locked="0" layoutInCell="1" allowOverlap="1" wp14:anchorId="21AAFCF0" wp14:editId="37B64114">
            <wp:simplePos x="0" y="0"/>
            <wp:positionH relativeFrom="margin">
              <wp:align>left</wp:align>
            </wp:positionH>
            <wp:positionV relativeFrom="paragraph">
              <wp:posOffset>408139</wp:posOffset>
            </wp:positionV>
            <wp:extent cx="5040630" cy="4248785"/>
            <wp:effectExtent l="0" t="0" r="7620" b="0"/>
            <wp:wrapSquare wrapText="bothSides"/>
            <wp:docPr id="5" name="Obraz 5" descr="Stan w dniu 31 grudnia&#10;Na wykresie przedstawiono liczbę pracujących w gospodarce narodowej według sekcji PKD w dniu 31 grudnia 2021 r. Dane zaprezentowane na wykresie są danymi wstępnymi. Najwięcej pracujących wystąpiło w sekcji Przetwórstwo przemysłowe, a najmniej w sekcji Wytwarzanie i zaopatrywanie w energię elektryczną, gaz, parę wodną i gorącą wodę∆&#10;Zmiana liczby pracujących w stosunku do 2020 r.&#10;Wykres przedstawia zmianę liczby pracujących w stosunku do ostatniego dnia grudnia 2020 r. Dane zaprezentowane na wykresie są danymi wstępnymi. Największa zmiana liczby pracujących nastąpiła w sekcji Informacja i komunikacja, z kolei najmniejsza w sekcjach Obsługa rynku nieruchomości∆ i Administrowanie i działalność wspierająca∆.&#10;" title="Wykres 1. Pracujący w gospodarce narodowej według sekcji PKD w 2021 r. – dane wstęp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_01_p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241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D40" w:rsidRPr="008067B6">
        <w:rPr>
          <w:b/>
          <w:spacing w:val="-2"/>
          <w:sz w:val="18"/>
          <w:szCs w:val="18"/>
        </w:rPr>
        <w:t xml:space="preserve">Wykres 1. </w:t>
      </w:r>
      <w:r w:rsidR="00A96D40">
        <w:rPr>
          <w:b/>
          <w:spacing w:val="-2"/>
          <w:sz w:val="18"/>
          <w:szCs w:val="18"/>
        </w:rPr>
        <w:t>Pracujący w gospodarce narodowej według sekcji PKD w 2021 r. – dane wstępne</w:t>
      </w:r>
      <w:r w:rsidR="00A96D40" w:rsidRPr="007F7663">
        <w:rPr>
          <w:spacing w:val="-2"/>
          <w:sz w:val="18"/>
          <w:szCs w:val="18"/>
        </w:rPr>
        <w:t xml:space="preserve"> </w:t>
      </w:r>
      <w:r w:rsidR="00A96D40">
        <w:rPr>
          <w:spacing w:val="-2"/>
          <w:sz w:val="18"/>
          <w:szCs w:val="18"/>
        </w:rPr>
        <w:br/>
      </w:r>
      <w:r w:rsidR="00A96D40" w:rsidRPr="00776C75">
        <w:rPr>
          <w:spacing w:val="-2"/>
          <w:sz w:val="18"/>
          <w:szCs w:val="18"/>
        </w:rPr>
        <w:t xml:space="preserve">Stan </w:t>
      </w:r>
      <w:r w:rsidR="00E71C5F">
        <w:rPr>
          <w:spacing w:val="-2"/>
          <w:sz w:val="18"/>
          <w:szCs w:val="18"/>
        </w:rPr>
        <w:t>na</w:t>
      </w:r>
      <w:r w:rsidR="00A96D40" w:rsidRPr="00776C75">
        <w:rPr>
          <w:spacing w:val="-2"/>
          <w:sz w:val="18"/>
          <w:szCs w:val="18"/>
        </w:rPr>
        <w:t xml:space="preserve"> 31 grudnia</w:t>
      </w:r>
    </w:p>
    <w:p w14:paraId="2B98A81C" w14:textId="77777777" w:rsidR="00D53518" w:rsidRPr="003D564E" w:rsidRDefault="00D53518" w:rsidP="00D53518">
      <w:pPr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</w:pPr>
      <w:r w:rsidRPr="003D564E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w:t>Przeciętne zatrudnienie w gospodarce narodowej</w:t>
      </w:r>
    </w:p>
    <w:p w14:paraId="1A75FF55" w14:textId="77777777" w:rsidR="00D53518" w:rsidRPr="00606E66" w:rsidRDefault="00473D03" w:rsidP="00D53518">
      <w:pPr>
        <w:rPr>
          <w:szCs w:val="19"/>
        </w:rPr>
      </w:pPr>
      <w:r w:rsidRPr="00606E6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5EB7774" wp14:editId="15527928">
                <wp:simplePos x="0" y="0"/>
                <wp:positionH relativeFrom="column">
                  <wp:posOffset>5217795</wp:posOffset>
                </wp:positionH>
                <wp:positionV relativeFrom="paragraph">
                  <wp:posOffset>69850</wp:posOffset>
                </wp:positionV>
                <wp:extent cx="1760855" cy="889635"/>
                <wp:effectExtent l="0" t="0" r="0" b="5715"/>
                <wp:wrapTight wrapText="bothSides">
                  <wp:wrapPolygon edited="0">
                    <wp:start x="701" y="0"/>
                    <wp:lineTo x="701" y="21276"/>
                    <wp:lineTo x="20798" y="21276"/>
                    <wp:lineTo x="20798" y="0"/>
                    <wp:lineTo x="701" y="0"/>
                  </wp:wrapPolygon>
                </wp:wrapTight>
                <wp:docPr id="3" name="Pole tekstowe 3" descr="Przeciętne zatrudnienie uwzględnia pracowników pełnozatrudnionych oraz niepełnozatrudnionych w przeliczeniu na pełne eta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8E50B" w14:textId="77777777" w:rsidR="00D53518" w:rsidRPr="00003161" w:rsidRDefault="00D53518" w:rsidP="00D53518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003161">
                              <w:rPr>
                                <w:spacing w:val="-3"/>
                              </w:rPr>
                              <w:t>Przeciętne zatrudnienie uwzględnia pracowników pełnozatrudnionych oraz niepełnozatrudnionych w przeliczeniu na pełne etaty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7774" id="Pole tekstowe 3" o:spid="_x0000_s1028" type="#_x0000_t202" alt="Przeciętne zatrudnienie uwzględnia pracowników pełnozatrudnionych oraz niepełnozatrudnionych w przeliczeniu na pełne etaty" style="position:absolute;margin-left:410.85pt;margin-top:5.5pt;width:138.65pt;height:70.0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" filled="f" stroked="f">
                <v:textbox>
                  <w:txbxContent>
                    <w:p w14:paraId="2178E50B" w14:textId="77777777" w:rsidR="00D53518" w:rsidRPr="00003161" w:rsidRDefault="00D53518" w:rsidP="00D53518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003161">
                        <w:rPr>
                          <w:spacing w:val="-3"/>
                        </w:rPr>
                        <w:t>Przeciętne zatrudnienie uwzględnia pracowników pełnozatrudnionych oraz niepełnozatrudnionych w przeliczeniu na pełne etaty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3518" w:rsidRPr="00606E66">
        <w:rPr>
          <w:szCs w:val="19"/>
        </w:rPr>
        <w:t xml:space="preserve">W 2021 r. </w:t>
      </w:r>
      <w:r w:rsidR="00A6371F" w:rsidRPr="00606E66">
        <w:rPr>
          <w:szCs w:val="19"/>
        </w:rPr>
        <w:t xml:space="preserve">według danych wstępnych </w:t>
      </w:r>
      <w:r w:rsidR="00D53518" w:rsidRPr="00606E66">
        <w:rPr>
          <w:szCs w:val="19"/>
        </w:rPr>
        <w:t>przeciętne zatrudnienie w gospodarce narodowej</w:t>
      </w:r>
      <w:r w:rsidR="00D53518" w:rsidRPr="00606E66">
        <w:rPr>
          <w:rStyle w:val="Odwoanieprzypisudolnego"/>
          <w:szCs w:val="19"/>
        </w:rPr>
        <w:footnoteReference w:id="2"/>
      </w:r>
      <w:r w:rsidR="00D53518" w:rsidRPr="00606E66">
        <w:rPr>
          <w:szCs w:val="19"/>
        </w:rPr>
        <w:t xml:space="preserve"> w Polsce wyniosło 10,8 mln etatów. Było to więcej o 1,4% w stosunku do poprzedniego roku. </w:t>
      </w:r>
    </w:p>
    <w:p w14:paraId="3BD12C75" w14:textId="23ADF49E" w:rsidR="00D53518" w:rsidRPr="00606E66" w:rsidRDefault="00D53518" w:rsidP="00D53518">
      <w:pPr>
        <w:rPr>
          <w:szCs w:val="19"/>
        </w:rPr>
      </w:pPr>
      <w:r w:rsidRPr="00606E66">
        <w:rPr>
          <w:szCs w:val="19"/>
        </w:rPr>
        <w:t>W analizowanym okresie przeciętne zatrudnienie zmniejszyło się w sześciu sekcjach, najwyższy spadek</w:t>
      </w:r>
      <w:r w:rsidR="00CF3097" w:rsidRPr="00606E66">
        <w:rPr>
          <w:szCs w:val="19"/>
        </w:rPr>
        <w:t xml:space="preserve"> odnotowano w sekcjach w</w:t>
      </w:r>
      <w:r w:rsidRPr="00606E66">
        <w:rPr>
          <w:szCs w:val="19"/>
        </w:rPr>
        <w:t>ytwarzanie i zaopatrywanie w energię elektryczną, gaz, parę i gorącą wodę</w:t>
      </w:r>
      <w:r w:rsidRPr="00606E66">
        <w:rPr>
          <w:szCs w:val="19"/>
          <w:vertAlign w:val="superscript"/>
        </w:rPr>
        <w:t>∆</w:t>
      </w:r>
      <w:r w:rsidRPr="00606E66">
        <w:rPr>
          <w:szCs w:val="19"/>
        </w:rPr>
        <w:t xml:space="preserve"> (o 2,4%) oraz </w:t>
      </w:r>
      <w:r w:rsidR="00CF3097" w:rsidRPr="00606E66">
        <w:rPr>
          <w:szCs w:val="19"/>
        </w:rPr>
        <w:t>g</w:t>
      </w:r>
      <w:r w:rsidRPr="00606E66">
        <w:rPr>
          <w:szCs w:val="19"/>
        </w:rPr>
        <w:t>órnictwo i wydobywanie (o</w:t>
      </w:r>
      <w:r w:rsidR="00B73D52">
        <w:rPr>
          <w:szCs w:val="19"/>
        </w:rPr>
        <w:t> </w:t>
      </w:r>
      <w:r w:rsidRPr="00606E66">
        <w:rPr>
          <w:szCs w:val="19"/>
        </w:rPr>
        <w:t xml:space="preserve">2,2%). </w:t>
      </w:r>
    </w:p>
    <w:p w14:paraId="62A35068" w14:textId="4D307E52" w:rsidR="00D53518" w:rsidRPr="00606E66" w:rsidRDefault="00D53518" w:rsidP="00D53518">
      <w:pPr>
        <w:rPr>
          <w:szCs w:val="19"/>
        </w:rPr>
      </w:pPr>
      <w:r w:rsidRPr="00606E66">
        <w:rPr>
          <w:szCs w:val="19"/>
        </w:rPr>
        <w:t xml:space="preserve">W stosunku do 2020 r. przeciętne zatrudnienie najbardziej wzrosło w sekcjach </w:t>
      </w:r>
      <w:r w:rsidR="00CF3097" w:rsidRPr="00606E66">
        <w:rPr>
          <w:szCs w:val="19"/>
        </w:rPr>
        <w:t>i</w:t>
      </w:r>
      <w:r w:rsidRPr="00606E66">
        <w:rPr>
          <w:szCs w:val="19"/>
        </w:rPr>
        <w:t>nformacja i</w:t>
      </w:r>
      <w:r w:rsidR="00B73D52">
        <w:rPr>
          <w:szCs w:val="19"/>
        </w:rPr>
        <w:t> </w:t>
      </w:r>
      <w:r w:rsidRPr="00606E66">
        <w:rPr>
          <w:szCs w:val="19"/>
        </w:rPr>
        <w:t>komunikacja (o 6,7</w:t>
      </w:r>
      <w:r w:rsidR="00CF3097" w:rsidRPr="00606E66">
        <w:rPr>
          <w:szCs w:val="19"/>
        </w:rPr>
        <w:t>%) oraz t</w:t>
      </w:r>
      <w:r w:rsidRPr="00606E66">
        <w:rPr>
          <w:szCs w:val="19"/>
        </w:rPr>
        <w:t>ransport i gospodarka magazynowa (o 3,1%).</w:t>
      </w:r>
    </w:p>
    <w:p w14:paraId="2E507FB2" w14:textId="77777777" w:rsidR="00A96D40" w:rsidRDefault="00606E66" w:rsidP="00B73D52">
      <w:pPr>
        <w:spacing w:before="360"/>
        <w:ind w:left="822" w:hanging="822"/>
        <w:rPr>
          <w:b/>
          <w:color w:val="000000"/>
          <w:sz w:val="18"/>
          <w:szCs w:val="18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drawing>
          <wp:anchor distT="0" distB="0" distL="114300" distR="114300" simplePos="0" relativeHeight="251781120" behindDoc="0" locked="0" layoutInCell="1" allowOverlap="1" wp14:anchorId="17FEA91C" wp14:editId="1FAA45C8">
            <wp:simplePos x="0" y="0"/>
            <wp:positionH relativeFrom="margin">
              <wp:align>left</wp:align>
            </wp:positionH>
            <wp:positionV relativeFrom="paragraph">
              <wp:posOffset>509822</wp:posOffset>
            </wp:positionV>
            <wp:extent cx="5041265" cy="4431665"/>
            <wp:effectExtent l="0" t="0" r="6985" b="6985"/>
            <wp:wrapSquare wrapText="bothSides"/>
            <wp:docPr id="7" name="Obraz 7" descr="Na wykresie przedstawiono przeciętne zatrudnienie w gospodarce narodowej według sekcji PKD w etatach. Dane zaprezentowane na wykresie są danymi wstępnymi. Najwyższe przeciętne zatrudnienie wystąpiło w sekcji Przetwórstwo przemysłowe, natomiast najniższe w sekcji Wytwarzanie i zaopatrywanie w energię elektryczną, gaz, parę wodną i gorącą wodę∆.&#10;Zmiana przeciętnego zatrudnienia w stosunku do 2020 r.&#10;Wykres przedstawia zmianę przeciętnego zatrudnienia w stosunku do 2020 r. Dane zaprezentowane na wykresie są danymi wstępnymi. Najwyższa zmiana w przeciętnym zatrudnieniu wystąpiła w sekcji Informacja i komunikacja, z kolei najniższa w sekcji Zakwaterowanie i gastronomia∆." title="Wykres 2. Przeciętne zatrudnienie w gospodarce narodowej według sekcji PKD w 2021 r. – dane wstęp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ykres_02_p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443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D40" w:rsidRPr="00786B31">
        <w:rPr>
          <w:b/>
          <w:color w:val="000000"/>
          <w:sz w:val="18"/>
        </w:rPr>
        <w:t xml:space="preserve">Wykres 2. Przeciętne zatrudnienie w gospodarce narodowej </w:t>
      </w:r>
      <w:r w:rsidR="00A96D40">
        <w:rPr>
          <w:b/>
          <w:color w:val="000000"/>
          <w:sz w:val="18"/>
        </w:rPr>
        <w:t xml:space="preserve">według sekcji PKD </w:t>
      </w:r>
      <w:r w:rsidR="00A96D40">
        <w:rPr>
          <w:b/>
          <w:color w:val="000000"/>
          <w:sz w:val="18"/>
          <w:szCs w:val="18"/>
        </w:rPr>
        <w:t>w 202</w:t>
      </w:r>
      <w:r w:rsidR="00CF3097">
        <w:rPr>
          <w:b/>
          <w:color w:val="000000"/>
          <w:sz w:val="18"/>
          <w:szCs w:val="18"/>
        </w:rPr>
        <w:t>1</w:t>
      </w:r>
      <w:r w:rsidR="00A96D40" w:rsidRPr="00786B31">
        <w:rPr>
          <w:b/>
          <w:color w:val="000000"/>
          <w:sz w:val="18"/>
          <w:szCs w:val="18"/>
        </w:rPr>
        <w:t xml:space="preserve"> r. – dane </w:t>
      </w:r>
      <w:r w:rsidR="00A96D40">
        <w:rPr>
          <w:b/>
          <w:color w:val="000000"/>
          <w:sz w:val="18"/>
          <w:szCs w:val="18"/>
        </w:rPr>
        <w:t>wstępne</w:t>
      </w:r>
    </w:p>
    <w:p w14:paraId="613FA84D" w14:textId="77777777" w:rsidR="00D53518" w:rsidRPr="00132C82" w:rsidRDefault="00D53518" w:rsidP="00606E66">
      <w:pPr>
        <w:spacing w:before="360"/>
        <w:rPr>
          <w:b/>
        </w:rPr>
      </w:pPr>
      <w:r w:rsidRPr="0090365E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eastAsia="pl-PL"/>
        </w:rPr>
        <w:t>Przeciętne miesięczne wynagrodzenie brutto w gospodarce narodowej</w:t>
      </w:r>
    </w:p>
    <w:p w14:paraId="62288D9A" w14:textId="77777777" w:rsidR="00D53518" w:rsidRPr="00A808F0" w:rsidRDefault="00D53518" w:rsidP="00D53518">
      <w:r w:rsidRPr="00A808F0">
        <w:t>Według danych wstępnych prze</w:t>
      </w:r>
      <w:r>
        <w:t xml:space="preserve">ciętne miesięczne wynagrodzenie </w:t>
      </w:r>
      <w:r w:rsidRPr="00A808F0">
        <w:t>brutto w gospodarce narodowej w Polsce w 2021 r. wyniosło 5662,53 zł. W porównaniu z 2020 r. wzrosło ono o 8,4%</w:t>
      </w:r>
      <w:r>
        <w:t xml:space="preserve"> w</w:t>
      </w:r>
      <w:r w:rsidR="00B73D52">
        <w:t> </w:t>
      </w:r>
      <w:r>
        <w:t>ujęciu nominalnym</w:t>
      </w:r>
      <w:r w:rsidRPr="00A808F0">
        <w:t>.</w:t>
      </w:r>
      <w:r>
        <w:t xml:space="preserve"> </w:t>
      </w:r>
      <w:r w:rsidRPr="00A808F0">
        <w:t xml:space="preserve">Jest to </w:t>
      </w:r>
      <w:r w:rsidR="00616CFA" w:rsidRPr="00616CFA">
        <w:t xml:space="preserve">wzrost </w:t>
      </w:r>
      <w:r w:rsidR="00616CFA">
        <w:t xml:space="preserve">większy </w:t>
      </w:r>
      <w:r w:rsidRPr="00A808F0">
        <w:t>niż notowany w 2020 r.</w:t>
      </w:r>
      <w:r w:rsidR="00606E66">
        <w:t xml:space="preserve"> </w:t>
      </w:r>
      <w:r w:rsidRPr="00A808F0">
        <w:t xml:space="preserve">w porównaniu z 2019 r. </w:t>
      </w:r>
      <w:r w:rsidR="00606E66">
        <w:t>–</w:t>
      </w:r>
      <w:r w:rsidR="00B73D52">
        <w:t> </w:t>
      </w:r>
      <w:r w:rsidRPr="00A808F0">
        <w:t>przeciętne miesięczne wynagrodzenie brutto wzrosło</w:t>
      </w:r>
      <w:r w:rsidR="00A6371F">
        <w:t xml:space="preserve"> wówczas</w:t>
      </w:r>
      <w:r w:rsidRPr="00A808F0">
        <w:t xml:space="preserve"> o 6,2%. Przeciętne miesięczne wynagrodzenie brutto </w:t>
      </w:r>
      <w:r w:rsidR="00042EEB" w:rsidRPr="00042EEB">
        <w:t xml:space="preserve">według sekcji PKD </w:t>
      </w:r>
      <w:r w:rsidRPr="00A808F0">
        <w:t xml:space="preserve">pozostało </w:t>
      </w:r>
      <w:r w:rsidR="00042EEB">
        <w:t xml:space="preserve">nadal </w:t>
      </w:r>
      <w:r w:rsidRPr="00A808F0">
        <w:t>zróżnicowane. W 2021 r. wah</w:t>
      </w:r>
      <w:r w:rsidR="00CF3097">
        <w:t>ało się od 3593,79 zł w sekcji z</w:t>
      </w:r>
      <w:r w:rsidRPr="00A808F0">
        <w:t>akwaterowanie i gastronomia</w:t>
      </w:r>
      <w:r w:rsidRPr="00A808F0">
        <w:rPr>
          <w:vertAlign w:val="superscript"/>
        </w:rPr>
        <w:t>∆</w:t>
      </w:r>
      <w:r w:rsidR="00CF3097">
        <w:t xml:space="preserve"> do 9851,26 zł w sekcji i</w:t>
      </w:r>
      <w:r w:rsidRPr="00A808F0">
        <w:t xml:space="preserve">nformacja i komunikacja. Było to odpowiednio o 36,5% mniej i o 74,0% więcej od przeciętnego miesięcznego wynagrodzenia brutto w Polsce. </w:t>
      </w:r>
    </w:p>
    <w:p w14:paraId="48CD41E8" w14:textId="77777777" w:rsidR="00606E66" w:rsidRDefault="00606E66">
      <w:pPr>
        <w:spacing w:before="0" w:after="160" w:line="259" w:lineRule="auto"/>
        <w:rPr>
          <w:b/>
          <w:sz w:val="18"/>
        </w:rPr>
      </w:pPr>
      <w:r>
        <w:rPr>
          <w:b/>
          <w:sz w:val="18"/>
        </w:rPr>
        <w:br w:type="page"/>
      </w:r>
    </w:p>
    <w:p w14:paraId="05664FE1" w14:textId="77777777" w:rsidR="00A96D40" w:rsidRDefault="00606E66" w:rsidP="00606E66">
      <w:pPr>
        <w:spacing w:before="360"/>
        <w:ind w:left="822" w:hanging="822"/>
        <w:rPr>
          <w:b/>
          <w:sz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82144" behindDoc="0" locked="0" layoutInCell="1" allowOverlap="1" wp14:anchorId="56185B93" wp14:editId="28A2BA08">
            <wp:simplePos x="0" y="0"/>
            <wp:positionH relativeFrom="margin">
              <wp:align>left</wp:align>
            </wp:positionH>
            <wp:positionV relativeFrom="paragraph">
              <wp:posOffset>389614</wp:posOffset>
            </wp:positionV>
            <wp:extent cx="5041265" cy="4321810"/>
            <wp:effectExtent l="0" t="0" r="6985" b="2540"/>
            <wp:wrapSquare wrapText="bothSides"/>
            <wp:docPr id="13" name="Obraz 13" descr="Na wykresie przedstawiono przeciętne miesięczne wynagrodzenia brutto w gospodarce narodowej według sekcji PKD w tys. zł. Dane zaprezentowane na wykresie są danymi wstępnymi. Największą wartość przeciętnego miesięcznego wynagrodzenia brutto odnotowano w sekcji Informacja i komunikacja, natomiast najmniejszą w sekcji Zakwaterowanie i gastronomia∆.&#10;Zmiana przeciętnych miesięcznych wynagrodzeń nominalnych brutto w stosunku do 2020 r.&#10;Wykres przedstawia zmianę przeciętnych miesięcznych wynagrodzeń nominalnych brutto w stosunku do 2020 r. Dane zaprezentowane na wykresie są danymi wstępnymi. Największy wzrost przeciętnego miesięcznego wynagrodzenia brutto wystąpił w sekcji Opieka zdrowotna i pomoc społeczna, natomiast najmniejszy w sekcji Wytwarzanie i zaopatrywanie w energię elektryczną, gaz, parę wodną i gorącą wodę∆." title="Wykres 3. Przeciętne miesięczne wynagrodzenia brutto w gospodarce narodowej według sekcji PKD w 2021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_03_p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4322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D40" w:rsidRPr="00786B31">
        <w:rPr>
          <w:b/>
          <w:sz w:val="18"/>
        </w:rPr>
        <w:t xml:space="preserve">Wykres 3. </w:t>
      </w:r>
      <w:r w:rsidR="00330F62" w:rsidRPr="00330F62">
        <w:rPr>
          <w:b/>
          <w:sz w:val="18"/>
        </w:rPr>
        <w:t>Przeciętne miesięczne wynagrodzenia brutto w gospodarce narodowej według sekcji PKD w 2021 r.</w:t>
      </w:r>
    </w:p>
    <w:p w14:paraId="4113221C" w14:textId="77777777" w:rsidR="00D53518" w:rsidRPr="00A808F0" w:rsidRDefault="00D53518" w:rsidP="00606E66">
      <w:pPr>
        <w:spacing w:before="360"/>
      </w:pPr>
      <w:r w:rsidRPr="00A808F0">
        <w:t xml:space="preserve">We wszystkich sekcjach PKD w stosunku do 2020 r. zanotowano wzrost przeciętnego miesięcznego wynagrodzenia </w:t>
      </w:r>
      <w:r>
        <w:t xml:space="preserve">nominalnego </w:t>
      </w:r>
      <w:r w:rsidRPr="00A808F0">
        <w:t>brutto. Wzros</w:t>
      </w:r>
      <w:r w:rsidR="00CF3097">
        <w:t>t ten wyniósł od 5,1% w sekcji w</w:t>
      </w:r>
      <w:r w:rsidRPr="00A808F0">
        <w:t>ytwarzanie i zaopatrywanie w energię elektryczną, gaz</w:t>
      </w:r>
      <w:r>
        <w:t>, parę wodną i gorącą wodę</w:t>
      </w:r>
      <w:r w:rsidRPr="005502AC">
        <w:rPr>
          <w:vertAlign w:val="superscript"/>
        </w:rPr>
        <w:t>∆</w:t>
      </w:r>
      <w:r>
        <w:t xml:space="preserve"> do 16,8</w:t>
      </w:r>
      <w:r w:rsidR="00CF3097">
        <w:t>% w</w:t>
      </w:r>
      <w:r w:rsidR="00B73D52">
        <w:t> </w:t>
      </w:r>
      <w:r w:rsidR="00CF3097">
        <w:t xml:space="preserve"> sekcji o</w:t>
      </w:r>
      <w:r w:rsidRPr="00A808F0">
        <w:t>pieka zdrowotna i pomoc społeczna.</w:t>
      </w:r>
    </w:p>
    <w:p w14:paraId="16106EEE" w14:textId="77777777" w:rsidR="00D53518" w:rsidRPr="00606E66" w:rsidRDefault="00473D03" w:rsidP="00606E66">
      <w:pPr>
        <w:spacing w:before="360"/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</w:pPr>
      <w:r w:rsidRPr="00606E66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774403A9" wp14:editId="074D5B3E">
                <wp:simplePos x="0" y="0"/>
                <wp:positionH relativeFrom="page">
                  <wp:posOffset>5674553</wp:posOffset>
                </wp:positionH>
                <wp:positionV relativeFrom="paragraph">
                  <wp:posOffset>228600</wp:posOffset>
                </wp:positionV>
                <wp:extent cx="1628775" cy="1133475"/>
                <wp:effectExtent l="0" t="0" r="0" b="0"/>
                <wp:wrapTight wrapText="bothSides">
                  <wp:wrapPolygon edited="0">
                    <wp:start x="758" y="0"/>
                    <wp:lineTo x="758" y="21055"/>
                    <wp:lineTo x="20716" y="21055"/>
                    <wp:lineTo x="20716" y="0"/>
                    <wp:lineTo x="758" y="0"/>
                  </wp:wrapPolygon>
                </wp:wrapTight>
                <wp:docPr id="4" name="Pole tekstowe 4" descr="W 2021 r. w stosunku do 2020 r. przeciętne miesięczne wynagrodzenie nominalne brutto w gospodarce narodowej wzrosło o 8,4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D770" w14:textId="77777777" w:rsidR="00D53518" w:rsidRPr="004E768B" w:rsidRDefault="00D53518" w:rsidP="00D53518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4E768B">
                              <w:rPr>
                                <w:spacing w:val="-3"/>
                              </w:rPr>
                              <w:t xml:space="preserve">W 2021 r. w stosunku </w:t>
                            </w:r>
                            <w:r w:rsidRPr="004E768B">
                              <w:rPr>
                                <w:spacing w:val="-3"/>
                              </w:rPr>
                              <w:br/>
                              <w:t xml:space="preserve">do 2020 r. przeciętne </w:t>
                            </w:r>
                            <w:r w:rsidRPr="004E768B">
                              <w:rPr>
                                <w:spacing w:val="-3"/>
                              </w:rPr>
                              <w:br/>
                              <w:t>miesięczne wynagrodzenie</w:t>
                            </w:r>
                            <w:r w:rsidR="004E768B" w:rsidRPr="004E768B">
                              <w:rPr>
                                <w:spacing w:val="-3"/>
                              </w:rPr>
                              <w:t xml:space="preserve"> nominalne </w:t>
                            </w:r>
                            <w:r w:rsidRPr="004E768B">
                              <w:rPr>
                                <w:spacing w:val="-3"/>
                              </w:rPr>
                              <w:t>brutto w gospodarce naro</w:t>
                            </w:r>
                            <w:r w:rsidR="004E768B" w:rsidRPr="004E768B">
                              <w:rPr>
                                <w:spacing w:val="-3"/>
                              </w:rPr>
                              <w:t>dowej wzrosło</w:t>
                            </w:r>
                            <w:r w:rsidR="009003C8" w:rsidRPr="004E768B">
                              <w:rPr>
                                <w:spacing w:val="-3"/>
                              </w:rPr>
                              <w:t xml:space="preserve"> </w:t>
                            </w:r>
                            <w:r w:rsidR="00606E66">
                              <w:rPr>
                                <w:spacing w:val="-3"/>
                              </w:rPr>
                              <w:br/>
                            </w:r>
                            <w:r w:rsidRPr="004E768B">
                              <w:rPr>
                                <w:spacing w:val="-3"/>
                              </w:rPr>
                              <w:t>o 8,4%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03A9" id="Pole tekstowe 4" o:spid="_x0000_s1029" type="#_x0000_t202" alt="W 2021 r. w stosunku do 2020 r. przeciętne miesięczne wynagrodzenie nominalne brutto w gospodarce narodowej wzrosło o 8,4%&#10;" style="position:absolute;margin-left:446.8pt;margin-top:18pt;width:128.25pt;height:8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" filled="f" stroked="f">
                <v:textbox>
                  <w:txbxContent>
                    <w:p w14:paraId="745FD770" w14:textId="77777777" w:rsidR="00D53518" w:rsidRPr="004E768B" w:rsidRDefault="00D53518" w:rsidP="00D53518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4E768B">
                        <w:rPr>
                          <w:spacing w:val="-3"/>
                        </w:rPr>
                        <w:t xml:space="preserve">W 2021 r. w stosunku </w:t>
                      </w:r>
                      <w:r w:rsidRPr="004E768B">
                        <w:rPr>
                          <w:spacing w:val="-3"/>
                        </w:rPr>
                        <w:br/>
                        <w:t xml:space="preserve">do 2020 r. przeciętne </w:t>
                      </w:r>
                      <w:r w:rsidRPr="004E768B">
                        <w:rPr>
                          <w:spacing w:val="-3"/>
                        </w:rPr>
                        <w:br/>
                        <w:t>miesięczne wynagrodzenie</w:t>
                      </w:r>
                      <w:r w:rsidR="004E768B" w:rsidRPr="004E768B">
                        <w:rPr>
                          <w:spacing w:val="-3"/>
                        </w:rPr>
                        <w:t xml:space="preserve"> nominalne </w:t>
                      </w:r>
                      <w:r w:rsidRPr="004E768B">
                        <w:rPr>
                          <w:spacing w:val="-3"/>
                        </w:rPr>
                        <w:t>brutto w gospodarce naro</w:t>
                      </w:r>
                      <w:r w:rsidR="004E768B" w:rsidRPr="004E768B">
                        <w:rPr>
                          <w:spacing w:val="-3"/>
                        </w:rPr>
                        <w:t>dowej wzrosło</w:t>
                      </w:r>
                      <w:r w:rsidR="009003C8" w:rsidRPr="004E768B">
                        <w:rPr>
                          <w:spacing w:val="-3"/>
                        </w:rPr>
                        <w:t xml:space="preserve"> </w:t>
                      </w:r>
                      <w:r w:rsidR="00606E66">
                        <w:rPr>
                          <w:spacing w:val="-3"/>
                        </w:rPr>
                        <w:br/>
                      </w:r>
                      <w:r w:rsidRPr="004E768B">
                        <w:rPr>
                          <w:spacing w:val="-3"/>
                        </w:rPr>
                        <w:t>o 8,4%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53518" w:rsidRPr="00606E66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w:t>Minimalne wynagrodzenie brutto</w:t>
      </w:r>
    </w:p>
    <w:p w14:paraId="0F7C6360" w14:textId="77777777" w:rsidR="00A96D40" w:rsidRPr="00473D03" w:rsidRDefault="00D53518" w:rsidP="00B73D52">
      <w:pPr>
        <w:rPr>
          <w:shd w:val="clear" w:color="auto" w:fill="FFFFFF"/>
        </w:rPr>
      </w:pPr>
      <w:r w:rsidRPr="00A808F0">
        <w:t>W 2021 r. minimalne wynagrodzenie brutto wzrosło w stosunku do 2020 r. o 200,00 zł i wyniosło 2800,00 zł. Po podwyższeniu stanowiło ono 50</w:t>
      </w:r>
      <w:r w:rsidR="00B64034">
        <w:t>,0</w:t>
      </w:r>
      <w:r w:rsidRPr="00A808F0">
        <w:t>% przeciętnego miesięcznego wynagrodzenia brutto w gospodarce narodowej bez wypłat nagród rocznych</w:t>
      </w:r>
      <w:r w:rsidRPr="00A808F0">
        <w:rPr>
          <w:rStyle w:val="Odwoanieprzypisudolnego"/>
        </w:rPr>
        <w:footnoteReference w:id="3"/>
      </w:r>
      <w:r>
        <w:t xml:space="preserve"> </w:t>
      </w:r>
      <w:r w:rsidRPr="00A808F0">
        <w:t>w 2021 r. W grudniu 2021</w:t>
      </w:r>
      <w:r w:rsidR="00B73D52">
        <w:t> </w:t>
      </w:r>
      <w:r w:rsidRPr="00A808F0">
        <w:t>r. wynagrodzenie, które było równe lub niższe niż minimalne wynagrodzenie brutto pobierało 461,5 tys. zatrudnionych osób</w:t>
      </w:r>
      <w:r w:rsidRPr="00A808F0">
        <w:rPr>
          <w:rStyle w:val="Odwoanieprzypisudolnego"/>
        </w:rPr>
        <w:footnoteReference w:id="4"/>
      </w:r>
      <w:r w:rsidRPr="00A808F0">
        <w:t>. Było to o 4,5% mniej niż przed rokiem.</w:t>
      </w:r>
    </w:p>
    <w:p w14:paraId="31FD1538" w14:textId="77777777" w:rsidR="00965243" w:rsidRPr="00606E66" w:rsidRDefault="00965243" w:rsidP="00B73D52">
      <w:pPr>
        <w:spacing w:before="840"/>
        <w:rPr>
          <w:szCs w:val="19"/>
          <w:shd w:val="clear" w:color="auto" w:fill="FFFFFF"/>
        </w:rPr>
      </w:pPr>
      <w:r w:rsidRPr="00606E66">
        <w:rPr>
          <w:szCs w:val="19"/>
          <w:shd w:val="clear" w:color="auto" w:fill="FFFFFF"/>
        </w:rPr>
        <w:t xml:space="preserve">Znak (∆)  — oznacza, że nazwy zostały skrócone w stosunku do obowiązującej klasyfikacji; ich pełne nazwy dostępne są na stronie GUS pod adresem: </w:t>
      </w:r>
      <w:hyperlink r:id="rId13" w:history="1">
        <w:r w:rsidRPr="00606E66">
          <w:rPr>
            <w:rStyle w:val="Hipercze"/>
            <w:rFonts w:cstheme="minorBidi"/>
            <w:szCs w:val="19"/>
            <w:shd w:val="clear" w:color="auto" w:fill="FFFFFF"/>
          </w:rPr>
          <w:t>http://stat.gov.pl/Klasyfikacje/.</w:t>
        </w:r>
      </w:hyperlink>
    </w:p>
    <w:p w14:paraId="5523D9C9" w14:textId="77777777" w:rsidR="00DA331D" w:rsidRPr="00473D03" w:rsidRDefault="00965243" w:rsidP="00B73D52">
      <w:pPr>
        <w:spacing w:before="360"/>
        <w:rPr>
          <w:shd w:val="clear" w:color="auto" w:fill="FFFFFF"/>
        </w:rPr>
        <w:sectPr w:rsidR="00DA331D" w:rsidRPr="00473D03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473D03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 w:rsidR="00C63A8A">
        <w:rPr>
          <w:shd w:val="clear" w:color="auto" w:fill="FFFFFF"/>
        </w:rPr>
        <w:t>wania obliczeń dokonanych na da</w:t>
      </w:r>
      <w:r w:rsidRPr="00473D03">
        <w:rPr>
          <w:shd w:val="clear" w:color="auto" w:fill="FFFFFF"/>
        </w:rPr>
        <w:t>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6899B465" w14:textId="77777777" w:rsidTr="00BA2BA7">
        <w:trPr>
          <w:trHeight w:val="1626"/>
        </w:trPr>
        <w:tc>
          <w:tcPr>
            <w:tcW w:w="4926" w:type="dxa"/>
          </w:tcPr>
          <w:p w14:paraId="5B66E90E" w14:textId="77777777" w:rsidR="00DE2400" w:rsidRPr="005A6C9B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5A6C9B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1607B3A7" w14:textId="77777777" w:rsidR="00965243" w:rsidRPr="005A6C9B" w:rsidRDefault="00965243" w:rsidP="00A4110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5A6C9B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4083C0EB" w14:textId="77777777" w:rsidR="00DE2400" w:rsidRPr="005A6C9B" w:rsidRDefault="00DE2400" w:rsidP="00A41108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5A6C9B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965243" w:rsidRPr="005A6C9B"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198CDA81" w14:textId="77777777" w:rsidR="00DE2400" w:rsidRPr="00AB24E4" w:rsidRDefault="00DE2400" w:rsidP="009652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A6C9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65243" w:rsidRPr="005A6C9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52 366 93 90</w:t>
            </w:r>
          </w:p>
        </w:tc>
        <w:tc>
          <w:tcPr>
            <w:tcW w:w="4927" w:type="dxa"/>
          </w:tcPr>
          <w:p w14:paraId="4BA7464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6B3EF8B6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9D85ACC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C20278A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3E76F6" w14:paraId="50EA78BF" w14:textId="77777777" w:rsidTr="00BA2BA7">
        <w:trPr>
          <w:trHeight w:val="418"/>
        </w:trPr>
        <w:tc>
          <w:tcPr>
            <w:tcW w:w="4926" w:type="dxa"/>
            <w:vMerge w:val="restart"/>
          </w:tcPr>
          <w:p w14:paraId="6BAA69AB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3A4C34E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2E53650" w14:textId="77777777" w:rsidR="003E76F6" w:rsidRPr="00F05FC7" w:rsidRDefault="003E76F6" w:rsidP="00473D0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="00473D03" w:rsidRPr="00AC17FD">
                <w:rPr>
                  <w:rStyle w:val="Hipercze"/>
                  <w:rFonts w:cstheme="minorBidi"/>
                  <w:color w:val="001D77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E6196F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3DB1FBEA" wp14:editId="701A28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3E76F6" w14:paraId="142C792F" w14:textId="77777777" w:rsidTr="00BA2BA7">
        <w:trPr>
          <w:trHeight w:val="418"/>
        </w:trPr>
        <w:tc>
          <w:tcPr>
            <w:tcW w:w="4926" w:type="dxa"/>
            <w:vMerge/>
          </w:tcPr>
          <w:p w14:paraId="4E27157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C70885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368372CE" wp14:editId="6BD80E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765E655D" w14:textId="77777777" w:rsidTr="00BA2BA7">
        <w:trPr>
          <w:trHeight w:val="476"/>
        </w:trPr>
        <w:tc>
          <w:tcPr>
            <w:tcW w:w="4926" w:type="dxa"/>
            <w:vMerge/>
          </w:tcPr>
          <w:p w14:paraId="0931BD4B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37A915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5AAEFB70" wp14:editId="05F0D13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7B04741D" w14:textId="77777777" w:rsidTr="00BA2BA7">
        <w:trPr>
          <w:trHeight w:val="476"/>
        </w:trPr>
        <w:tc>
          <w:tcPr>
            <w:tcW w:w="4926" w:type="dxa"/>
          </w:tcPr>
          <w:p w14:paraId="1E639FB7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F2FDE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2977A3C" wp14:editId="0839135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6DCEBC48" w14:textId="77777777" w:rsidTr="00BA2BA7">
        <w:trPr>
          <w:trHeight w:val="476"/>
        </w:trPr>
        <w:tc>
          <w:tcPr>
            <w:tcW w:w="4926" w:type="dxa"/>
          </w:tcPr>
          <w:p w14:paraId="74E789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1809B32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10A68A6E" wp14:editId="6019686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367489F8" w14:textId="77777777" w:rsidTr="00BA2BA7">
        <w:trPr>
          <w:trHeight w:val="953"/>
        </w:trPr>
        <w:tc>
          <w:tcPr>
            <w:tcW w:w="4926" w:type="dxa"/>
          </w:tcPr>
          <w:p w14:paraId="2F19FE62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340C28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49C823AE" wp14:editId="1E0DB8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2400" w14:paraId="13DFBFC0" w14:textId="77777777" w:rsidTr="00BA2BA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DDB467" w14:textId="77777777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75EADEE" w14:textId="77777777" w:rsidR="00965243" w:rsidRPr="00D10FFA" w:rsidRDefault="00F803F4" w:rsidP="00965243">
            <w:pPr>
              <w:rPr>
                <w:rStyle w:val="Hipercze"/>
                <w:color w:val="001D77"/>
                <w:sz w:val="18"/>
                <w:szCs w:val="18"/>
              </w:rPr>
            </w:pPr>
            <w:r>
              <w:rPr>
                <w:color w:val="001D77"/>
                <w:sz w:val="18"/>
                <w:szCs w:val="18"/>
              </w:rPr>
              <w:fldChar w:fldCharType="begin"/>
            </w:r>
            <w:r w:rsidR="005A6C9B">
              <w:rPr>
                <w:color w:val="001D77"/>
                <w:sz w:val="18"/>
                <w:szCs w:val="18"/>
              </w:rPr>
              <w:instrText>HYPERLINK "https://stat.gov.pl/obszary-tematyczne/rynek-pracy/pracujacy-zatrudnieni-wynagrodzenia-koszty-pracy/pracujacy-w-gospodarce-narodowej-w-2020-roku,7,18.html" \o "Link do opracowania pt. Pracujący w gospodarce narodowej w 2020 roku"</w:instrText>
            </w:r>
            <w:r>
              <w:rPr>
                <w:color w:val="001D77"/>
                <w:sz w:val="18"/>
                <w:szCs w:val="18"/>
              </w:rPr>
              <w:fldChar w:fldCharType="separate"/>
            </w:r>
            <w:r w:rsidR="00965243" w:rsidRPr="00D10FFA">
              <w:rPr>
                <w:rStyle w:val="Hipercze"/>
                <w:color w:val="001D77"/>
                <w:sz w:val="18"/>
                <w:szCs w:val="18"/>
              </w:rPr>
              <w:t>Pracujący w gospodarce narodowej w 2</w:t>
            </w:r>
            <w:r w:rsidR="00D53518">
              <w:rPr>
                <w:rStyle w:val="Hipercze"/>
                <w:color w:val="001D77"/>
                <w:sz w:val="18"/>
                <w:szCs w:val="18"/>
              </w:rPr>
              <w:t>020</w:t>
            </w:r>
            <w:r w:rsidR="00965243">
              <w:rPr>
                <w:rStyle w:val="Hipercze"/>
                <w:color w:val="001D77"/>
                <w:sz w:val="18"/>
                <w:szCs w:val="18"/>
              </w:rPr>
              <w:t xml:space="preserve"> </w:t>
            </w:r>
            <w:r w:rsidR="00965243" w:rsidRPr="00D10FFA">
              <w:rPr>
                <w:rStyle w:val="Hipercze"/>
                <w:color w:val="001D77"/>
                <w:sz w:val="18"/>
                <w:szCs w:val="18"/>
              </w:rPr>
              <w:t>roku</w:t>
            </w:r>
          </w:p>
          <w:p w14:paraId="36436D7C" w14:textId="77777777" w:rsidR="00965243" w:rsidRPr="008B6DA6" w:rsidRDefault="00F803F4" w:rsidP="00965243">
            <w:pPr>
              <w:rPr>
                <w:rStyle w:val="Hipercze"/>
                <w:sz w:val="18"/>
                <w:szCs w:val="18"/>
              </w:rPr>
            </w:pPr>
            <w:r>
              <w:rPr>
                <w:color w:val="001D77"/>
                <w:sz w:val="18"/>
                <w:szCs w:val="18"/>
              </w:rPr>
              <w:fldChar w:fldCharType="end"/>
            </w:r>
            <w:r>
              <w:rPr>
                <w:color w:val="001D77"/>
                <w:sz w:val="18"/>
                <w:szCs w:val="18"/>
              </w:rPr>
              <w:fldChar w:fldCharType="begin"/>
            </w:r>
            <w:r w:rsidR="005A6C9B">
              <w:rPr>
                <w:color w:val="001D77"/>
                <w:sz w:val="18"/>
                <w:szCs w:val="18"/>
              </w:rPr>
              <w:instrText>HYPERLINK "https://stat.gov.pl/obszary-tematyczne/roczniki-statystyczne/roczniki-statystyczne/rocznik-statystyczny-pracy-2021,7,7.html" \o "Link do opracowania pt. Rocznik Statystyczny Pracy 2021"</w:instrText>
            </w:r>
            <w:r>
              <w:rPr>
                <w:color w:val="001D77"/>
                <w:sz w:val="18"/>
                <w:szCs w:val="18"/>
              </w:rPr>
              <w:fldChar w:fldCharType="separate"/>
            </w:r>
            <w:r w:rsidR="00D53518">
              <w:rPr>
                <w:rStyle w:val="Hipercze"/>
                <w:color w:val="001D77"/>
                <w:sz w:val="18"/>
                <w:szCs w:val="18"/>
              </w:rPr>
              <w:t>Rocznik Statystyczny Pracy 2021</w:t>
            </w:r>
          </w:p>
          <w:p w14:paraId="53CC08B6" w14:textId="77777777" w:rsidR="00965243" w:rsidRPr="009F1B85" w:rsidRDefault="00F803F4" w:rsidP="00965243">
            <w:pPr>
              <w:rPr>
                <w:rStyle w:val="Hipercze"/>
                <w:b/>
                <w:color w:val="001D77"/>
                <w:sz w:val="18"/>
                <w:szCs w:val="18"/>
              </w:rPr>
            </w:pPr>
            <w:r>
              <w:rPr>
                <w:color w:val="001D77"/>
                <w:sz w:val="18"/>
                <w:szCs w:val="18"/>
              </w:rPr>
              <w:fldChar w:fldCharType="end"/>
            </w:r>
            <w:r w:rsidRPr="009F1B85">
              <w:rPr>
                <w:color w:val="001D77"/>
                <w:sz w:val="18"/>
                <w:szCs w:val="18"/>
              </w:rPr>
              <w:fldChar w:fldCharType="begin"/>
            </w:r>
            <w:r w:rsidR="005A6C9B">
              <w:rPr>
                <w:color w:val="001D77"/>
                <w:sz w:val="18"/>
                <w:szCs w:val="18"/>
              </w:rPr>
              <w:instrText>HYPERLINK "http://stat.gov.pl/publikacje/szukaj.html?topic=11&amp;page=2" \o "Link do opracowania pt. Inne opracowania dot. rynku pracy"</w:instrText>
            </w:r>
            <w:r w:rsidRPr="009F1B85">
              <w:rPr>
                <w:color w:val="001D77"/>
                <w:sz w:val="18"/>
                <w:szCs w:val="18"/>
              </w:rPr>
              <w:fldChar w:fldCharType="separate"/>
            </w:r>
            <w:r w:rsidR="00965243" w:rsidRPr="009F1B85">
              <w:rPr>
                <w:rStyle w:val="Hipercze"/>
                <w:color w:val="001D77"/>
                <w:sz w:val="18"/>
                <w:szCs w:val="18"/>
              </w:rPr>
              <w:t>Inne opracowania dot. rynku pracy</w:t>
            </w:r>
          </w:p>
          <w:p w14:paraId="5576FFB7" w14:textId="77777777" w:rsidR="00DE2400" w:rsidRPr="00694D63" w:rsidRDefault="00F803F4" w:rsidP="0096524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9F1B85">
              <w:rPr>
                <w:color w:val="001D77"/>
                <w:sz w:val="18"/>
                <w:szCs w:val="18"/>
              </w:rPr>
              <w:fldChar w:fldCharType="end"/>
            </w:r>
            <w:r w:rsidR="00B16871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13CE1E7" w14:textId="77777777" w:rsidR="00965243" w:rsidRPr="001E5420" w:rsidRDefault="00CA3F0B" w:rsidP="00965243">
            <w:pPr>
              <w:rPr>
                <w:rStyle w:val="Hipercze"/>
                <w:color w:val="001D77"/>
                <w:sz w:val="18"/>
                <w:szCs w:val="24"/>
              </w:rPr>
            </w:pPr>
            <w:hyperlink r:id="rId25" w:tooltip="Link do danych w bazie: Bank Danych lokalnych -&gt; Rynek pracy " w:history="1">
              <w:r w:rsidR="00965243" w:rsidRPr="001E5420">
                <w:rPr>
                  <w:rStyle w:val="Hipercze"/>
                  <w:color w:val="001D77"/>
                  <w:sz w:val="18"/>
                  <w:szCs w:val="24"/>
                </w:rPr>
                <w:t>Bank Danych lokalnych -&gt; Rynek pracy</w:t>
              </w:r>
            </w:hyperlink>
            <w:r w:rsidR="00965243" w:rsidRPr="001E5420">
              <w:rPr>
                <w:rStyle w:val="Hipercze"/>
                <w:color w:val="001D77"/>
                <w:sz w:val="18"/>
                <w:szCs w:val="24"/>
              </w:rPr>
              <w:t xml:space="preserve"> </w:t>
            </w:r>
          </w:p>
          <w:p w14:paraId="27B32D44" w14:textId="77777777" w:rsidR="00965243" w:rsidRPr="00D10FFA" w:rsidRDefault="00F803F4" w:rsidP="00965243">
            <w:pPr>
              <w:rPr>
                <w:rStyle w:val="Hipercze"/>
                <w:color w:val="001D77"/>
                <w:sz w:val="18"/>
                <w:szCs w:val="24"/>
              </w:rPr>
            </w:pPr>
            <w:r w:rsidRPr="00D10FFA">
              <w:rPr>
                <w:color w:val="001D77"/>
                <w:sz w:val="18"/>
                <w:szCs w:val="24"/>
              </w:rPr>
              <w:fldChar w:fldCharType="begin"/>
            </w:r>
            <w:r w:rsidR="005A6C9B">
              <w:rPr>
                <w:color w:val="001D77"/>
                <w:sz w:val="18"/>
                <w:szCs w:val="24"/>
              </w:rPr>
              <w:instrText>HYPERLINK "http://old-strateg.stat.gov.pl/Home/Strateg" \o "Link do danych w bazie: Strateg -&gt; Obszary tematyczne -&gt; Rynek pracy"</w:instrText>
            </w:r>
            <w:r w:rsidRPr="00D10FFA">
              <w:rPr>
                <w:color w:val="001D77"/>
                <w:sz w:val="18"/>
                <w:szCs w:val="24"/>
              </w:rPr>
              <w:fldChar w:fldCharType="separate"/>
            </w:r>
            <w:r w:rsidR="00965243" w:rsidRPr="00D10FFA">
              <w:rPr>
                <w:rStyle w:val="Hipercze"/>
                <w:color w:val="001D77"/>
                <w:sz w:val="18"/>
                <w:szCs w:val="24"/>
              </w:rPr>
              <w:t>Strateg -&gt; Obszary tematyczne -&gt; Rynek pracy</w:t>
            </w:r>
          </w:p>
          <w:p w14:paraId="1FDC5515" w14:textId="77777777" w:rsidR="00965243" w:rsidRPr="00D10FFA" w:rsidRDefault="00F803F4" w:rsidP="00965243">
            <w:pPr>
              <w:rPr>
                <w:rStyle w:val="Hipercze"/>
                <w:color w:val="001D77"/>
                <w:sz w:val="18"/>
                <w:szCs w:val="24"/>
              </w:rPr>
            </w:pPr>
            <w:r w:rsidRPr="00D10FFA">
              <w:rPr>
                <w:color w:val="001D77"/>
                <w:sz w:val="18"/>
                <w:szCs w:val="24"/>
              </w:rPr>
              <w:fldChar w:fldCharType="end"/>
            </w:r>
            <w:r w:rsidRPr="00D10FFA">
              <w:rPr>
                <w:rStyle w:val="Hipercze"/>
                <w:color w:val="001D77"/>
                <w:sz w:val="18"/>
                <w:szCs w:val="24"/>
              </w:rPr>
              <w:fldChar w:fldCharType="begin"/>
            </w:r>
            <w:r w:rsidR="005A6C9B">
              <w:rPr>
                <w:rStyle w:val="Hipercze"/>
                <w:color w:val="001D77"/>
                <w:sz w:val="18"/>
                <w:szCs w:val="24"/>
              </w:rPr>
              <w:instrText>HYPERLINK "http://swaid.stat.gov.pl/SitePages/StronaGlownaDBW.aspx" \o "Link do danych w bazie: Dziedzinowa Baza Wiedzy -&gt; Rynek pracy"</w:instrText>
            </w:r>
            <w:r w:rsidRPr="00D10FFA">
              <w:rPr>
                <w:rStyle w:val="Hipercze"/>
                <w:color w:val="001D77"/>
                <w:sz w:val="18"/>
                <w:szCs w:val="24"/>
              </w:rPr>
              <w:fldChar w:fldCharType="separate"/>
            </w:r>
            <w:r w:rsidR="00965243" w:rsidRPr="00D10FFA">
              <w:rPr>
                <w:rStyle w:val="Hipercze"/>
                <w:color w:val="001D77"/>
                <w:sz w:val="18"/>
                <w:szCs w:val="24"/>
              </w:rPr>
              <w:t xml:space="preserve">Dziedzinowa Baza Wiedzy </w:t>
            </w:r>
            <w:r w:rsidR="005A6C9B">
              <w:rPr>
                <w:rStyle w:val="Hipercze"/>
                <w:color w:val="001D77"/>
                <w:sz w:val="18"/>
                <w:szCs w:val="24"/>
              </w:rPr>
              <w:t>-</w:t>
            </w:r>
            <w:r w:rsidR="00965243" w:rsidRPr="00D10FFA">
              <w:rPr>
                <w:rStyle w:val="Hipercze"/>
                <w:color w:val="001D77"/>
                <w:sz w:val="18"/>
                <w:szCs w:val="24"/>
              </w:rPr>
              <w:t>&gt; Rynek pracy</w:t>
            </w:r>
          </w:p>
          <w:p w14:paraId="62B8D620" w14:textId="77777777" w:rsidR="00B16871" w:rsidRPr="00694D63" w:rsidRDefault="00F803F4" w:rsidP="0096524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10FFA">
              <w:rPr>
                <w:rStyle w:val="Hipercze"/>
                <w:color w:val="001D77"/>
                <w:sz w:val="18"/>
                <w:szCs w:val="24"/>
              </w:rPr>
              <w:fldChar w:fldCharType="end"/>
            </w:r>
            <w:r w:rsidR="00B16871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7FB7F1C" w14:textId="77777777" w:rsidR="00965243" w:rsidRPr="00606E66" w:rsidRDefault="00F803F4" w:rsidP="00965243">
            <w:pPr>
              <w:rPr>
                <w:rStyle w:val="Hipercze"/>
                <w:color w:val="001D77"/>
              </w:rPr>
            </w:pPr>
            <w:r w:rsidRPr="00606E66">
              <w:rPr>
                <w:rFonts w:cs="Times New Roman"/>
                <w:color w:val="001D77"/>
                <w:u w:val="single"/>
              </w:rPr>
              <w:fldChar w:fldCharType="begin"/>
            </w:r>
            <w:r w:rsidR="005A6C9B">
              <w:rPr>
                <w:rFonts w:cs="Times New Roman"/>
                <w:color w:val="001D77"/>
                <w:u w:val="single"/>
              </w:rPr>
              <w:instrText>HYPERLINK "http://stat.gov.pl/metainformacje/slownik-pojec/pojecia-stosowane-w-statystyce-publicznej/376,pojecie.html" \o "Link do słownika pojęć: Przeciętne zatrudnienie"</w:instrText>
            </w:r>
            <w:r w:rsidRPr="00606E66">
              <w:rPr>
                <w:rFonts w:cs="Times New Roman"/>
                <w:color w:val="001D77"/>
                <w:u w:val="single"/>
              </w:rPr>
              <w:fldChar w:fldCharType="separate"/>
            </w:r>
            <w:r w:rsidR="00965243" w:rsidRPr="00606E66">
              <w:rPr>
                <w:rStyle w:val="Hipercze"/>
                <w:color w:val="001D77"/>
              </w:rPr>
              <w:t>Przeciętne zatrudnienie</w:t>
            </w:r>
          </w:p>
          <w:p w14:paraId="36484E2F" w14:textId="77777777" w:rsidR="00965243" w:rsidRPr="00606E66" w:rsidRDefault="00F803F4" w:rsidP="00965243">
            <w:pPr>
              <w:rPr>
                <w:rFonts w:cs="Times New Roman"/>
                <w:color w:val="001D77"/>
                <w:u w:val="single"/>
              </w:rPr>
            </w:pPr>
            <w:r w:rsidRPr="00606E66">
              <w:rPr>
                <w:rFonts w:cs="Times New Roman"/>
                <w:color w:val="001D77"/>
                <w:u w:val="single"/>
              </w:rPr>
              <w:fldChar w:fldCharType="end"/>
            </w:r>
            <w:hyperlink r:id="rId26" w:tooltip="Link do słownika pojęć: Pracujący w gospodarce narodowej" w:history="1">
              <w:r w:rsidR="00965243" w:rsidRPr="00606E66">
                <w:rPr>
                  <w:rStyle w:val="Hipercze"/>
                  <w:color w:val="001D77"/>
                </w:rPr>
                <w:t>Pracujący w gospodarce narodowej</w:t>
              </w:r>
            </w:hyperlink>
            <w:r w:rsidR="00965243" w:rsidRPr="00606E66">
              <w:rPr>
                <w:rFonts w:cs="Times New Roman"/>
                <w:color w:val="001D77"/>
                <w:u w:val="single"/>
              </w:rPr>
              <w:t xml:space="preserve"> </w:t>
            </w:r>
          </w:p>
          <w:p w14:paraId="0EEC21F7" w14:textId="77777777" w:rsidR="00DE2400" w:rsidRPr="005A6C9B" w:rsidRDefault="00DE2400" w:rsidP="00606E6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9CBD303" w14:textId="77777777" w:rsidR="000470AA" w:rsidRDefault="000470AA" w:rsidP="000470AA">
      <w:pPr>
        <w:rPr>
          <w:sz w:val="18"/>
        </w:rPr>
      </w:pPr>
    </w:p>
    <w:sectPr w:rsidR="000470AA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6657" w14:textId="77777777" w:rsidR="00CA3F0B" w:rsidRDefault="00CA3F0B" w:rsidP="000662E2">
      <w:pPr>
        <w:spacing w:after="0" w:line="240" w:lineRule="auto"/>
      </w:pPr>
      <w:r>
        <w:separator/>
      </w:r>
    </w:p>
  </w:endnote>
  <w:endnote w:type="continuationSeparator" w:id="0">
    <w:p w14:paraId="0B6BB554" w14:textId="77777777" w:rsidR="00CA3F0B" w:rsidRDefault="00CA3F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3B826753" w14:textId="3A35E7D8" w:rsidR="00EB556D" w:rsidRDefault="00F803F4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6272F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6816B3C4" w14:textId="34E596BF" w:rsidR="00EB556D" w:rsidRDefault="00F803F4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6272F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16BA3B02" w14:textId="47CFBCE5" w:rsidR="003B18B6" w:rsidRDefault="00F803F4" w:rsidP="003B18B6">
        <w:pPr>
          <w:pStyle w:val="Stopka"/>
          <w:jc w:val="center"/>
        </w:pPr>
        <w:r>
          <w:fldChar w:fldCharType="begin"/>
        </w:r>
        <w:r w:rsidR="003B18B6">
          <w:instrText>PAGE   \* MERGEFORMAT</w:instrText>
        </w:r>
        <w:r>
          <w:fldChar w:fldCharType="separate"/>
        </w:r>
        <w:r w:rsidR="006272F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F2F9" w14:textId="77777777" w:rsidR="00CA3F0B" w:rsidRDefault="00CA3F0B" w:rsidP="000662E2">
      <w:pPr>
        <w:spacing w:after="0" w:line="240" w:lineRule="auto"/>
      </w:pPr>
      <w:r>
        <w:separator/>
      </w:r>
    </w:p>
  </w:footnote>
  <w:footnote w:type="continuationSeparator" w:id="0">
    <w:p w14:paraId="67C82022" w14:textId="77777777" w:rsidR="00CA3F0B" w:rsidRDefault="00CA3F0B" w:rsidP="000662E2">
      <w:pPr>
        <w:spacing w:after="0" w:line="240" w:lineRule="auto"/>
      </w:pPr>
      <w:r>
        <w:continuationSeparator/>
      </w:r>
    </w:p>
  </w:footnote>
  <w:footnote w:id="1">
    <w:p w14:paraId="01A3D1BA" w14:textId="77777777" w:rsidR="00A96D40" w:rsidRPr="00AC17FD" w:rsidRDefault="00A96D40" w:rsidP="00AC17F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130F1">
        <w:rPr>
          <w:sz w:val="16"/>
          <w:szCs w:val="16"/>
        </w:rPr>
        <w:t xml:space="preserve">Dane o pracujących w gospodarce narodowej w latach 2020 i 2021 nie są w pełni porównywalne z danymi za lata poprzednie. Uwzględniają one liczbę pracujących w gospodarstwach indywidualnych w rolnictwie wyszacowaną na podstawie wyników Powszechnego Spisu Rolnego 2020 (dane dla lat poprzednich oparte są na wynikach Powszechnego Spisu Rolnego </w:t>
      </w:r>
      <w:r w:rsidRPr="00772C62">
        <w:rPr>
          <w:sz w:val="16"/>
          <w:szCs w:val="16"/>
        </w:rPr>
        <w:t>2010</w:t>
      </w:r>
      <w:r w:rsidR="00772C62" w:rsidRPr="00772C62">
        <w:rPr>
          <w:sz w:val="16"/>
          <w:szCs w:val="16"/>
        </w:rPr>
        <w:t xml:space="preserve">). </w:t>
      </w:r>
      <w:r w:rsidR="00C756B9" w:rsidRPr="00772C62">
        <w:rPr>
          <w:sz w:val="16"/>
          <w:szCs w:val="16"/>
        </w:rPr>
        <w:t xml:space="preserve">W związku z uwzględnieniem wyników PSR 2020, dane o </w:t>
      </w:r>
      <w:r w:rsidR="00772C62" w:rsidRPr="00772C62">
        <w:rPr>
          <w:sz w:val="16"/>
          <w:szCs w:val="16"/>
        </w:rPr>
        <w:t xml:space="preserve">pracujących </w:t>
      </w:r>
      <w:r w:rsidR="00C756B9" w:rsidRPr="00772C62">
        <w:rPr>
          <w:sz w:val="16"/>
          <w:szCs w:val="16"/>
        </w:rPr>
        <w:t xml:space="preserve">za 2020 r. różnią się od </w:t>
      </w:r>
      <w:r w:rsidR="00616CFA" w:rsidRPr="00616CFA">
        <w:rPr>
          <w:sz w:val="16"/>
          <w:szCs w:val="16"/>
        </w:rPr>
        <w:t xml:space="preserve">wcześniej opublikowanych </w:t>
      </w:r>
      <w:r w:rsidR="00C756B9" w:rsidRPr="00772C62">
        <w:rPr>
          <w:sz w:val="16"/>
          <w:szCs w:val="16"/>
        </w:rPr>
        <w:t>danych za ten rok</w:t>
      </w:r>
      <w:r w:rsidR="00616CFA">
        <w:rPr>
          <w:sz w:val="16"/>
          <w:szCs w:val="16"/>
        </w:rPr>
        <w:t>,</w:t>
      </w:r>
      <w:r w:rsidR="00C756B9" w:rsidRPr="00772C62">
        <w:rPr>
          <w:sz w:val="16"/>
          <w:szCs w:val="16"/>
        </w:rPr>
        <w:t xml:space="preserve"> opartych na wynikach PSR 2010.</w:t>
      </w:r>
    </w:p>
  </w:footnote>
  <w:footnote w:id="2">
    <w:p w14:paraId="04B18D76" w14:textId="77777777" w:rsidR="00D53518" w:rsidRPr="00E3712A" w:rsidRDefault="00D53518" w:rsidP="00CF3097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3712A">
        <w:rPr>
          <w:sz w:val="16"/>
          <w:szCs w:val="16"/>
        </w:rPr>
        <w:t xml:space="preserve">Dane </w:t>
      </w:r>
      <w:r w:rsidRPr="00C756B9">
        <w:rPr>
          <w:sz w:val="16"/>
          <w:szCs w:val="16"/>
        </w:rPr>
        <w:t xml:space="preserve">o </w:t>
      </w:r>
      <w:r w:rsidRPr="00E3712A">
        <w:rPr>
          <w:sz w:val="16"/>
          <w:szCs w:val="16"/>
        </w:rPr>
        <w:t>przeciętnym zatrudnieniu w gospodarce narodowej w latach 2020 i 2021 nie są w pełni porównywalne z danymi za lata poprzednie. Uwzględniają one liczbę</w:t>
      </w:r>
      <w:r w:rsidR="009003C8">
        <w:rPr>
          <w:sz w:val="16"/>
          <w:szCs w:val="16"/>
        </w:rPr>
        <w:t xml:space="preserve"> </w:t>
      </w:r>
      <w:r w:rsidR="009003C8" w:rsidRPr="004E768B">
        <w:rPr>
          <w:sz w:val="16"/>
          <w:szCs w:val="16"/>
        </w:rPr>
        <w:t>pracowników najemnych</w:t>
      </w:r>
      <w:r w:rsidRPr="004E768B">
        <w:rPr>
          <w:sz w:val="16"/>
          <w:szCs w:val="16"/>
        </w:rPr>
        <w:t xml:space="preserve"> </w:t>
      </w:r>
      <w:r w:rsidRPr="00E3712A">
        <w:rPr>
          <w:sz w:val="16"/>
          <w:szCs w:val="16"/>
        </w:rPr>
        <w:t xml:space="preserve">w gospodarstwach indywidualnych w rolnictwie wyszacowaną na podstawie wyników Powszechnego Spisu Rolnego 2020 (dane dla lat poprzednich oparte są na wynikach Powszechnego Spisu Rolnego 2010). W związku z uwzględnieniem wyników PSR 2020, </w:t>
      </w:r>
      <w:r w:rsidRPr="00C756B9">
        <w:rPr>
          <w:sz w:val="16"/>
          <w:szCs w:val="16"/>
        </w:rPr>
        <w:t xml:space="preserve">dane o </w:t>
      </w:r>
      <w:r w:rsidR="00C756B9" w:rsidRPr="00E3712A">
        <w:rPr>
          <w:sz w:val="16"/>
          <w:szCs w:val="16"/>
        </w:rPr>
        <w:t xml:space="preserve">przeciętnym zatrudnieniu </w:t>
      </w:r>
      <w:r w:rsidRPr="00E3712A">
        <w:rPr>
          <w:sz w:val="16"/>
          <w:szCs w:val="16"/>
        </w:rPr>
        <w:t>za 2020 r. różnią się od</w:t>
      </w:r>
      <w:r w:rsidR="004C3614">
        <w:rPr>
          <w:sz w:val="16"/>
          <w:szCs w:val="16"/>
        </w:rPr>
        <w:t xml:space="preserve"> wcześniej opublikowanych</w:t>
      </w:r>
      <w:r w:rsidRPr="00E3712A">
        <w:rPr>
          <w:sz w:val="16"/>
          <w:szCs w:val="16"/>
        </w:rPr>
        <w:t xml:space="preserve"> danych za ten rok</w:t>
      </w:r>
      <w:r w:rsidR="00E549F3">
        <w:rPr>
          <w:sz w:val="16"/>
          <w:szCs w:val="16"/>
        </w:rPr>
        <w:t xml:space="preserve"> </w:t>
      </w:r>
      <w:r w:rsidRPr="00E3712A">
        <w:rPr>
          <w:sz w:val="16"/>
          <w:szCs w:val="16"/>
        </w:rPr>
        <w:t>opartych na wynikach PSR 2010.</w:t>
      </w:r>
    </w:p>
  </w:footnote>
  <w:footnote w:id="3">
    <w:p w14:paraId="2A8CA6E2" w14:textId="77777777" w:rsidR="00D53518" w:rsidRPr="00240D0C" w:rsidRDefault="00D53518" w:rsidP="00CF3097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40D0C">
        <w:rPr>
          <w:sz w:val="16"/>
          <w:szCs w:val="16"/>
        </w:rPr>
        <w:t>Z tytułu udziału w zysku do podziału i w nadwyżce bilansowej w spółdzielniach oraz dodatkowe wynagrodzenia roczne dla pracowników jednostek sfery budżetowej.</w:t>
      </w:r>
    </w:p>
  </w:footnote>
  <w:footnote w:id="4">
    <w:p w14:paraId="70EB0838" w14:textId="77777777" w:rsidR="00D53518" w:rsidRDefault="00D53518" w:rsidP="00D53518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3712A">
        <w:rPr>
          <w:sz w:val="16"/>
        </w:rPr>
        <w:t>Dane dotyczą podmiotów gospodarki narodowej o liczbie pracujących 10 i więcej osób oraz jednostek sfery budżetowej niezależnie od liczby pracujących.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6FBC" w14:textId="77777777" w:rsidR="000662E2" w:rsidRDefault="00473D0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94388DD" wp14:editId="7EE62B5F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D21DF0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Jzpw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" fillcolor="#f2f2f2" stroked="f" strokeweight="1pt">
              <w10:wrap type="tight"/>
            </v:rect>
          </w:pict>
        </mc:Fallback>
      </mc:AlternateContent>
    </w:r>
  </w:p>
  <w:p w14:paraId="52AD5C95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DC40" w14:textId="77777777" w:rsidR="00F32749" w:rsidRDefault="001F6A4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1AD857" wp14:editId="23EA7320">
              <wp:simplePos x="0" y="0"/>
              <wp:positionH relativeFrom="column">
                <wp:posOffset>5288252</wp:posOffset>
              </wp:positionH>
              <wp:positionV relativeFrom="paragraph">
                <wp:posOffset>830746</wp:posOffset>
              </wp:positionV>
              <wp:extent cx="1432293" cy="336589"/>
              <wp:effectExtent l="0" t="0" r="0" b="6350"/>
              <wp:wrapNone/>
              <wp:docPr id="16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2330" w14:textId="77777777" w:rsidR="001F6A45" w:rsidRPr="00A01B40" w:rsidRDefault="001F6A45" w:rsidP="001F6A45">
                          <w:pPr>
                            <w:pStyle w:val="Datainformacjisygnalnej"/>
                          </w:pPr>
                          <w:r>
                            <w:t>17.06.2022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AD85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" style="position:absolute;margin-left:416.4pt;margin-top:65.4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" filled="f" stroked="f">
              <v:textbox>
                <w:txbxContent>
                  <w:p w14:paraId="4EFA2330" w14:textId="77777777" w:rsidR="001F6A45" w:rsidRPr="00A01B40" w:rsidRDefault="001F6A45" w:rsidP="001F6A45">
                    <w:pPr>
                      <w:pStyle w:val="Datainformacjisygnalnej"/>
                    </w:pPr>
                    <w:r>
                      <w:t>17.06.2022 r.</w:t>
                    </w:r>
                  </w:p>
                </w:txbxContent>
              </v:textbox>
            </v:shape>
          </w:pict>
        </mc:Fallback>
      </mc:AlternateContent>
    </w:r>
    <w:r w:rsidR="00473D0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4F4D37" wp14:editId="215238D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88AC1A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4F4D37" id="Schemat blokowy: opóźnienie 6" o:spid="_x0000_s103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688AC1A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73D0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5B14F9" wp14:editId="43408D3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3F767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  <w:r w:rsidR="00A96D40">
      <w:rPr>
        <w:noProof/>
        <w:lang w:eastAsia="pl-PL"/>
      </w:rPr>
      <w:drawing>
        <wp:inline distT="0" distB="0" distL="0" distR="0" wp14:anchorId="1E7755DF" wp14:editId="63261763">
          <wp:extent cx="1153274" cy="720000"/>
          <wp:effectExtent l="0" t="0" r="0" b="4445"/>
          <wp:docPr id="33" name="Obraz 33" descr="logo G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3D03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75C26D4" wp14:editId="354A6224">
              <wp:simplePos x="0" y="0"/>
              <wp:positionH relativeFrom="column">
                <wp:posOffset>5288280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1A441" w14:textId="77777777" w:rsidR="00A96D40" w:rsidRPr="00C97596" w:rsidRDefault="00A96D40" w:rsidP="00A96D40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17.06.2022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14:paraId="46375B42" w14:textId="77777777" w:rsidR="00F37172" w:rsidRPr="00A01B40" w:rsidRDefault="00F37172" w:rsidP="00F049AB">
                          <w:pPr>
                            <w:pStyle w:val="Datainformacjisygnalne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C26D4" id="_x0000_s1032" type="#_x0000_t202" alt="Data publikacji informacji sygnalnej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" filled="f" stroked="f">
              <v:textbox>
                <w:txbxContent>
                  <w:p w14:paraId="79F1A441" w14:textId="77777777" w:rsidR="00A96D40" w:rsidRPr="00C97596" w:rsidRDefault="00A96D40" w:rsidP="00A96D40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17.06.2022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14:paraId="46375B42" w14:textId="77777777" w:rsidR="00F37172" w:rsidRPr="00A01B40" w:rsidRDefault="00F37172" w:rsidP="00F049AB">
                    <w:pPr>
                      <w:pStyle w:val="Datainformacjisygnalnej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A623" w14:textId="77777777" w:rsidR="00607CC5" w:rsidRDefault="00607CC5">
    <w:pPr>
      <w:pStyle w:val="Nagwek"/>
    </w:pPr>
  </w:p>
  <w:p w14:paraId="64EF60A2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4.5pt;height:125.1pt;visibility:visible;mso-wrap-style:square" o:bullet="t">
        <v:imagedata r:id="rId1" o:title=""/>
      </v:shape>
    </w:pict>
  </w:numPicBullet>
  <w:numPicBullet w:numPicBulletId="1">
    <w:pict>
      <v:shape id="_x0000_i1041" type="#_x0000_t75" style="width:124.5pt;height:125.1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251935133">
    <w:abstractNumId w:val="4"/>
  </w:num>
  <w:num w:numId="2" w16cid:durableId="1160459564">
    <w:abstractNumId w:val="1"/>
  </w:num>
  <w:num w:numId="3" w16cid:durableId="1645041067">
    <w:abstractNumId w:val="2"/>
  </w:num>
  <w:num w:numId="4" w16cid:durableId="52189588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539847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697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35E0"/>
    <w:rsid w:val="000152F5"/>
    <w:rsid w:val="00042EEB"/>
    <w:rsid w:val="0004582E"/>
    <w:rsid w:val="000470AA"/>
    <w:rsid w:val="00057CA1"/>
    <w:rsid w:val="000647A9"/>
    <w:rsid w:val="000662E2"/>
    <w:rsid w:val="00066883"/>
    <w:rsid w:val="00071B39"/>
    <w:rsid w:val="00074DD8"/>
    <w:rsid w:val="00075759"/>
    <w:rsid w:val="000806F7"/>
    <w:rsid w:val="00092305"/>
    <w:rsid w:val="00097840"/>
    <w:rsid w:val="000B0727"/>
    <w:rsid w:val="000C135D"/>
    <w:rsid w:val="000D1D43"/>
    <w:rsid w:val="000D225C"/>
    <w:rsid w:val="000D2A5C"/>
    <w:rsid w:val="000D39F0"/>
    <w:rsid w:val="000E0918"/>
    <w:rsid w:val="000E79A9"/>
    <w:rsid w:val="000F3E6A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65DDF"/>
    <w:rsid w:val="001951DA"/>
    <w:rsid w:val="001B053D"/>
    <w:rsid w:val="001C3269"/>
    <w:rsid w:val="001D19B6"/>
    <w:rsid w:val="001D1DB4"/>
    <w:rsid w:val="001D23F1"/>
    <w:rsid w:val="001D25F9"/>
    <w:rsid w:val="001D3988"/>
    <w:rsid w:val="001D61ED"/>
    <w:rsid w:val="001E5B2D"/>
    <w:rsid w:val="001F6A45"/>
    <w:rsid w:val="0020156C"/>
    <w:rsid w:val="00216634"/>
    <w:rsid w:val="00242D31"/>
    <w:rsid w:val="0025481E"/>
    <w:rsid w:val="002574F9"/>
    <w:rsid w:val="00262B61"/>
    <w:rsid w:val="00262CC6"/>
    <w:rsid w:val="00263E08"/>
    <w:rsid w:val="00276811"/>
    <w:rsid w:val="00282699"/>
    <w:rsid w:val="002926DF"/>
    <w:rsid w:val="00296697"/>
    <w:rsid w:val="002A2E23"/>
    <w:rsid w:val="002B0472"/>
    <w:rsid w:val="002B6B12"/>
    <w:rsid w:val="002B72BC"/>
    <w:rsid w:val="002C21F0"/>
    <w:rsid w:val="002D01DF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309FA"/>
    <w:rsid w:val="00330F62"/>
    <w:rsid w:val="00332320"/>
    <w:rsid w:val="00347D72"/>
    <w:rsid w:val="00353F45"/>
    <w:rsid w:val="00357611"/>
    <w:rsid w:val="0036432A"/>
    <w:rsid w:val="00364AF9"/>
    <w:rsid w:val="00366B34"/>
    <w:rsid w:val="00367237"/>
    <w:rsid w:val="0037077F"/>
    <w:rsid w:val="00372411"/>
    <w:rsid w:val="00373882"/>
    <w:rsid w:val="003843DB"/>
    <w:rsid w:val="00393761"/>
    <w:rsid w:val="00394E26"/>
    <w:rsid w:val="00396691"/>
    <w:rsid w:val="00397D18"/>
    <w:rsid w:val="003A1B36"/>
    <w:rsid w:val="003B1454"/>
    <w:rsid w:val="003B18B6"/>
    <w:rsid w:val="003C161B"/>
    <w:rsid w:val="003C59E0"/>
    <w:rsid w:val="003C6C8D"/>
    <w:rsid w:val="003D2656"/>
    <w:rsid w:val="003D4F95"/>
    <w:rsid w:val="003D564E"/>
    <w:rsid w:val="003D5F42"/>
    <w:rsid w:val="003D60A9"/>
    <w:rsid w:val="003E76F6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207E"/>
    <w:rsid w:val="00453EB7"/>
    <w:rsid w:val="00457427"/>
    <w:rsid w:val="00463E39"/>
    <w:rsid w:val="004657FC"/>
    <w:rsid w:val="0047009F"/>
    <w:rsid w:val="004733F6"/>
    <w:rsid w:val="00473D03"/>
    <w:rsid w:val="00474E69"/>
    <w:rsid w:val="00483E9F"/>
    <w:rsid w:val="00485A2C"/>
    <w:rsid w:val="0049621B"/>
    <w:rsid w:val="004A027F"/>
    <w:rsid w:val="004A162D"/>
    <w:rsid w:val="004A1D19"/>
    <w:rsid w:val="004C1895"/>
    <w:rsid w:val="004C3614"/>
    <w:rsid w:val="004C4800"/>
    <w:rsid w:val="004C6D40"/>
    <w:rsid w:val="004E6AA8"/>
    <w:rsid w:val="004E768B"/>
    <w:rsid w:val="004F0C3C"/>
    <w:rsid w:val="004F2280"/>
    <w:rsid w:val="004F23BB"/>
    <w:rsid w:val="004F63FC"/>
    <w:rsid w:val="00505A92"/>
    <w:rsid w:val="00514F28"/>
    <w:rsid w:val="005203F1"/>
    <w:rsid w:val="00521BC3"/>
    <w:rsid w:val="00533632"/>
    <w:rsid w:val="00534013"/>
    <w:rsid w:val="00540C5C"/>
    <w:rsid w:val="00541E6E"/>
    <w:rsid w:val="0054251F"/>
    <w:rsid w:val="005520D8"/>
    <w:rsid w:val="00555CFB"/>
    <w:rsid w:val="00556CF1"/>
    <w:rsid w:val="005762A7"/>
    <w:rsid w:val="00587CEE"/>
    <w:rsid w:val="005916D7"/>
    <w:rsid w:val="0059427F"/>
    <w:rsid w:val="005A698C"/>
    <w:rsid w:val="005A6C9B"/>
    <w:rsid w:val="005C0CAC"/>
    <w:rsid w:val="005D062E"/>
    <w:rsid w:val="005D2E4D"/>
    <w:rsid w:val="005E0799"/>
    <w:rsid w:val="005E10F9"/>
    <w:rsid w:val="005E1200"/>
    <w:rsid w:val="005F45EE"/>
    <w:rsid w:val="005F5A80"/>
    <w:rsid w:val="006044FF"/>
    <w:rsid w:val="00606E66"/>
    <w:rsid w:val="00607CC5"/>
    <w:rsid w:val="0061179B"/>
    <w:rsid w:val="006125F9"/>
    <w:rsid w:val="00616CFA"/>
    <w:rsid w:val="006272FB"/>
    <w:rsid w:val="00633014"/>
    <w:rsid w:val="0063437B"/>
    <w:rsid w:val="0064017E"/>
    <w:rsid w:val="00654BB6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B0E9E"/>
    <w:rsid w:val="006B486D"/>
    <w:rsid w:val="006B5AE4"/>
    <w:rsid w:val="006D1507"/>
    <w:rsid w:val="006D4054"/>
    <w:rsid w:val="006E02EC"/>
    <w:rsid w:val="006E3C4F"/>
    <w:rsid w:val="006E6F41"/>
    <w:rsid w:val="006E73E6"/>
    <w:rsid w:val="007211B1"/>
    <w:rsid w:val="007277DA"/>
    <w:rsid w:val="00731D27"/>
    <w:rsid w:val="00746187"/>
    <w:rsid w:val="0076254F"/>
    <w:rsid w:val="00772C62"/>
    <w:rsid w:val="00776C75"/>
    <w:rsid w:val="007801F5"/>
    <w:rsid w:val="00783CA4"/>
    <w:rsid w:val="007842FB"/>
    <w:rsid w:val="00786124"/>
    <w:rsid w:val="0079514B"/>
    <w:rsid w:val="00795252"/>
    <w:rsid w:val="007A2DC1"/>
    <w:rsid w:val="007D0869"/>
    <w:rsid w:val="007D14C4"/>
    <w:rsid w:val="007D3319"/>
    <w:rsid w:val="007D335D"/>
    <w:rsid w:val="007D605C"/>
    <w:rsid w:val="007E3314"/>
    <w:rsid w:val="007E3514"/>
    <w:rsid w:val="007E4B03"/>
    <w:rsid w:val="007E762A"/>
    <w:rsid w:val="007F324B"/>
    <w:rsid w:val="0080553C"/>
    <w:rsid w:val="00805B46"/>
    <w:rsid w:val="00805DB4"/>
    <w:rsid w:val="00823593"/>
    <w:rsid w:val="00825DC2"/>
    <w:rsid w:val="00834AD3"/>
    <w:rsid w:val="00843795"/>
    <w:rsid w:val="00847F0F"/>
    <w:rsid w:val="00852448"/>
    <w:rsid w:val="00877F6C"/>
    <w:rsid w:val="0088258A"/>
    <w:rsid w:val="00886332"/>
    <w:rsid w:val="008922F5"/>
    <w:rsid w:val="008925F0"/>
    <w:rsid w:val="0089448A"/>
    <w:rsid w:val="00897877"/>
    <w:rsid w:val="008A26D9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B20"/>
    <w:rsid w:val="008F6F31"/>
    <w:rsid w:val="008F74DF"/>
    <w:rsid w:val="009003C8"/>
    <w:rsid w:val="00902274"/>
    <w:rsid w:val="009127BA"/>
    <w:rsid w:val="009174A4"/>
    <w:rsid w:val="00920AAE"/>
    <w:rsid w:val="009227A6"/>
    <w:rsid w:val="00933EC1"/>
    <w:rsid w:val="009446AD"/>
    <w:rsid w:val="009530DB"/>
    <w:rsid w:val="00953676"/>
    <w:rsid w:val="00956F30"/>
    <w:rsid w:val="00965243"/>
    <w:rsid w:val="00966C9A"/>
    <w:rsid w:val="009705EE"/>
    <w:rsid w:val="00977797"/>
    <w:rsid w:val="00977927"/>
    <w:rsid w:val="0098135C"/>
    <w:rsid w:val="0098156A"/>
    <w:rsid w:val="00991BAC"/>
    <w:rsid w:val="009958AF"/>
    <w:rsid w:val="009A6EA0"/>
    <w:rsid w:val="009C1335"/>
    <w:rsid w:val="009C1AB2"/>
    <w:rsid w:val="009C7251"/>
    <w:rsid w:val="009E2E91"/>
    <w:rsid w:val="00A01B40"/>
    <w:rsid w:val="00A139F5"/>
    <w:rsid w:val="00A32E16"/>
    <w:rsid w:val="00A365F4"/>
    <w:rsid w:val="00A401A5"/>
    <w:rsid w:val="00A41108"/>
    <w:rsid w:val="00A45D10"/>
    <w:rsid w:val="00A47D80"/>
    <w:rsid w:val="00A53132"/>
    <w:rsid w:val="00A563F2"/>
    <w:rsid w:val="00A566E8"/>
    <w:rsid w:val="00A6371F"/>
    <w:rsid w:val="00A66347"/>
    <w:rsid w:val="00A74280"/>
    <w:rsid w:val="00A810F9"/>
    <w:rsid w:val="00A81847"/>
    <w:rsid w:val="00A82D31"/>
    <w:rsid w:val="00A85E7E"/>
    <w:rsid w:val="00A86ECC"/>
    <w:rsid w:val="00A86FCC"/>
    <w:rsid w:val="00A90A6D"/>
    <w:rsid w:val="00A96D40"/>
    <w:rsid w:val="00A971E5"/>
    <w:rsid w:val="00AA710D"/>
    <w:rsid w:val="00AB64F3"/>
    <w:rsid w:val="00AB6D25"/>
    <w:rsid w:val="00AC17FD"/>
    <w:rsid w:val="00AD0E56"/>
    <w:rsid w:val="00AD7D81"/>
    <w:rsid w:val="00AE229B"/>
    <w:rsid w:val="00AE2D4B"/>
    <w:rsid w:val="00AE4F99"/>
    <w:rsid w:val="00B11B69"/>
    <w:rsid w:val="00B14952"/>
    <w:rsid w:val="00B16871"/>
    <w:rsid w:val="00B25B45"/>
    <w:rsid w:val="00B31E5A"/>
    <w:rsid w:val="00B47359"/>
    <w:rsid w:val="00B64034"/>
    <w:rsid w:val="00B64521"/>
    <w:rsid w:val="00B653AB"/>
    <w:rsid w:val="00B65F9E"/>
    <w:rsid w:val="00B66B19"/>
    <w:rsid w:val="00B73D52"/>
    <w:rsid w:val="00B914E9"/>
    <w:rsid w:val="00B956EE"/>
    <w:rsid w:val="00BA2BA1"/>
    <w:rsid w:val="00BA2BA7"/>
    <w:rsid w:val="00BA3447"/>
    <w:rsid w:val="00BA3562"/>
    <w:rsid w:val="00BB4F09"/>
    <w:rsid w:val="00BB7448"/>
    <w:rsid w:val="00BC0EDF"/>
    <w:rsid w:val="00BC2D48"/>
    <w:rsid w:val="00BD484C"/>
    <w:rsid w:val="00BD4E33"/>
    <w:rsid w:val="00C030DE"/>
    <w:rsid w:val="00C051A8"/>
    <w:rsid w:val="00C22105"/>
    <w:rsid w:val="00C244B6"/>
    <w:rsid w:val="00C27BF1"/>
    <w:rsid w:val="00C3702F"/>
    <w:rsid w:val="00C4500A"/>
    <w:rsid w:val="00C62238"/>
    <w:rsid w:val="00C63A8A"/>
    <w:rsid w:val="00C64A37"/>
    <w:rsid w:val="00C7158E"/>
    <w:rsid w:val="00C7250B"/>
    <w:rsid w:val="00C7346B"/>
    <w:rsid w:val="00C756B9"/>
    <w:rsid w:val="00C77C0E"/>
    <w:rsid w:val="00C91687"/>
    <w:rsid w:val="00C924A8"/>
    <w:rsid w:val="00C924FC"/>
    <w:rsid w:val="00C945FE"/>
    <w:rsid w:val="00C96FAA"/>
    <w:rsid w:val="00C97A04"/>
    <w:rsid w:val="00CA107B"/>
    <w:rsid w:val="00CA3F0B"/>
    <w:rsid w:val="00CA484D"/>
    <w:rsid w:val="00CA4FB6"/>
    <w:rsid w:val="00CB2F90"/>
    <w:rsid w:val="00CB6AD4"/>
    <w:rsid w:val="00CC3ACE"/>
    <w:rsid w:val="00CC3BB4"/>
    <w:rsid w:val="00CC739E"/>
    <w:rsid w:val="00CD1EBB"/>
    <w:rsid w:val="00CD28CF"/>
    <w:rsid w:val="00CD58B7"/>
    <w:rsid w:val="00CD7967"/>
    <w:rsid w:val="00CF18EE"/>
    <w:rsid w:val="00CF3097"/>
    <w:rsid w:val="00CF30BD"/>
    <w:rsid w:val="00CF4099"/>
    <w:rsid w:val="00D00796"/>
    <w:rsid w:val="00D261A2"/>
    <w:rsid w:val="00D53518"/>
    <w:rsid w:val="00D56F9F"/>
    <w:rsid w:val="00D616D2"/>
    <w:rsid w:val="00D63B5F"/>
    <w:rsid w:val="00D70EF7"/>
    <w:rsid w:val="00D8397C"/>
    <w:rsid w:val="00D90213"/>
    <w:rsid w:val="00D91C4D"/>
    <w:rsid w:val="00D94EED"/>
    <w:rsid w:val="00D96026"/>
    <w:rsid w:val="00D972F6"/>
    <w:rsid w:val="00DA331D"/>
    <w:rsid w:val="00DA7C1C"/>
    <w:rsid w:val="00DB147A"/>
    <w:rsid w:val="00DB1B7A"/>
    <w:rsid w:val="00DB706E"/>
    <w:rsid w:val="00DC1D17"/>
    <w:rsid w:val="00DC49F3"/>
    <w:rsid w:val="00DC6708"/>
    <w:rsid w:val="00DD011A"/>
    <w:rsid w:val="00DE2400"/>
    <w:rsid w:val="00DE58F1"/>
    <w:rsid w:val="00DE6B58"/>
    <w:rsid w:val="00DF5E32"/>
    <w:rsid w:val="00E01436"/>
    <w:rsid w:val="00E03E79"/>
    <w:rsid w:val="00E045BD"/>
    <w:rsid w:val="00E04D6C"/>
    <w:rsid w:val="00E17B77"/>
    <w:rsid w:val="00E231AB"/>
    <w:rsid w:val="00E23337"/>
    <w:rsid w:val="00E259EA"/>
    <w:rsid w:val="00E25D33"/>
    <w:rsid w:val="00E32061"/>
    <w:rsid w:val="00E33F48"/>
    <w:rsid w:val="00E423CF"/>
    <w:rsid w:val="00E42FF9"/>
    <w:rsid w:val="00E44790"/>
    <w:rsid w:val="00E4714C"/>
    <w:rsid w:val="00E5178D"/>
    <w:rsid w:val="00E51AEB"/>
    <w:rsid w:val="00E522A7"/>
    <w:rsid w:val="00E5349E"/>
    <w:rsid w:val="00E54452"/>
    <w:rsid w:val="00E549F3"/>
    <w:rsid w:val="00E63B0C"/>
    <w:rsid w:val="00E664C5"/>
    <w:rsid w:val="00E671A2"/>
    <w:rsid w:val="00E71C5F"/>
    <w:rsid w:val="00E76D26"/>
    <w:rsid w:val="00E76EE5"/>
    <w:rsid w:val="00E95B8E"/>
    <w:rsid w:val="00EB1390"/>
    <w:rsid w:val="00EB2C71"/>
    <w:rsid w:val="00EB3333"/>
    <w:rsid w:val="00EB4340"/>
    <w:rsid w:val="00EB46B1"/>
    <w:rsid w:val="00EB556D"/>
    <w:rsid w:val="00EB5A7D"/>
    <w:rsid w:val="00EC35F4"/>
    <w:rsid w:val="00ED55C0"/>
    <w:rsid w:val="00ED682B"/>
    <w:rsid w:val="00EE41D5"/>
    <w:rsid w:val="00EE4E65"/>
    <w:rsid w:val="00F0166F"/>
    <w:rsid w:val="00F037A4"/>
    <w:rsid w:val="00F049AB"/>
    <w:rsid w:val="00F11527"/>
    <w:rsid w:val="00F142DB"/>
    <w:rsid w:val="00F27C8F"/>
    <w:rsid w:val="00F32749"/>
    <w:rsid w:val="00F33074"/>
    <w:rsid w:val="00F37172"/>
    <w:rsid w:val="00F41AD4"/>
    <w:rsid w:val="00F4425D"/>
    <w:rsid w:val="00F4477E"/>
    <w:rsid w:val="00F46269"/>
    <w:rsid w:val="00F56929"/>
    <w:rsid w:val="00F60BA8"/>
    <w:rsid w:val="00F67D8F"/>
    <w:rsid w:val="00F707A2"/>
    <w:rsid w:val="00F802BE"/>
    <w:rsid w:val="00F803F4"/>
    <w:rsid w:val="00F80E93"/>
    <w:rsid w:val="00F851BC"/>
    <w:rsid w:val="00F86024"/>
    <w:rsid w:val="00F8611A"/>
    <w:rsid w:val="00F87657"/>
    <w:rsid w:val="00FA5128"/>
    <w:rsid w:val="00FB42D4"/>
    <w:rsid w:val="00FB5906"/>
    <w:rsid w:val="00FB762F"/>
    <w:rsid w:val="00FC2AED"/>
    <w:rsid w:val="00FD5EA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F8206"/>
  <w15:docId w15:val="{7EB85BC3-4EA3-4417-9884-E2D1E2AA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65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oter" Target="footer3.xml"/><Relationship Id="rId10" Type="http://schemas.openxmlformats.org/officeDocument/2006/relationships/image" Target="media/image3.jp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Informacja sygnalna_Pracujacy_i_wynagrodzenia_w_gospodarce_narodowej_w_2021_roku_dane_wstepne.docx.docx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STAT\GORKAM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2AAD98B7-5FCA-41B7-B46C-A774AA4E2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CB3DB-62F7-4CA9-8D42-EE87BFEE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 i wynagrodzenia w gospodarce narodowej w 2021 r. - dane wstępne</dc:title>
  <dc:subject>Pracujący i wynagrodzenia w gospodarce narodowej w 2021 r. - dane wstępne</dc:subject>
  <dc:creator>Główny Urząd Statystyczny</dc:creator>
  <cp:lastPrinted>2022-06-10T10:40:00Z</cp:lastPrinted>
  <dcterms:created xsi:type="dcterms:W3CDTF">2022-06-17T06:37:00Z</dcterms:created>
  <dcterms:modified xsi:type="dcterms:W3CDTF">2022-06-17T06:37:00Z</dcterms:modified>
  <cp:category>Pracujący. Zatrudnieni. Wynagrodzenia.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