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D71C94">
        <w:rPr>
          <w:szCs w:val="40"/>
          <w:shd w:val="clear" w:color="auto" w:fill="FFFFFF"/>
        </w:rPr>
        <w:t>2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65572F">
        <w:rPr>
          <w:szCs w:val="40"/>
          <w:shd w:val="clear" w:color="auto" w:fill="FFFFFF"/>
        </w:rPr>
        <w:t>3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1,3 &#10;wzrost cen producentów usług związanych z obsługą działalności gospodarczej w porównaniu &#10;z 1 kwartałem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7B5A88">
                              <w:rPr>
                                <w:rStyle w:val="WartowskanikaZnak"/>
                              </w:rPr>
                              <w:t>1</w:t>
                            </w:r>
                            <w:r w:rsidR="00C8697A">
                              <w:rPr>
                                <w:rStyle w:val="WartowskanikaZnak"/>
                              </w:rPr>
                              <w:t>,</w:t>
                            </w:r>
                            <w:r w:rsidR="007B5A88">
                              <w:rPr>
                                <w:rStyle w:val="WartowskanikaZnak"/>
                              </w:rPr>
                              <w:t>3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B57037">
                              <w:t>1</w:t>
                            </w:r>
                            <w:r>
                              <w:t xml:space="preserve"> kwartałem 202</w:t>
                            </w:r>
                            <w:r w:rsidR="007B5A88">
                              <w:t>3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D98A33" id="Pole tekstowe 2" o:spid="_x0000_s1026" alt="Opis wskaźnika:  101,3 &#10;wzrost cen producentów usług związanych z obsługą działalności gospodarczej w porównaniu &#10;z 1 kwartałem 2023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4OuWNb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7B5A88">
                        <w:rPr>
                          <w:rStyle w:val="WartowskanikaZnak"/>
                        </w:rPr>
                        <w:t>1</w:t>
                      </w:r>
                      <w:r w:rsidR="00C8697A">
                        <w:rPr>
                          <w:rStyle w:val="WartowskanikaZnak"/>
                        </w:rPr>
                        <w:t>,</w:t>
                      </w:r>
                      <w:r w:rsidR="007B5A88">
                        <w:rPr>
                          <w:rStyle w:val="WartowskanikaZnak"/>
                        </w:rPr>
                        <w:t>3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B57037">
                        <w:t>1</w:t>
                      </w:r>
                      <w:r>
                        <w:t xml:space="preserve"> kwartałem 202</w:t>
                      </w:r>
                      <w:r w:rsidR="007B5A88">
                        <w:t>3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6254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191E4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1,3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D43F5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8,0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>
        <w:rPr>
          <w:b/>
          <w:szCs w:val="19"/>
          <w:shd w:val="clear" w:color="auto" w:fill="FFFFFF"/>
        </w:rPr>
        <w:t>2</w:t>
      </w:r>
      <w:r w:rsidRPr="00BF747C">
        <w:rPr>
          <w:b/>
          <w:szCs w:val="19"/>
          <w:shd w:val="clear" w:color="auto" w:fill="FFFFFF"/>
        </w:rPr>
        <w:t> kwartał 202</w:t>
      </w:r>
      <w:r w:rsidR="0065572F">
        <w:rPr>
          <w:b/>
          <w:szCs w:val="19"/>
          <w:shd w:val="clear" w:color="auto" w:fill="FFFFFF"/>
        </w:rPr>
        <w:t>3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2 kwartał 2023 r."/>
      </w:tblPr>
      <w:tblGrid>
        <w:gridCol w:w="3686"/>
        <w:gridCol w:w="1133"/>
        <w:gridCol w:w="1136"/>
        <w:gridCol w:w="1071"/>
        <w:gridCol w:w="1041"/>
      </w:tblGrid>
      <w:tr w:rsidR="00321993" w:rsidRPr="001530A5" w:rsidTr="00D86EBF">
        <w:trPr>
          <w:trHeight w:val="528"/>
          <w:tblHeader/>
        </w:trPr>
        <w:tc>
          <w:tcPr>
            <w:tcW w:w="2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070" w:type="pct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półrocze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E47134" w:rsidRPr="001530A5" w:rsidTr="00D86EBF">
        <w:trPr>
          <w:trHeight w:val="624"/>
          <w:tblHeader/>
        </w:trPr>
        <w:tc>
          <w:tcPr>
            <w:tcW w:w="2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4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półrocze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</w:tr>
      <w:tr w:rsidR="00E47134" w:rsidRPr="001530A5" w:rsidTr="00444C7D">
        <w:trPr>
          <w:trHeight w:val="480"/>
        </w:trPr>
        <w:tc>
          <w:tcPr>
            <w:tcW w:w="228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702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1530A5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101,3</w:t>
            </w:r>
          </w:p>
        </w:tc>
        <w:tc>
          <w:tcPr>
            <w:tcW w:w="70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1530A5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104,9</w:t>
            </w:r>
          </w:p>
        </w:tc>
        <w:tc>
          <w:tcPr>
            <w:tcW w:w="66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21993" w:rsidRPr="001530A5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108,0</w:t>
            </w:r>
          </w:p>
        </w:tc>
        <w:tc>
          <w:tcPr>
            <w:tcW w:w="645" w:type="pct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21993" w:rsidRPr="001530A5" w:rsidRDefault="00A36BE4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108,6</w:t>
            </w:r>
          </w:p>
        </w:tc>
      </w:tr>
      <w:tr w:rsidR="004B75D8" w:rsidRPr="001530A5" w:rsidTr="009E3215">
        <w:trPr>
          <w:trHeight w:val="4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102,6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104,7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111,0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111,3</w:t>
            </w:r>
          </w:p>
        </w:tc>
      </w:tr>
      <w:tr w:rsidR="004B75D8" w:rsidRPr="001530A5" w:rsidTr="009E3215">
        <w:trPr>
          <w:trHeight w:val="8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100,8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102,3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106,3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107,3</w:t>
            </w:r>
          </w:p>
        </w:tc>
      </w:tr>
      <w:tr w:rsidR="004B75D8" w:rsidRPr="001530A5" w:rsidTr="009E3215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101,3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95,8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101,4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101,8</w:t>
            </w:r>
          </w:p>
        </w:tc>
      </w:tr>
      <w:tr w:rsidR="004B75D8" w:rsidRPr="001530A5" w:rsidTr="009E3215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0" w:name="_Hlk143682173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0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100,4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103,6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105,3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106,2</w:t>
            </w:r>
          </w:p>
        </w:tc>
      </w:tr>
      <w:tr w:rsidR="004B75D8" w:rsidRPr="001530A5" w:rsidTr="009E3215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101,2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103,2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108,8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109,6</w:t>
            </w:r>
          </w:p>
        </w:tc>
      </w:tr>
      <w:tr w:rsidR="004B75D8" w:rsidRPr="001530A5" w:rsidTr="009E3215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1" w:name="_Hlk14367798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obsługą rynku nieruchomości</w:t>
            </w:r>
            <w:bookmarkEnd w:id="1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102,4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106,8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108,3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108,3</w:t>
            </w:r>
          </w:p>
        </w:tc>
      </w:tr>
      <w:tr w:rsidR="004B75D8" w:rsidRPr="001530A5" w:rsidTr="009E3215">
        <w:trPr>
          <w:trHeight w:val="7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4368241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  <w:bookmarkEnd w:id="2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99,8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104,1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107,5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109,1</w:t>
            </w:r>
          </w:p>
        </w:tc>
      </w:tr>
      <w:tr w:rsidR="004B75D8" w:rsidRPr="001530A5" w:rsidTr="004B75D8">
        <w:trPr>
          <w:trHeight w:val="624"/>
        </w:trPr>
        <w:tc>
          <w:tcPr>
            <w:tcW w:w="2285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B75D8" w:rsidRPr="001530A5" w:rsidRDefault="004B75D8" w:rsidP="004B75D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101,7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105,7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107,3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99"/>
              <w:right w:val="nil"/>
            </w:tcBorders>
            <w:shd w:val="clear" w:color="auto" w:fill="auto"/>
            <w:hideMark/>
          </w:tcPr>
          <w:p w:rsidR="004B75D8" w:rsidRPr="00555432" w:rsidRDefault="004B75D8" w:rsidP="004B75D8">
            <w:pPr>
              <w:jc w:val="right"/>
            </w:pPr>
            <w:r w:rsidRPr="00555432">
              <w:t>107,5</w:t>
            </w:r>
          </w:p>
        </w:tc>
      </w:tr>
      <w:tr w:rsidR="004B75D8" w:rsidRPr="001530A5" w:rsidTr="004B75D8">
        <w:trPr>
          <w:trHeight w:val="624"/>
        </w:trPr>
        <w:tc>
          <w:tcPr>
            <w:tcW w:w="2285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B75D8" w:rsidRPr="00D7715C" w:rsidRDefault="004B75D8" w:rsidP="004B75D8">
            <w:pPr>
              <w:spacing w:before="0"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   w tym działalność w zakresie architektury i inżynierii</w:t>
            </w:r>
          </w:p>
        </w:tc>
        <w:tc>
          <w:tcPr>
            <w:tcW w:w="702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B75D8" w:rsidRPr="00555432" w:rsidRDefault="004B75D8" w:rsidP="004B75D8">
            <w:pPr>
              <w:jc w:val="right"/>
            </w:pPr>
            <w:r w:rsidRPr="00555432">
              <w:t>101,5</w:t>
            </w:r>
          </w:p>
        </w:tc>
        <w:tc>
          <w:tcPr>
            <w:tcW w:w="704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B75D8" w:rsidRPr="00555432" w:rsidRDefault="004B75D8" w:rsidP="004B75D8">
            <w:pPr>
              <w:jc w:val="right"/>
            </w:pPr>
            <w:r w:rsidRPr="00555432">
              <w:t>105,5</w:t>
            </w:r>
          </w:p>
        </w:tc>
        <w:tc>
          <w:tcPr>
            <w:tcW w:w="664" w:type="pct"/>
            <w:tcBorders>
              <w:top w:val="single" w:sz="4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4B75D8" w:rsidRPr="00555432" w:rsidRDefault="004B75D8" w:rsidP="004B75D8">
            <w:pPr>
              <w:jc w:val="right"/>
            </w:pPr>
            <w:r w:rsidRPr="00555432">
              <w:t>107,1</w:t>
            </w:r>
          </w:p>
        </w:tc>
        <w:tc>
          <w:tcPr>
            <w:tcW w:w="645" w:type="pct"/>
            <w:tcBorders>
              <w:top w:val="single" w:sz="4" w:space="0" w:color="003399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4B75D8" w:rsidRDefault="004B75D8" w:rsidP="004B75D8">
            <w:pPr>
              <w:jc w:val="right"/>
            </w:pPr>
            <w:r w:rsidRPr="00555432">
              <w:t>107,4</w:t>
            </w:r>
          </w:p>
        </w:tc>
      </w:tr>
    </w:tbl>
    <w:p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3"/>
        <w:gridCol w:w="1136"/>
        <w:gridCol w:w="1071"/>
        <w:gridCol w:w="1041"/>
      </w:tblGrid>
      <w:tr w:rsidR="00D7715C" w:rsidRPr="001530A5" w:rsidTr="00B82AEC">
        <w:trPr>
          <w:trHeight w:val="572"/>
        </w:trPr>
        <w:tc>
          <w:tcPr>
            <w:tcW w:w="2285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D7715C" w:rsidRPr="008147D4" w:rsidRDefault="00D7715C" w:rsidP="00D7715C">
            <w:r w:rsidRPr="008147D4">
              <w:lastRenderedPageBreak/>
              <w:t>WYSZCZEGÓLNIENIE</w:t>
            </w:r>
          </w:p>
        </w:tc>
        <w:tc>
          <w:tcPr>
            <w:tcW w:w="2070" w:type="pct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D7715C" w:rsidP="00D7715C">
            <w:pPr>
              <w:jc w:val="center"/>
            </w:pPr>
            <w:r w:rsidRPr="00E737E0">
              <w:t>2 kwartał 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D7715C" w:rsidRPr="00E737E0" w:rsidRDefault="00D7715C" w:rsidP="00D7715C">
            <w:r w:rsidRPr="00E737E0">
              <w:t>1 półrocze 2023</w:t>
            </w:r>
          </w:p>
        </w:tc>
      </w:tr>
      <w:tr w:rsidR="00D7715C" w:rsidRPr="001530A5" w:rsidTr="00B82AEC">
        <w:trPr>
          <w:trHeight w:val="685"/>
        </w:trPr>
        <w:tc>
          <w:tcPr>
            <w:tcW w:w="2285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8147D4" w:rsidRDefault="00D7715C" w:rsidP="00D7715C"/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D7715C" w:rsidP="00D7715C">
            <w:r w:rsidRPr="00E737E0">
              <w:t>1 kwartał 2023=100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D7715C" w:rsidP="00D7715C">
            <w:r w:rsidRPr="00E737E0">
              <w:t>4 kwartał 2022=100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D7715C" w:rsidP="00D7715C">
            <w:r w:rsidRPr="00E737E0">
              <w:t>2 kwartał 2022=100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D7715C" w:rsidRDefault="00D7715C" w:rsidP="00D7715C">
            <w:r w:rsidRPr="00E737E0">
              <w:t>1 półrocze 2022=100</w:t>
            </w:r>
          </w:p>
        </w:tc>
      </w:tr>
      <w:tr w:rsidR="00C94052" w:rsidRPr="001530A5" w:rsidTr="001F05C7">
        <w:trPr>
          <w:trHeight w:val="56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100,8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103,0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105,4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105,7</w:t>
            </w:r>
          </w:p>
        </w:tc>
      </w:tr>
      <w:tr w:rsidR="00C94052" w:rsidRPr="001530A5" w:rsidTr="001F05C7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103,2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110,2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112,8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112,3</w:t>
            </w:r>
          </w:p>
        </w:tc>
      </w:tr>
      <w:tr w:rsidR="00C94052" w:rsidRPr="001530A5" w:rsidTr="001F05C7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100,7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100,8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103,3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104,6</w:t>
            </w:r>
          </w:p>
        </w:tc>
      </w:tr>
      <w:tr w:rsidR="00C94052" w:rsidRPr="001530A5" w:rsidTr="001F05C7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101,4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105,5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109,9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110,3</w:t>
            </w:r>
          </w:p>
        </w:tc>
      </w:tr>
      <w:tr w:rsidR="00C94052" w:rsidRPr="001530A5" w:rsidTr="001F05C7">
        <w:trPr>
          <w:trHeight w:val="108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103,5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108,8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120,8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124,9</w:t>
            </w:r>
          </w:p>
        </w:tc>
      </w:tr>
      <w:tr w:rsidR="00C94052" w:rsidRPr="001530A5" w:rsidTr="001F05C7">
        <w:trPr>
          <w:trHeight w:val="58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101,8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111,3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113,2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112,4</w:t>
            </w:r>
          </w:p>
        </w:tc>
      </w:tr>
      <w:tr w:rsidR="00C94052" w:rsidRPr="001530A5" w:rsidTr="001F05C7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101,0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106,4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108,7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108,8</w:t>
            </w:r>
          </w:p>
        </w:tc>
      </w:tr>
      <w:tr w:rsidR="00C94052" w:rsidRPr="001530A5" w:rsidTr="001F05C7">
        <w:trPr>
          <w:trHeight w:val="972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94052" w:rsidRPr="001530A5" w:rsidRDefault="00C94052" w:rsidP="00C9405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4368227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  <w:bookmarkEnd w:id="3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100,5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104,6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C94052" w:rsidRPr="00945060" w:rsidRDefault="00C94052" w:rsidP="00C94052">
            <w:pPr>
              <w:jc w:val="right"/>
            </w:pPr>
            <w:r w:rsidRPr="00945060">
              <w:t>108,5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052" w:rsidRDefault="00C94052" w:rsidP="00C94052">
            <w:pPr>
              <w:jc w:val="right"/>
            </w:pPr>
            <w:r w:rsidRPr="00945060">
              <w:t>109,3</w:t>
            </w:r>
          </w:p>
        </w:tc>
      </w:tr>
    </w:tbl>
    <w:p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2 kwartale 2023  r. największy wzrost cen w stosunku do poprzedniego kwartału odnotowano w usługach organizatorów turystyki, pośredników i agentów turystycznych oraz pozostałej działalności usługowej w zakresie rezerwacji i działalności z nią związa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F0713B">
                              <w:t>2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7B5A88">
                              <w:t>3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F0713B" w:rsidRPr="00F0713B">
                              <w:t xml:space="preserve"> organizatorów turystyki, pośredników i agentów turystycznych oraz pozostałej działalności usługowej w zakresie rezerwacji i</w:t>
                            </w:r>
                            <w:r w:rsidR="00DD6B67">
                              <w:t> </w:t>
                            </w:r>
                            <w:r w:rsidR="00F0713B" w:rsidRPr="00F0713B">
                              <w:t xml:space="preserve">działalności z nią związanych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3  r. największy wzrost cen w stosunku do poprzedniego kwartału odnotowano w usługach organizatorów turystyki, pośredników i agentów turystycznych oraz pozostałej działalności usługowej w zakresie rezerwacji i działalności z nią związanych 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F0713B">
                        <w:t>2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7B5A88">
                        <w:t>3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F0713B" w:rsidRPr="00F0713B">
                        <w:t xml:space="preserve"> organizatorów turystyki, pośredników i agentów turystycznych oraz pozostałej działalności usługowej w zakresie rezerwacji i</w:t>
                      </w:r>
                      <w:r w:rsidR="00DD6B67">
                        <w:t> </w:t>
                      </w:r>
                      <w:r w:rsidR="00F0713B" w:rsidRPr="00F0713B">
                        <w:t xml:space="preserve">działalności z nią związanych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65D6" w:rsidRPr="007065D6" w:rsidRDefault="00A64B5A" w:rsidP="007065D6">
      <w:r>
        <w:rPr>
          <w:color w:val="000000" w:themeColor="text1"/>
        </w:rPr>
        <w:t>W 2</w:t>
      </w:r>
      <w:r w:rsidRPr="001D06C5">
        <w:rPr>
          <w:color w:val="000000" w:themeColor="text1"/>
        </w:rPr>
        <w:t xml:space="preserve"> kwartale 202</w:t>
      </w:r>
      <w:r w:rsidR="002F5D54">
        <w:rPr>
          <w:color w:val="000000" w:themeColor="text1"/>
        </w:rPr>
        <w:t>3</w:t>
      </w:r>
      <w:r w:rsidRPr="001D06C5">
        <w:rPr>
          <w:color w:val="000000" w:themeColor="text1"/>
        </w:rPr>
        <w:t xml:space="preserve"> r. </w:t>
      </w:r>
      <w:r>
        <w:rPr>
          <w:color w:val="000000" w:themeColor="text1"/>
        </w:rPr>
        <w:t>wzrost cen w stosunku do</w:t>
      </w:r>
      <w:r w:rsidRPr="0007018F">
        <w:rPr>
          <w:color w:val="000000" w:themeColor="text1"/>
        </w:rPr>
        <w:t xml:space="preserve"> poprzedniego kwartału </w:t>
      </w:r>
      <w:r>
        <w:rPr>
          <w:color w:val="000000" w:themeColor="text1"/>
        </w:rPr>
        <w:t xml:space="preserve">odnotowano </w:t>
      </w:r>
      <w:r w:rsidR="00B863DC">
        <w:rPr>
          <w:color w:val="000000" w:themeColor="text1"/>
        </w:rPr>
        <w:t>w większości z</w:t>
      </w:r>
      <w:r>
        <w:rPr>
          <w:color w:val="000000" w:themeColor="text1"/>
        </w:rPr>
        <w:t xml:space="preserve"> badanych rodzaj</w:t>
      </w:r>
      <w:r w:rsidR="00B863DC">
        <w:rPr>
          <w:color w:val="000000" w:themeColor="text1"/>
        </w:rPr>
        <w:t>ów</w:t>
      </w:r>
      <w:r>
        <w:rPr>
          <w:color w:val="000000" w:themeColor="text1"/>
        </w:rPr>
        <w:t xml:space="preserve"> usług związanych z obsługą działalności gospodarczej.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Fira Sans Light" w:cs="Times New Roman"/>
          <w:color w:val="000000" w:themeColor="text1"/>
          <w:shd w:val="clear" w:color="auto" w:fill="FFFFFF"/>
        </w:rPr>
        <w:t>N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ajwiększy wzrost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020B69">
        <w:rPr>
          <w:rFonts w:eastAsia="Fira Sans Light" w:cs="Times New Roman"/>
          <w:color w:val="000000" w:themeColor="text1"/>
          <w:shd w:val="clear" w:color="auto" w:fill="FFFFFF"/>
        </w:rPr>
        <w:t xml:space="preserve">cen </w:t>
      </w:r>
      <w:r w:rsidR="009F1945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w przypadku </w:t>
      </w:r>
      <w:bookmarkStart w:id="4" w:name="_Hlk112314048"/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usług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5" w:name="_Hlk112319155"/>
      <w:r w:rsidR="00EF4587" w:rsidRPr="009A2F91">
        <w:t>organizatorów turystyki, pośredników i agentów turystycznych oraz pozostałej działalności usługowej w zakresie rezerwacji i działalności z nią</w:t>
      </w:r>
      <w:bookmarkEnd w:id="4"/>
      <w:bookmarkEnd w:id="5"/>
      <w:r w:rsidR="00215AA9">
        <w:t xml:space="preserve"> związan</w:t>
      </w:r>
      <w:r w:rsidR="00ED0FAC">
        <w:t>ych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565FC5">
        <w:rPr>
          <w:rFonts w:eastAsia="Fira Sans Light" w:cs="Times New Roman"/>
          <w:color w:val="000000" w:themeColor="text1"/>
          <w:shd w:val="clear" w:color="auto" w:fill="FFFFFF"/>
        </w:rPr>
        <w:t>3,5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W dalszej kolejności odnotowano wzrost </w:t>
      </w:r>
      <w:bookmarkStart w:id="6" w:name="_Hlk136259285"/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cen usług </w:t>
      </w:r>
      <w:bookmarkStart w:id="7" w:name="_Hlk143686802"/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w zakresie pozostałej działalności profesjonalnej, naukowej i technicznej </w:t>
      </w:r>
      <w:bookmarkEnd w:id="7"/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(o </w:t>
      </w:r>
      <w:r w:rsidR="002416F3">
        <w:rPr>
          <w:rFonts w:eastAsia="Fira Sans Light" w:cs="Times New Roman"/>
          <w:color w:val="000000" w:themeColor="text1"/>
          <w:shd w:val="clear" w:color="auto" w:fill="FFFFFF"/>
        </w:rPr>
        <w:t>3,2</w:t>
      </w:r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>%)</w:t>
      </w:r>
      <w:bookmarkEnd w:id="6"/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4858DF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2416F3">
        <w:rPr>
          <w:rFonts w:eastAsia="Fira Sans Light" w:cs="Times New Roman"/>
          <w:color w:val="000000" w:themeColor="text1"/>
          <w:shd w:val="clear" w:color="auto" w:fill="FFFFFF"/>
        </w:rPr>
        <w:t xml:space="preserve">istotnym stopniu </w:t>
      </w:r>
      <w:r w:rsidR="00A76278">
        <w:rPr>
          <w:rFonts w:eastAsia="Fira Sans Light" w:cs="Times New Roman"/>
          <w:color w:val="000000" w:themeColor="text1"/>
          <w:shd w:val="clear" w:color="auto" w:fill="FFFFFF"/>
        </w:rPr>
        <w:t xml:space="preserve">wzrosły </w:t>
      </w:r>
      <w:r w:rsidR="002416F3">
        <w:rPr>
          <w:rFonts w:eastAsia="Fira Sans Light" w:cs="Times New Roman"/>
          <w:color w:val="000000" w:themeColor="text1"/>
          <w:shd w:val="clear" w:color="auto" w:fill="FFFFFF"/>
        </w:rPr>
        <w:t xml:space="preserve">także </w:t>
      </w:r>
      <w:r w:rsidR="00A76278">
        <w:rPr>
          <w:rFonts w:eastAsia="Fira Sans Light" w:cs="Times New Roman"/>
          <w:color w:val="000000" w:themeColor="text1"/>
          <w:shd w:val="clear" w:color="auto" w:fill="FFFFFF"/>
        </w:rPr>
        <w:t xml:space="preserve">ceny </w:t>
      </w:r>
      <w:r w:rsidR="00EF4587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wydawniczej </w:t>
      </w:r>
      <w:r w:rsidR="006853ED">
        <w:rPr>
          <w:rFonts w:eastAsia="Fira Sans Light" w:cs="Times New Roman"/>
          <w:color w:val="000000" w:themeColor="text1"/>
          <w:shd w:val="clear" w:color="auto" w:fill="FFFFFF"/>
        </w:rPr>
        <w:t>–</w:t>
      </w:r>
      <w:r w:rsidR="0029607C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6853ED">
        <w:rPr>
          <w:rFonts w:eastAsia="Fira Sans Light" w:cs="Times New Roman"/>
          <w:color w:val="000000" w:themeColor="text1"/>
          <w:shd w:val="clear" w:color="auto" w:fill="FFFFFF"/>
        </w:rPr>
        <w:t>o </w:t>
      </w:r>
      <w:bookmarkStart w:id="8" w:name="_GoBack"/>
      <w:bookmarkEnd w:id="8"/>
      <w:r w:rsidR="002416F3">
        <w:rPr>
          <w:rFonts w:eastAsia="Fira Sans Light" w:cs="Times New Roman"/>
          <w:color w:val="000000" w:themeColor="text1"/>
          <w:shd w:val="clear" w:color="auto" w:fill="FFFFFF"/>
        </w:rPr>
        <w:t>2,6%</w:t>
      </w:r>
      <w:r w:rsidR="0079368A">
        <w:rPr>
          <w:rFonts w:eastAsia="Fira Sans Light" w:cs="Times New Roman"/>
          <w:color w:val="000000" w:themeColor="text1"/>
          <w:shd w:val="clear" w:color="auto" w:fill="FFFFFF"/>
        </w:rPr>
        <w:t xml:space="preserve"> (m.in. wzrost cen</w:t>
      </w:r>
      <w:r w:rsidR="00026FF9">
        <w:rPr>
          <w:rFonts w:eastAsia="Fira Sans Light" w:cs="Times New Roman"/>
          <w:color w:val="000000" w:themeColor="text1"/>
          <w:shd w:val="clear" w:color="auto" w:fill="FFFFFF"/>
        </w:rPr>
        <w:t xml:space="preserve"> usług</w:t>
      </w:r>
      <w:r w:rsidR="0079368A">
        <w:rPr>
          <w:rFonts w:eastAsia="Fira Sans Light" w:cs="Times New Roman"/>
          <w:color w:val="000000" w:themeColor="text1"/>
          <w:shd w:val="clear" w:color="auto" w:fill="FFFFFF"/>
        </w:rPr>
        <w:t xml:space="preserve"> wydawania książek oraz oprogramowania)</w:t>
      </w:r>
      <w:r w:rsidR="002416F3">
        <w:rPr>
          <w:rFonts w:eastAsia="Fira Sans Light" w:cs="Times New Roman"/>
          <w:color w:val="000000" w:themeColor="text1"/>
          <w:shd w:val="clear" w:color="auto" w:fill="FFFFFF"/>
        </w:rPr>
        <w:t xml:space="preserve"> oraz w działalności </w:t>
      </w:r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>związan</w:t>
      </w:r>
      <w:r w:rsidR="002416F3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2416F3" w:rsidRPr="002416F3">
        <w:rPr>
          <w:rFonts w:eastAsia="Fira Sans Light" w:cs="Times New Roman"/>
          <w:color w:val="000000" w:themeColor="text1"/>
          <w:shd w:val="clear" w:color="auto" w:fill="FFFFFF"/>
        </w:rPr>
        <w:t xml:space="preserve"> z obsługą rynku nieruchomości </w:t>
      </w:r>
      <w:r w:rsidR="00811BDD">
        <w:rPr>
          <w:rFonts w:eastAsia="Fira Sans Light" w:cs="Times New Roman"/>
          <w:color w:val="000000" w:themeColor="text1"/>
          <w:shd w:val="clear" w:color="auto" w:fill="FFFFFF"/>
        </w:rPr>
        <w:t xml:space="preserve">- </w:t>
      </w:r>
      <w:r w:rsidR="00EF4587">
        <w:t xml:space="preserve">wzrost o </w:t>
      </w:r>
      <w:r w:rsidR="007F3279">
        <w:t>2</w:t>
      </w:r>
      <w:r w:rsidR="00EF4587">
        <w:t>,4</w:t>
      </w:r>
      <w:r w:rsidR="00811BDD">
        <w:t>%</w:t>
      </w:r>
      <w:r w:rsidR="00EF4587">
        <w:t>.</w:t>
      </w:r>
      <w:r w:rsidR="00310867">
        <w:t xml:space="preserve"> </w:t>
      </w:r>
      <w:r w:rsidR="007065D6">
        <w:t>W najmniejszym stopniu wzrosły ceny usług</w:t>
      </w:r>
      <w:r w:rsidR="007065D6" w:rsidRPr="007065D6">
        <w:t xml:space="preserve"> </w:t>
      </w:r>
      <w:bookmarkStart w:id="9" w:name="_Hlk112319378"/>
      <w:r w:rsidR="007F3279">
        <w:t xml:space="preserve">w działalności </w:t>
      </w:r>
      <w:r w:rsidR="007F3279" w:rsidRPr="007F3279">
        <w:t>związan</w:t>
      </w:r>
      <w:r w:rsidR="007F3279">
        <w:t>ej</w:t>
      </w:r>
      <w:r w:rsidR="007F3279" w:rsidRPr="007F3279">
        <w:t xml:space="preserve"> z oprogramowaniem i doradztwem w zakresie informatyki oraz działalnoś</w:t>
      </w:r>
      <w:r w:rsidR="007F3279">
        <w:t>ci</w:t>
      </w:r>
      <w:r w:rsidR="007F3279" w:rsidRPr="007F3279">
        <w:t xml:space="preserve"> powiązan</w:t>
      </w:r>
      <w:r w:rsidR="007F3279">
        <w:t>ej (o 0,4%)</w:t>
      </w:r>
      <w:r w:rsidR="00142E3E">
        <w:t>, a</w:t>
      </w:r>
      <w:r w:rsidR="00CB4871">
        <w:t xml:space="preserve">  </w:t>
      </w:r>
      <w:r w:rsidR="00142E3E">
        <w:t>także</w:t>
      </w:r>
      <w:r w:rsidR="007F3279">
        <w:t xml:space="preserve"> usług w d</w:t>
      </w:r>
      <w:r w:rsidR="007F3279" w:rsidRPr="007F3279">
        <w:t>ziałalnoś</w:t>
      </w:r>
      <w:r w:rsidR="007F3279">
        <w:t>ci</w:t>
      </w:r>
      <w:r w:rsidR="007F3279" w:rsidRPr="007F3279">
        <w:t xml:space="preserve"> związan</w:t>
      </w:r>
      <w:r w:rsidR="007F3279">
        <w:t>ej</w:t>
      </w:r>
      <w:r w:rsidR="007F3279" w:rsidRPr="007F3279">
        <w:t xml:space="preserve"> z administracyjną obsługą biura i pozostał</w:t>
      </w:r>
      <w:r w:rsidR="007F3279">
        <w:t>ą</w:t>
      </w:r>
      <w:r w:rsidR="007F3279" w:rsidRPr="007F3279">
        <w:t xml:space="preserve"> działalnoś</w:t>
      </w:r>
      <w:r w:rsidR="007F3279">
        <w:t>cią</w:t>
      </w:r>
      <w:r w:rsidR="007F3279" w:rsidRPr="007F3279">
        <w:t xml:space="preserve"> wspomagając</w:t>
      </w:r>
      <w:r w:rsidR="007F3279">
        <w:t>ą</w:t>
      </w:r>
      <w:r w:rsidR="007F3279" w:rsidRPr="007F3279">
        <w:t xml:space="preserve"> prowadzenie działalności gospodarczej</w:t>
      </w:r>
      <w:r w:rsidR="006853ED">
        <w:t xml:space="preserve"> (o </w:t>
      </w:r>
      <w:r w:rsidR="007F3279">
        <w:t>0,5%).</w:t>
      </w:r>
      <w:r w:rsidR="007F3279" w:rsidRPr="007F3279">
        <w:t xml:space="preserve"> </w:t>
      </w:r>
      <w:bookmarkEnd w:id="9"/>
      <w:r w:rsidR="007F3279">
        <w:t xml:space="preserve">Spadek cen w stosunku do 1 kwartału 2023 roku zanotowano natomiast </w:t>
      </w:r>
      <w:r w:rsidR="007F3279" w:rsidRPr="00077A4A">
        <w:t>w grupowaniu</w:t>
      </w:r>
      <w:r w:rsidR="00077A4A" w:rsidRPr="00077A4A">
        <w:t>: D</w:t>
      </w:r>
      <w:r w:rsidR="007F3279" w:rsidRPr="00077A4A">
        <w:t>ziałalność prawnicza, rachunkowo-księgowa i doradztwo podatkowe; doradztwo</w:t>
      </w:r>
      <w:r w:rsidR="007F3279" w:rsidRPr="007F3279">
        <w:t xml:space="preserve"> związane z zarządzaniem</w:t>
      </w:r>
      <w:r w:rsidR="006853ED">
        <w:t xml:space="preserve"> (o </w:t>
      </w:r>
      <w:r w:rsidR="007F3279">
        <w:t xml:space="preserve">0,2%), na co wpłynął </w:t>
      </w:r>
      <w:r w:rsidR="004501A8">
        <w:t xml:space="preserve">spadek cen </w:t>
      </w:r>
      <w:r w:rsidR="00BA7BDA">
        <w:t xml:space="preserve">usług </w:t>
      </w:r>
      <w:r w:rsidR="00BA7BDA" w:rsidRPr="00BA7BDA">
        <w:t>doradztw</w:t>
      </w:r>
      <w:r w:rsidR="00BA7BDA">
        <w:t>a</w:t>
      </w:r>
      <w:r w:rsidR="00BA7BDA" w:rsidRPr="00BA7BDA">
        <w:t xml:space="preserve"> związane</w:t>
      </w:r>
      <w:r w:rsidR="000D7778">
        <w:t>go</w:t>
      </w:r>
      <w:r w:rsidR="00BA7BDA" w:rsidRPr="00BA7BDA">
        <w:t xml:space="preserve"> z zarządzaniem</w:t>
      </w:r>
      <w:r w:rsidR="00BA7BDA">
        <w:t>.</w:t>
      </w:r>
    </w:p>
    <w:p w:rsidR="00521B8D" w:rsidRPr="00521B8D" w:rsidRDefault="00521B8D" w:rsidP="00521B8D">
      <w:r w:rsidRPr="00521B8D">
        <w:t xml:space="preserve">W stosunku do </w:t>
      </w:r>
      <w:r w:rsidR="00684566">
        <w:t>2</w:t>
      </w:r>
      <w:r w:rsidRPr="00521B8D">
        <w:t xml:space="preserve"> kwartału 2022 r. największy wzrost cen wystąpił </w:t>
      </w:r>
      <w:r>
        <w:t xml:space="preserve">także </w:t>
      </w:r>
      <w:r w:rsidRPr="00521B8D">
        <w:t xml:space="preserve">w przypadku usług </w:t>
      </w:r>
      <w:bookmarkStart w:id="10" w:name="_Hlk136003374"/>
      <w:r w:rsidRPr="00521B8D">
        <w:t>organizatorów turystyki, pośredników i agentów turystycznych oraz pozostałej działalności usługowej w zakresie rezerwacji i działalności z nią związanych (o 2</w:t>
      </w:r>
      <w:r>
        <w:t>0</w:t>
      </w:r>
      <w:r w:rsidRPr="00521B8D">
        <w:t>,</w:t>
      </w:r>
      <w:r>
        <w:t>8</w:t>
      </w:r>
      <w:r w:rsidRPr="00521B8D">
        <w:t>%)</w:t>
      </w:r>
      <w:bookmarkEnd w:id="10"/>
      <w:r w:rsidR="008B5517">
        <w:t>. W</w:t>
      </w:r>
      <w:r w:rsidR="00C65CE2">
        <w:t xml:space="preserve"> dalszej kolejności </w:t>
      </w:r>
      <w:r w:rsidR="0029607C">
        <w:t xml:space="preserve">zanotowano wzrost cen usług </w:t>
      </w:r>
      <w:r w:rsidR="00C65CE2">
        <w:t xml:space="preserve">w zakresie </w:t>
      </w:r>
      <w:r w:rsidRPr="00521B8D">
        <w:t>działalności detektywistycznej i ochroniarskiej (o</w:t>
      </w:r>
      <w:r w:rsidR="00FD2BEA">
        <w:t> </w:t>
      </w:r>
      <w:r w:rsidRPr="00521B8D">
        <w:t>1</w:t>
      </w:r>
      <w:r w:rsidR="00684566">
        <w:t>3,2</w:t>
      </w:r>
      <w:r w:rsidRPr="00521B8D">
        <w:t>%)</w:t>
      </w:r>
      <w:r>
        <w:t xml:space="preserve"> </w:t>
      </w:r>
      <w:r w:rsidRPr="00521B8D">
        <w:t xml:space="preserve">a także </w:t>
      </w:r>
      <w:r w:rsidR="00157693">
        <w:t xml:space="preserve">cen </w:t>
      </w:r>
      <w:r w:rsidRPr="00521B8D">
        <w:t>usług w pozostałej działalności profesjonalnej, naukowej i technicznej (o 1</w:t>
      </w:r>
      <w:r>
        <w:t>2</w:t>
      </w:r>
      <w:r w:rsidRPr="00521B8D">
        <w:t>,8%</w:t>
      </w:r>
      <w:r>
        <w:t>)</w:t>
      </w:r>
      <w:r w:rsidR="00684566">
        <w:t>.</w:t>
      </w:r>
    </w:p>
    <w:p w:rsidR="003B403E" w:rsidRDefault="00684566" w:rsidP="003B403E">
      <w:pPr>
        <w:rPr>
          <w:color w:val="000000" w:themeColor="text1"/>
        </w:rPr>
      </w:pPr>
      <w:r>
        <w:rPr>
          <w:color w:val="000000" w:themeColor="text1"/>
        </w:rPr>
        <w:t xml:space="preserve">Najmniejszy wzrost </w:t>
      </w:r>
      <w:r w:rsidR="003B403E">
        <w:rPr>
          <w:color w:val="000000" w:themeColor="text1"/>
        </w:rPr>
        <w:t xml:space="preserve">cen w porównaniu z </w:t>
      </w:r>
      <w:r w:rsidR="006C328A">
        <w:rPr>
          <w:color w:val="000000" w:themeColor="text1"/>
        </w:rPr>
        <w:t>2</w:t>
      </w:r>
      <w:r w:rsidR="003B403E">
        <w:rPr>
          <w:color w:val="000000" w:themeColor="text1"/>
        </w:rPr>
        <w:t xml:space="preserve"> kwartałem ubiegłego roku odnotowano natomiast w przypadku usług </w:t>
      </w:r>
      <w:r w:rsidR="003B403E" w:rsidRPr="002F1676">
        <w:rPr>
          <w:color w:val="000000" w:themeColor="text1"/>
        </w:rPr>
        <w:t>nadawania programów ogólnodostępnych i abonamentowych</w:t>
      </w:r>
      <w:r w:rsidR="003B403E">
        <w:rPr>
          <w:color w:val="000000" w:themeColor="text1"/>
        </w:rPr>
        <w:t xml:space="preserve"> (o </w:t>
      </w:r>
      <w:r>
        <w:rPr>
          <w:color w:val="000000" w:themeColor="text1"/>
        </w:rPr>
        <w:t>1,4</w:t>
      </w:r>
      <w:r w:rsidR="003B403E">
        <w:rPr>
          <w:color w:val="000000" w:themeColor="text1"/>
        </w:rPr>
        <w:t>%).</w:t>
      </w:r>
    </w:p>
    <w:p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C05C86" w:rsidRDefault="00C05C86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 w:rsidRPr="00B10435">
        <w:rPr>
          <w:color w:val="000000" w:themeColor="text1"/>
          <w:sz w:val="19"/>
          <w:szCs w:val="19"/>
        </w:rPr>
        <w:lastRenderedPageBreak/>
        <w:t>Wykres 1. Zmiany c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20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3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C05C86" w:rsidRDefault="00C05C86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5F21E4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20-2023  (kwartał poprzedni = 100)&#10;Wykres prezentuje zmiany cen  producentów usług związanych z obsługą działalności gospodarczej w kwartałach dla lat 2020-2023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911CAB-B605-431C-BC33-864DDCEB14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20-2023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641674" w:rsidRDefault="00C05C86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inline distT="0" distB="0" distL="0" distR="0" wp14:anchorId="7E737765" wp14:editId="03CC5D75">
            <wp:extent cx="5122545" cy="2974975"/>
            <wp:effectExtent l="0" t="0" r="1905" b="0"/>
            <wp:docPr id="2" name="Wykres 2" descr="Wykres 2. Zmiany cen producentów usług związanych z obsługą działalności gospodarczej &#10;w latach 2020-2023  (analogiczny okres roku poprzedniego = 100)&#10;&#10;Wykres prezentuje zmiany cen  producentów usług związanych z obsługą działalności gospodarczej w kwartałach dla lat 2020-2023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122D50-3DF5-4F3E-BF1A-DC83323C04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51A82E2" wp14:editId="151BFD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C40B06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2 kwartał 2023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C40B06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C40B06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06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3ED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0D7C94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1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C02B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171B9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11.09.2023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ZuOAIAADo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d5w2b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FC02B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171B9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5pt;height:122.85pt;visibility:visible;mso-wrap-style:square" o:bullet="t">
        <v:imagedata r:id="rId1" o:title=""/>
      </v:shape>
    </w:pict>
  </w:numPicBullet>
  <w:numPicBullet w:numPicBulletId="1">
    <w:pict>
      <v:shape id="_x0000_i1031" type="#_x0000_t75" style="width:121.5pt;height:122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B69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6FF9"/>
    <w:rsid w:val="000277D6"/>
    <w:rsid w:val="000278B5"/>
    <w:rsid w:val="00027A5C"/>
    <w:rsid w:val="00030166"/>
    <w:rsid w:val="00031809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1A"/>
    <w:rsid w:val="00074E4C"/>
    <w:rsid w:val="00076D5C"/>
    <w:rsid w:val="00077A4A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4ACC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D7778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E3E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693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1E4A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832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6F3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07C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5D54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867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132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D8E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5E2C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C7D"/>
    <w:rsid w:val="00444E41"/>
    <w:rsid w:val="00445047"/>
    <w:rsid w:val="0044557A"/>
    <w:rsid w:val="0044588B"/>
    <w:rsid w:val="00446707"/>
    <w:rsid w:val="004501A8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672DE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00C9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426C"/>
    <w:rsid w:val="004B58A0"/>
    <w:rsid w:val="004B5D5F"/>
    <w:rsid w:val="004B625C"/>
    <w:rsid w:val="004B62D5"/>
    <w:rsid w:val="004B6783"/>
    <w:rsid w:val="004B683C"/>
    <w:rsid w:val="004B7460"/>
    <w:rsid w:val="004B75D8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295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8D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5FC5"/>
    <w:rsid w:val="00566D5D"/>
    <w:rsid w:val="00566E2E"/>
    <w:rsid w:val="0056762A"/>
    <w:rsid w:val="0057044A"/>
    <w:rsid w:val="00570544"/>
    <w:rsid w:val="005714C7"/>
    <w:rsid w:val="00572BE7"/>
    <w:rsid w:val="00573741"/>
    <w:rsid w:val="005737C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1D8"/>
    <w:rsid w:val="00584F20"/>
    <w:rsid w:val="005859EB"/>
    <w:rsid w:val="00586371"/>
    <w:rsid w:val="00586939"/>
    <w:rsid w:val="0058752B"/>
    <w:rsid w:val="005916D7"/>
    <w:rsid w:val="00591BD4"/>
    <w:rsid w:val="00593DE2"/>
    <w:rsid w:val="00593EE9"/>
    <w:rsid w:val="005966E4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72F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566"/>
    <w:rsid w:val="00684719"/>
    <w:rsid w:val="006850EB"/>
    <w:rsid w:val="006853ED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067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368A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A88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B9D"/>
    <w:rsid w:val="007D2C6F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63F"/>
    <w:rsid w:val="007E57E2"/>
    <w:rsid w:val="007F030C"/>
    <w:rsid w:val="007F0B57"/>
    <w:rsid w:val="007F1014"/>
    <w:rsid w:val="007F324B"/>
    <w:rsid w:val="007F3279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1BDD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1A42"/>
    <w:rsid w:val="00822105"/>
    <w:rsid w:val="008223A8"/>
    <w:rsid w:val="00823DAD"/>
    <w:rsid w:val="00823E5F"/>
    <w:rsid w:val="00824380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67F52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AEB"/>
    <w:rsid w:val="00883B91"/>
    <w:rsid w:val="00883C07"/>
    <w:rsid w:val="00884729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18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517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F84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2BD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5F08"/>
    <w:rsid w:val="009A6E65"/>
    <w:rsid w:val="009A6EA0"/>
    <w:rsid w:val="009A7548"/>
    <w:rsid w:val="009A78BF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520D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BE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735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1E33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CDD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2AEC"/>
    <w:rsid w:val="00B83650"/>
    <w:rsid w:val="00B83CA7"/>
    <w:rsid w:val="00B84ACF"/>
    <w:rsid w:val="00B8525A"/>
    <w:rsid w:val="00B855B0"/>
    <w:rsid w:val="00B863DC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A7BDA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5E4"/>
    <w:rsid w:val="00C05332"/>
    <w:rsid w:val="00C05C86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489D"/>
    <w:rsid w:val="00C35587"/>
    <w:rsid w:val="00C35634"/>
    <w:rsid w:val="00C359AE"/>
    <w:rsid w:val="00C3690A"/>
    <w:rsid w:val="00C36D46"/>
    <w:rsid w:val="00C3702F"/>
    <w:rsid w:val="00C37781"/>
    <w:rsid w:val="00C40B06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5CE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052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01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871"/>
    <w:rsid w:val="00CB4C31"/>
    <w:rsid w:val="00CB4DB2"/>
    <w:rsid w:val="00CB5DA2"/>
    <w:rsid w:val="00CB7DD7"/>
    <w:rsid w:val="00CC024B"/>
    <w:rsid w:val="00CC06BC"/>
    <w:rsid w:val="00CC0932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13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7715C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B67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205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408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0713B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3537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38D3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02B4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2BEA"/>
    <w:rsid w:val="00FD38BD"/>
    <w:rsid w:val="00FD5917"/>
    <w:rsid w:val="00FD5EA7"/>
    <w:rsid w:val="00FD6B6B"/>
    <w:rsid w:val="00FD6ED4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3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55555555555559E-2"/>
          <c:y val="3.1604293845291807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2Q2023'!$A$10:$B$23</c:f>
              <c:multiLvlStrCache>
                <c:ptCount val="14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2Q2023'!$C$10:$C$23</c:f>
              <c:numCache>
                <c:formatCode>General</c:formatCode>
                <c:ptCount val="14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 formatCode="0.0">
                  <c:v>103.5</c:v>
                </c:pt>
                <c:pt idx="13" formatCode="0.0">
                  <c:v>101.3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07A-44FF-A741-8E9BC7A17D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2026680224"/>
        <c:axId val="-2026678592"/>
      </c:lineChart>
      <c:catAx>
        <c:axId val="-202668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6678592"/>
        <c:crosses val="autoZero"/>
        <c:auto val="1"/>
        <c:lblAlgn val="ctr"/>
        <c:lblOffset val="100"/>
        <c:noMultiLvlLbl val="0"/>
      </c:catAx>
      <c:valAx>
        <c:axId val="-2026678592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6680224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2Q2023'!$A$10:$B$23</c:f>
              <c:multiLvlStrCache>
                <c:ptCount val="14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2Q2023'!$C$10:$C$23</c:f>
              <c:numCache>
                <c:formatCode>0.0</c:formatCode>
                <c:ptCount val="14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7FB-4F09-9D7F-08AFB5A22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26682944"/>
        <c:axId val="-2026679680"/>
      </c:lineChart>
      <c:catAx>
        <c:axId val="-202668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6679680"/>
        <c:crosses val="autoZero"/>
        <c:auto val="1"/>
        <c:lblAlgn val="ctr"/>
        <c:lblOffset val="100"/>
        <c:noMultiLvlLbl val="0"/>
      </c:catAx>
      <c:valAx>
        <c:axId val="-2026679680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6682944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Wskaźniki cen producentów usług związanych z obsługą działalności gospodarczej za 2 kwartał 2023 r. Informacja sygnalna w formacie DOCX.docx.docx</NazwaPliku>
    <Odbiorcy2 xmlns="AD3641B4-23D9-4536-AF9E-7D0EADDEB824" xsi:nil="true"/>
    <Osoba xmlns="AD3641B4-23D9-4536-AF9E-7D0EADDEB824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E22F-2760-4D8E-866F-1B09BAB3E16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33825C3-41BE-41C4-9068-BBEAF0BEFC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968</Words>
  <Characters>5810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2022-08-31T09:28:00Z</cp:lastPrinted>
  <dcterms:created xsi:type="dcterms:W3CDTF">2023-08-22T11:20:00Z</dcterms:created>
  <dcterms:modified xsi:type="dcterms:W3CDTF">2023-09-06T08:49:00Z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